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32" w:rsidRPr="00827150" w:rsidRDefault="00561B32" w:rsidP="005E4DCA">
      <w:pPr>
        <w:shd w:val="clear" w:color="auto" w:fill="FFFFFF"/>
        <w:spacing w:after="300" w:line="540" w:lineRule="atLeast"/>
        <w:outlineLvl w:val="1"/>
        <w:rPr>
          <w:rFonts w:ascii="Times New Roman" w:eastAsia="Times New Roman" w:hAnsi="Times New Roman" w:cs="Times New Roman"/>
          <w:color w:val="333333"/>
          <w:sz w:val="28"/>
          <w:szCs w:val="28"/>
        </w:rPr>
      </w:pPr>
      <w:bookmarkStart w:id="0" w:name="_GoBack"/>
      <w:bookmarkEnd w:id="0"/>
      <w:r w:rsidRPr="00827150">
        <w:rPr>
          <w:rFonts w:ascii="Times New Roman" w:eastAsia="Times New Roman" w:hAnsi="Times New Roman" w:cs="Times New Roman"/>
          <w:color w:val="333333"/>
          <w:sz w:val="28"/>
          <w:szCs w:val="28"/>
        </w:rPr>
        <w:t>Chi tiết thủ tục hành chính:</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Mã thủ tục:</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2.002396</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Số quyết định:</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587/QĐ-TTCP</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Tên thủ tục:</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Thủ tục giải quyết tố cáo tại cấp xã</w:t>
      </w:r>
    </w:p>
    <w:p w:rsidR="00827150"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Cấp thực hiện: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Cấp Xã</w:t>
      </w:r>
    </w:p>
    <w:p w:rsidR="00561B32"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333333"/>
          <w:sz w:val="28"/>
          <w:szCs w:val="28"/>
        </w:rPr>
        <w:t>Loại thủ tục:</w:t>
      </w:r>
      <w:r w:rsidR="00827150" w:rsidRPr="00827150">
        <w:rPr>
          <w:rFonts w:ascii="Times New Roman" w:eastAsia="Times New Roman" w:hAnsi="Times New Roman" w:cs="Times New Roman"/>
          <w:color w:val="1E2F41"/>
          <w:sz w:val="28"/>
          <w:szCs w:val="28"/>
        </w:rPr>
        <w:t xml:space="preserve"> </w:t>
      </w:r>
      <w:r w:rsidRPr="00827150">
        <w:rPr>
          <w:rFonts w:ascii="Times New Roman" w:eastAsia="Times New Roman" w:hAnsi="Times New Roman" w:cs="Times New Roman"/>
          <w:color w:val="1E2F41"/>
          <w:sz w:val="28"/>
          <w:szCs w:val="28"/>
        </w:rPr>
        <w:t>TTHC không được luật giao cho địa phương quy định hoặc quy định chi tiết</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Lĩnh vực:</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Giải quyết tố cáo</w:t>
      </w:r>
    </w:p>
    <w:p w:rsidR="00561B32" w:rsidRPr="00827150" w:rsidRDefault="00561B32" w:rsidP="00561B32">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Trình tự thực hiện:</w:t>
      </w:r>
    </w:p>
    <w:p w:rsidR="00827150" w:rsidRPr="00827150" w:rsidRDefault="00561B32" w:rsidP="00561B32">
      <w:pPr>
        <w:shd w:val="clear" w:color="auto" w:fill="FFFFFF"/>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Bước 1: Thụ lý tố cáo Trước khi thụ lý tố cáo, Chủ tịch Ủy ban nhân dân cấp xã xác minh hoặc giao cơ quan chuyên môn thuộc Ủy ban nhân dân cấp xã xác minh thông tin về người tố cáo và điều kiện thụ lý tố cáo. Trường hợp người tố cáo không cư trú tại địa bàn quản lý hoặc gặp khó khăn trong việc xác minh thì người giải quyết tố cáo có thể ủy quyền cho cơ quan nhà nước ngang cấp hoặc cơ quan nhà nước cấp dưới xác minh thông tin cần thiết phục vụ việc ra quyết định thụ lý tố cáo. </w:t>
      </w:r>
    </w:p>
    <w:p w:rsidR="00827150" w:rsidRPr="00827150" w:rsidRDefault="00561B32" w:rsidP="00561B32">
      <w:pPr>
        <w:shd w:val="clear" w:color="auto" w:fill="FFFFFF"/>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Người giải quyết tố cáo ra quyết định thụ lý tố cáo khi có đủ các điều kiện sau: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a) Tố cáo được thực hiện theo quy định tại Điều 23 Luật Tố cáo 2018: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 Người tố cáo phải ký tên hoặc điểm chỉ vào đơn tố cáo.</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 + Trường hợp người tố cáo đến tố cáo trực tiếp tại Ủy ban nhân dân cấp xã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 Người tố cáo có đủ năng lực hành vi dân sự; trường hợp không có đủ năng lực hành vi dân sự thì phải có người đại diện theo quy định của pháp luật;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c) Vụ việc thuộc thẩm quyền giải quyết tố cáo của cơ quan, tổ chức, cá nhân tiếp nhận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lastRenderedPageBreak/>
        <w:t xml:space="preserve">d) Nội dung tố cáo có cơ sở để xác định người vi phạm, hành vi vi phạm pháp luật.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 Trong thời hạn 05 ngày làm việc kể từ ngày ra quyết định thụ lý tố cáo, người giải quyết tố cáo có trách nhiệm thông báo cho người tố cáo và thông báo về nội dung tố cáo cho người bị tố cáo biết.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Bước 2: Xác minh nội dung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1. Chủ tịch Ủy ban nhân dân cấp xã tiến hành xác minh hoặc giao cơ quan chuyên môn thuộc Ủy ban nhân dân cấp xã xác minh nội dung tố cáo (gọi chung là người xác minh nội dung tố cáo). Việc giao xác minh nội dung tố cáo phải thực hiện bằng văn bản.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2. Trường hợp người giải quyết tố cáo giao cho cơ quan chuyên môn xác minh nội dung tố cáo thì văn bản giao xác minh nội dung tố cáo thực hiện theo quy định tại khoản 2 Điều 31 Luật Tố cáo. Cơ quan chuyên môn được giao nhiệm vụ xác minh nội dung tố cáo có trách nhiệm thành lập Tổ xác minh theo quy định.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3. Văn bản giao xác minh nội dung tố cáo có các nội dung chính sau đây: Ngày, tháng, năm giao xác minh; Người được giao xác minh nội dung tố cáo; Họ tên, địa chỉ của người bị tố cáo; tên gọi, trụ sở của cơ quan, tổ chức bị tố cáo; Nội dung cần xác minh; Thời gian tiến hành xác minh; Quyền và trách nhiệm của người được giao xác minh nội dung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4.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5. Trong quá trình xác minh, người xác minh nội dung tố cáo phải tạo điều kiện để người bị tố cáo giải trình, đưa ra các chứng cứ để chứng minh tính đúng, sai của nội dung cần xác minh.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6. Người xác minh nội dung tố cáo được thực hiện các quyền và nghĩa vụ quy định tại các điểm a, b, c, d khoản 1 và các điểm a, b, c khoản 2 Điều 11 của Luật Tố cáo 2018 theo phân công của người giải quyết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7. Kết thúc việc xác minh nội dung tố cáo, người được giao xác minh phải có văn bản báo cáo người giải quyết tố cáo về kết quả xác minh nội dung tố cáo và kiến nghị biện pháp xử lý.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Bước 3: Kết luận nội dung tố cáo Theo quy định tại Điều 35 Luật Tố cáo 2018 và Điều 17 Nghị định 31/2019/NĐ-CP: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1. Căn cứ vào nội dung tố cáo, giải trình của người bị tố cáo, kết quả xác minh nội dung tố cáo, tài liệu, chứng cứ có liên quan, Chủ tịch Ủy ban nhân dân cấp xã ban </w:t>
      </w:r>
      <w:r w:rsidRPr="00827150">
        <w:rPr>
          <w:rFonts w:ascii="Times New Roman" w:eastAsia="Times New Roman" w:hAnsi="Times New Roman" w:cs="Times New Roman"/>
          <w:color w:val="1E2F41"/>
          <w:sz w:val="28"/>
          <w:szCs w:val="28"/>
        </w:rPr>
        <w:lastRenderedPageBreak/>
        <w:t xml:space="preserve">hành kết luận nội dung tố cáo. Kết luận nội dung tố cáo phải có các nội dung chính sau đây: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a) Kết quả xác minh nội dung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 Căn cứ pháp luật để xác định có hay không có hành vi vi phạm pháp luật; c) Kết luận về nội dung tố cáo là đúng, đúng một phần hoặc tố cáo sai sự thật; xác định trách nhiệm của từng cơ quan, tổ chức, cá nhân liên quan đến nội dung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d) Các biện pháp xử lý theo thẩm quyền cần thực hiện; kiến nghị cơ quan, tổ chức, cá nhân khác áp dụng các biện pháp xử lý theo thẩm quyền đối với cơ quan, tổ chức, cá nhân có vi phạm pháp luật;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đ) Kiến nghị cơ quan có thẩm quyền xem xét sửa đổi, bổ sung chính sách, pháp luật, áp dụng các biện pháp cần thiết để bảo vệ lợi ích của Nhà nước, quyền và lợi ích hợp pháp của cơ quan, tổ chức, cá nhân. Trường hợp giải quyết lại vụ việc tố cáo thì ngoài các nội dung trên, người giải quyết tố cáo phải kết luận về những nội dung vi phạm pháp luật, sai lầm hoặc không phù hợp của việc giải quyết tố cáo trước đó (nếu có); xử lý theo thẩm quyền hoặc chỉ đạo, kiến nghị cơ quan, tổ chức, đơn vị, cá nhân có thẩm quyền xử lý đối với cơ quan, tổ chức, đơn vị, cá nhân có hành vi vi phạm pháp luật trong quá trình giải quyết tố cáo trước đó.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2.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Bước 4: Xử lý kết luận nội dung tố cáo Theo quy định tại Điều 36 Luật Tố cáo 2018 và Điều 18 Nghị định số 31/2019/NĐ-CP: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1. Chậm nhất là 07 ngày làm việc kể từ ngày ban hành kết luận nội dung tố cáo, người giải quyết tố cáo căn cứ vào kết luận nội dung tố cáo tiến hành việc xử lý như sau: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 </w:t>
      </w:r>
    </w:p>
    <w:p w:rsidR="00827150"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2. Trường hợp hành vi vi phạm của người bị tố cáo có dấu hiệu của tội phạm thì chuyển ngay hồ sơ vụ việc đến Cơ quan điều tra hoặc Viện kiểm sát nhân dân có thẩm quyền để xử lý theo quy định của pháp luật. </w:t>
      </w:r>
    </w:p>
    <w:p w:rsidR="00561B32" w:rsidRPr="00827150" w:rsidRDefault="00561B32" w:rsidP="00827150">
      <w:pPr>
        <w:shd w:val="clear" w:color="auto" w:fill="FFFFFF"/>
        <w:tabs>
          <w:tab w:val="left" w:pos="8637"/>
        </w:tabs>
        <w:spacing w:after="0"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3. Trong thời hạn 05 ngày làm việc kể từ ngày có kết quả xử lý, cơ quan, tổ chức, cá nhân có thẩm quyền xử lý kiến nghị trong kết luận nội dung tố cáo có trách nhiệm thông báo bằng văn bản cho người giải quyết tố cáo về kết quả xử lý. Người </w:t>
      </w:r>
      <w:r w:rsidRPr="00827150">
        <w:rPr>
          <w:rFonts w:ascii="Times New Roman" w:eastAsia="Times New Roman" w:hAnsi="Times New Roman" w:cs="Times New Roman"/>
          <w:color w:val="1E2F41"/>
          <w:sz w:val="28"/>
          <w:szCs w:val="28"/>
        </w:rPr>
        <w:lastRenderedPageBreak/>
        <w:t>giải quyết tố cáo có trách nhiệm theo dõi, đôn đốc hoặc giao cho cơ quan chuyên môn theo dõi, đôn đốc việc thực hiện kết luận nội dung tố cáo. Trường hợp giao cho cơ quan chuyên môn theo dõi, đôn đốc việc thực hiện kết luận nội dung tố cáo thì cơ quan chuyên môn phải định kỳ hàng tháng báo cáo với người giải quyết tố cáo về kết quả theo dõi, đôn đốc việc thực hiện kết luận nội dung tố cáo.</w:t>
      </w:r>
    </w:p>
    <w:p w:rsidR="00561B32"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p>
    <w:p w:rsidR="00561B32" w:rsidRPr="00827150" w:rsidRDefault="00561B32" w:rsidP="00561B32">
      <w:pPr>
        <w:shd w:val="clear" w:color="auto" w:fill="FFFFFF"/>
        <w:spacing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Cách thức thực hiện:</w:t>
      </w:r>
    </w:p>
    <w:tbl>
      <w:tblPr>
        <w:tblW w:w="10339" w:type="dxa"/>
        <w:tblCellMar>
          <w:top w:w="15" w:type="dxa"/>
          <w:left w:w="15" w:type="dxa"/>
          <w:bottom w:w="15" w:type="dxa"/>
          <w:right w:w="15" w:type="dxa"/>
        </w:tblCellMar>
        <w:tblLook w:val="04A0" w:firstRow="1" w:lastRow="0" w:firstColumn="1" w:lastColumn="0" w:noHBand="0" w:noVBand="1"/>
      </w:tblPr>
      <w:tblGrid>
        <w:gridCol w:w="1839"/>
        <w:gridCol w:w="2371"/>
        <w:gridCol w:w="2214"/>
        <w:gridCol w:w="3915"/>
      </w:tblGrid>
      <w:tr w:rsidR="00561B32" w:rsidRPr="00827150" w:rsidTr="00561B32">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Thời hạn giải quyết</w:t>
            </w:r>
          </w:p>
        </w:tc>
        <w:tc>
          <w:tcPr>
            <w:tcW w:w="2214"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Phí, lệ phí</w:t>
            </w:r>
          </w:p>
        </w:tc>
        <w:tc>
          <w:tcPr>
            <w:tcW w:w="3914"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Mô tả</w:t>
            </w:r>
          </w:p>
        </w:tc>
      </w:tr>
      <w:tr w:rsidR="00561B32" w:rsidRPr="00827150" w:rsidTr="00561B32">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30 Ngày</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Theo quy định tại Điều 30 Luật Tố cáo: Thời hạn giải quyết tố cáo là không quá 30 ngày kể từ ngày thụ lý tố cáo. Đối với vụ việc phức tạp thì có thể gia hạn giải quyết tố cáo một lần nhưng không quá 30 ngày. Đối với vụ việc đặc biệt phức tạp thì có thể gia hạn giải quyết tố cáo hai lần, mỗi lần không quá 30 ngày.</w:t>
            </w:r>
          </w:p>
        </w:tc>
      </w:tr>
      <w:tr w:rsidR="00561B32" w:rsidRPr="00827150" w:rsidTr="00561B32">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Khác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Không gửi đơn tố cáo qua mạng</w:t>
            </w:r>
          </w:p>
        </w:tc>
      </w:tr>
      <w:tr w:rsidR="00561B32" w:rsidRPr="00827150" w:rsidTr="00561B32">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Dịch vụ bưu chính</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Khác</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 Tố cáo được thực hiện bằng đơn (gửi qua đường bưu điện hoặc gửi trực tiếp đến cơ quan, người có thẩm quyền giải quyết) - Tố cáo được trình bày trực tiếp với cơ quan, tổ chức, người có thẩm quyền.</w:t>
            </w:r>
          </w:p>
        </w:tc>
      </w:tr>
    </w:tbl>
    <w:p w:rsidR="00561B32" w:rsidRPr="00827150" w:rsidRDefault="00561B32" w:rsidP="00561B32">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Thành phần hồ sơ:</w:t>
      </w:r>
    </w:p>
    <w:p w:rsidR="00561B32" w:rsidRPr="00827150" w:rsidRDefault="00561B32" w:rsidP="00561B32">
      <w:pPr>
        <w:shd w:val="clear" w:color="auto" w:fill="FFFFFF"/>
        <w:spacing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Bao gồm</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561B32" w:rsidRPr="00827150" w:rsidTr="00561B32">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lastRenderedPageBreak/>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Số lượng</w:t>
            </w:r>
          </w:p>
        </w:tc>
      </w:tr>
      <w:tr w:rsidR="00561B32" w:rsidRPr="00827150" w:rsidTr="00561B32">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Đơn tố cáo hoặc bản ghi lời tố cáo</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color w:val="CE7A58"/>
                <w:sz w:val="28"/>
                <w:szCs w:val="28"/>
              </w:rPr>
              <w:t>Mẫu ban hành kèm theo Nghị định số 31-2019-NĐ-CP.doc</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Bản chính: 1</w:t>
            </w:r>
            <w:r w:rsidRPr="00827150">
              <w:rPr>
                <w:rFonts w:ascii="Times New Roman" w:eastAsia="Times New Roman" w:hAnsi="Times New Roman" w:cs="Times New Roman"/>
                <w:sz w:val="28"/>
                <w:szCs w:val="28"/>
              </w:rPr>
              <w:br/>
              <w:t>Bản sao: 0</w:t>
            </w:r>
          </w:p>
        </w:tc>
      </w:tr>
    </w:tbl>
    <w:p w:rsidR="00561B32"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Đối tượng thực hiện: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Công dân Việt Nam, Cán bộ, công chức, viên chức</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Cơ quan thực hiện: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Ủy ban nhân dân cấp xã</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Cơ quan có thẩm quyền: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Không có thông tin</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Địa chỉ tiếp nhận HS:</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Tại trụ sở cơ quan giải quyết tố cáo</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Cơ quan được ủy quyền: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Không có thông tin</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Cơ quan phối hợp:</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Không có thông tin</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Kết quả thực hiện:</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Kết luận nội dung tố cáo</w:t>
      </w:r>
    </w:p>
    <w:p w:rsidR="00561B32" w:rsidRPr="00827150" w:rsidRDefault="00561B32" w:rsidP="00561B32">
      <w:pPr>
        <w:shd w:val="clear" w:color="auto" w:fill="FFFFFF"/>
        <w:spacing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561B32" w:rsidRPr="00827150" w:rsidTr="00561B32">
        <w:trPr>
          <w:tblHeader/>
        </w:trPr>
        <w:tc>
          <w:tcPr>
            <w:tcW w:w="2033"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Số ký hiệu</w:t>
            </w:r>
          </w:p>
        </w:tc>
        <w:tc>
          <w:tcPr>
            <w:tcW w:w="3857"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Ngày ban hành</w:t>
            </w:r>
          </w:p>
        </w:tc>
        <w:tc>
          <w:tcPr>
            <w:tcW w:w="2496" w:type="dxa"/>
            <w:tcBorders>
              <w:bottom w:val="single" w:sz="12" w:space="0" w:color="CE7A58"/>
            </w:tcBorders>
            <w:shd w:val="clear" w:color="auto" w:fill="auto"/>
            <w:noWrap/>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Cơ quan ban hành</w:t>
            </w:r>
          </w:p>
        </w:tc>
      </w:tr>
      <w:tr w:rsidR="00561B32" w:rsidRPr="00827150" w:rsidTr="00561B32">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25/2018/QH14</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Luật 25/2018/QH14</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12-06-2018</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r>
      <w:tr w:rsidR="00561B32" w:rsidRPr="00827150" w:rsidTr="00561B32">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31/2019/NĐ-CP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Nghị định 31/2019/NĐ-CP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10-04-2019</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r>
      <w:tr w:rsidR="00561B32" w:rsidRPr="00827150" w:rsidTr="00561B32">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141/2025/NĐ-CP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Nghị định số 141/2025/NĐ-CP ngày 12 tháng 6 năm 2025 của Chính phủ quy định về phân định thẩm quyền của chính quyền địa phương 02 cấp trong lĩnh vực quản lý nhà nước của Thanh tra Chính phủ</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12-06-2025</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r>
      <w:tr w:rsidR="00561B32" w:rsidRPr="00827150" w:rsidTr="00561B32">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02/2025/TT-TTCP</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t xml:space="preserve">Thông tư số 02/2025/TT-TTCP ngày 25 tháng 6 năm 2025 hướng dẫn thực hiện một số </w:t>
            </w:r>
            <w:r w:rsidRPr="00827150">
              <w:rPr>
                <w:rFonts w:ascii="Times New Roman" w:eastAsia="Times New Roman" w:hAnsi="Times New Roman" w:cs="Times New Roman"/>
                <w:sz w:val="28"/>
                <w:szCs w:val="28"/>
              </w:rPr>
              <w:lastRenderedPageBreak/>
              <w:t>quy định thuộc lĩnh vực quản lý nhà nước của Thanh tra Chính phủ liên quan đến chính quyền địa phương 02 cấp</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r w:rsidRPr="00827150">
              <w:rPr>
                <w:rFonts w:ascii="Times New Roman" w:eastAsia="Times New Roman" w:hAnsi="Times New Roman" w:cs="Times New Roman"/>
                <w:sz w:val="28"/>
                <w:szCs w:val="28"/>
              </w:rPr>
              <w:lastRenderedPageBreak/>
              <w:t>25-06-2025</w:t>
            </w:r>
          </w:p>
        </w:tc>
        <w:tc>
          <w:tcPr>
            <w:tcW w:w="0" w:type="auto"/>
            <w:tcBorders>
              <w:bottom w:val="nil"/>
            </w:tcBorders>
            <w:shd w:val="clear" w:color="auto" w:fill="auto"/>
            <w:tcMar>
              <w:top w:w="150" w:type="dxa"/>
              <w:left w:w="150" w:type="dxa"/>
              <w:bottom w:w="150" w:type="dxa"/>
              <w:right w:w="150" w:type="dxa"/>
            </w:tcMar>
            <w:vAlign w:val="center"/>
            <w:hideMark/>
          </w:tcPr>
          <w:p w:rsidR="00561B32" w:rsidRPr="00827150" w:rsidRDefault="00561B32" w:rsidP="00561B32">
            <w:pPr>
              <w:spacing w:after="0" w:line="330" w:lineRule="atLeast"/>
              <w:rPr>
                <w:rFonts w:ascii="Times New Roman" w:eastAsia="Times New Roman" w:hAnsi="Times New Roman" w:cs="Times New Roman"/>
                <w:sz w:val="28"/>
                <w:szCs w:val="28"/>
              </w:rPr>
            </w:pPr>
          </w:p>
        </w:tc>
      </w:tr>
    </w:tbl>
    <w:p w:rsidR="00561B32" w:rsidRPr="00827150" w:rsidRDefault="00561B32" w:rsidP="00561B32">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lastRenderedPageBreak/>
        <w:t>Yêu cầu, điều kiện thực hiện:</w:t>
      </w:r>
    </w:p>
    <w:p w:rsidR="00827150"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Theo quy định tại khoản 1 điều 29 Luật Tố cáo 2018: Người giải quyết tố cáo ra quyết định thụ lý tố cáo khi có đủ các điều kiện sau: </w:t>
      </w:r>
    </w:p>
    <w:p w:rsidR="00827150"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a) Tố cáo được thực hiện theo quy định tại Điều 23 của Luật Tố cáo; </w:t>
      </w:r>
    </w:p>
    <w:p w:rsidR="00827150"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b) Người tố cáo có đủ năng lực hành vi dân sự; trường hợp không có đủ năng lực hành vi dân sự thì phải có người đại diện theo quy định của pháp luật;</w:t>
      </w:r>
    </w:p>
    <w:p w:rsidR="00827150"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 xml:space="preserve"> c) Vụ việc thuộc thẩm quyền giải quyết tố cáo của cơ quan, tổ chức, cá nhân tiếp nhận tố cáo; </w:t>
      </w:r>
    </w:p>
    <w:p w:rsidR="00561B32" w:rsidRPr="00827150" w:rsidRDefault="00561B32" w:rsidP="00561B32">
      <w:pPr>
        <w:shd w:val="clear" w:color="auto" w:fill="FFFFFF"/>
        <w:spacing w:line="240" w:lineRule="auto"/>
        <w:rPr>
          <w:rFonts w:ascii="Times New Roman" w:eastAsia="Times New Roman" w:hAnsi="Times New Roman" w:cs="Times New Roman"/>
          <w:color w:val="1E2F41"/>
          <w:sz w:val="28"/>
          <w:szCs w:val="28"/>
        </w:rPr>
      </w:pPr>
      <w:r w:rsidRPr="00827150">
        <w:rPr>
          <w:rFonts w:ascii="Times New Roman" w:eastAsia="Times New Roman" w:hAnsi="Times New Roman" w:cs="Times New Roman"/>
          <w:color w:val="1E2F41"/>
          <w:sz w:val="28"/>
          <w:szCs w:val="28"/>
        </w:rPr>
        <w:t>d) Nội dung tố cáo có cơ sở để xác định người vi phạm, hành vi vi phạm pháp luật. 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Từ khóa:</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Tố cáo</w:t>
      </w:r>
    </w:p>
    <w:p w:rsidR="00561B32" w:rsidRPr="00827150" w:rsidRDefault="00561B32" w:rsidP="00827150">
      <w:pPr>
        <w:shd w:val="clear" w:color="auto" w:fill="FFFFFF"/>
        <w:spacing w:after="30" w:line="240" w:lineRule="auto"/>
        <w:rPr>
          <w:rFonts w:ascii="Times New Roman" w:eastAsia="Times New Roman" w:hAnsi="Times New Roman" w:cs="Times New Roman"/>
          <w:color w:val="333333"/>
          <w:sz w:val="28"/>
          <w:szCs w:val="28"/>
        </w:rPr>
      </w:pPr>
      <w:r w:rsidRPr="00827150">
        <w:rPr>
          <w:rFonts w:ascii="Times New Roman" w:eastAsia="Times New Roman" w:hAnsi="Times New Roman" w:cs="Times New Roman"/>
          <w:color w:val="333333"/>
          <w:sz w:val="28"/>
          <w:szCs w:val="28"/>
        </w:rPr>
        <w:t>Mô tả:</w:t>
      </w:r>
      <w:r w:rsidR="00827150" w:rsidRPr="00827150">
        <w:rPr>
          <w:rFonts w:ascii="Times New Roman" w:eastAsia="Times New Roman" w:hAnsi="Times New Roman" w:cs="Times New Roman"/>
          <w:color w:val="333333"/>
          <w:sz w:val="28"/>
          <w:szCs w:val="28"/>
        </w:rPr>
        <w:t xml:space="preserve"> </w:t>
      </w:r>
      <w:r w:rsidRPr="00827150">
        <w:rPr>
          <w:rFonts w:ascii="Times New Roman" w:eastAsia="Times New Roman" w:hAnsi="Times New Roman" w:cs="Times New Roman"/>
          <w:color w:val="1E2F41"/>
          <w:sz w:val="28"/>
          <w:szCs w:val="28"/>
        </w:rPr>
        <w:t>Không có thông tin</w:t>
      </w:r>
    </w:p>
    <w:p w:rsidR="00161418" w:rsidRPr="00827150" w:rsidRDefault="00161418">
      <w:pPr>
        <w:rPr>
          <w:rFonts w:ascii="Times New Roman" w:hAnsi="Times New Roman" w:cs="Times New Roman"/>
          <w:sz w:val="28"/>
          <w:szCs w:val="28"/>
        </w:rPr>
      </w:pPr>
    </w:p>
    <w:sectPr w:rsidR="00161418" w:rsidRPr="0082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32"/>
    <w:rsid w:val="00161418"/>
    <w:rsid w:val="00561B32"/>
    <w:rsid w:val="005E4DCA"/>
    <w:rsid w:val="0082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5F95"/>
  <w15:chartTrackingRefBased/>
  <w15:docId w15:val="{2826072E-8FB8-4D5A-B684-8CA48126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50"/>
    <w:pPr>
      <w:ind w:left="720"/>
      <w:contextualSpacing/>
    </w:pPr>
  </w:style>
  <w:style w:type="paragraph" w:styleId="BalloonText">
    <w:name w:val="Balloon Text"/>
    <w:basedOn w:val="Normal"/>
    <w:link w:val="BalloonTextChar"/>
    <w:uiPriority w:val="99"/>
    <w:semiHidden/>
    <w:unhideWhenUsed/>
    <w:rsid w:val="005E4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855914">
      <w:bodyDiv w:val="1"/>
      <w:marLeft w:val="0"/>
      <w:marRight w:val="0"/>
      <w:marTop w:val="0"/>
      <w:marBottom w:val="0"/>
      <w:divBdr>
        <w:top w:val="none" w:sz="0" w:space="0" w:color="auto"/>
        <w:left w:val="none" w:sz="0" w:space="0" w:color="auto"/>
        <w:bottom w:val="none" w:sz="0" w:space="0" w:color="auto"/>
        <w:right w:val="none" w:sz="0" w:space="0" w:color="auto"/>
      </w:divBdr>
      <w:divsChild>
        <w:div w:id="673727803">
          <w:marLeft w:val="0"/>
          <w:marRight w:val="0"/>
          <w:marTop w:val="0"/>
          <w:marBottom w:val="0"/>
          <w:divBdr>
            <w:top w:val="none" w:sz="0" w:space="0" w:color="auto"/>
            <w:left w:val="none" w:sz="0" w:space="0" w:color="auto"/>
            <w:bottom w:val="none" w:sz="0" w:space="0" w:color="auto"/>
            <w:right w:val="none" w:sz="0" w:space="0" w:color="auto"/>
          </w:divBdr>
          <w:divsChild>
            <w:div w:id="1096099646">
              <w:marLeft w:val="-225"/>
              <w:marRight w:val="-225"/>
              <w:marTop w:val="0"/>
              <w:marBottom w:val="300"/>
              <w:divBdr>
                <w:top w:val="none" w:sz="0" w:space="0" w:color="auto"/>
                <w:left w:val="none" w:sz="0" w:space="0" w:color="auto"/>
                <w:bottom w:val="none" w:sz="0" w:space="0" w:color="auto"/>
                <w:right w:val="none" w:sz="0" w:space="0" w:color="auto"/>
              </w:divBdr>
              <w:divsChild>
                <w:div w:id="1895919812">
                  <w:marLeft w:val="0"/>
                  <w:marRight w:val="0"/>
                  <w:marTop w:val="0"/>
                  <w:marBottom w:val="30"/>
                  <w:divBdr>
                    <w:top w:val="none" w:sz="0" w:space="0" w:color="auto"/>
                    <w:left w:val="none" w:sz="0" w:space="0" w:color="auto"/>
                    <w:bottom w:val="none" w:sz="0" w:space="0" w:color="auto"/>
                    <w:right w:val="none" w:sz="0" w:space="0" w:color="auto"/>
                  </w:divBdr>
                </w:div>
                <w:div w:id="832137475">
                  <w:marLeft w:val="0"/>
                  <w:marRight w:val="0"/>
                  <w:marTop w:val="0"/>
                  <w:marBottom w:val="0"/>
                  <w:divBdr>
                    <w:top w:val="none" w:sz="0" w:space="0" w:color="auto"/>
                    <w:left w:val="none" w:sz="0" w:space="0" w:color="auto"/>
                    <w:bottom w:val="none" w:sz="0" w:space="0" w:color="auto"/>
                    <w:right w:val="none" w:sz="0" w:space="0" w:color="auto"/>
                  </w:divBdr>
                </w:div>
              </w:divsChild>
            </w:div>
            <w:div w:id="823083907">
              <w:marLeft w:val="-225"/>
              <w:marRight w:val="-225"/>
              <w:marTop w:val="0"/>
              <w:marBottom w:val="300"/>
              <w:divBdr>
                <w:top w:val="none" w:sz="0" w:space="0" w:color="auto"/>
                <w:left w:val="none" w:sz="0" w:space="0" w:color="auto"/>
                <w:bottom w:val="none" w:sz="0" w:space="0" w:color="auto"/>
                <w:right w:val="none" w:sz="0" w:space="0" w:color="auto"/>
              </w:divBdr>
              <w:divsChild>
                <w:div w:id="2060784330">
                  <w:marLeft w:val="0"/>
                  <w:marRight w:val="0"/>
                  <w:marTop w:val="0"/>
                  <w:marBottom w:val="30"/>
                  <w:divBdr>
                    <w:top w:val="none" w:sz="0" w:space="0" w:color="auto"/>
                    <w:left w:val="none" w:sz="0" w:space="0" w:color="auto"/>
                    <w:bottom w:val="none" w:sz="0" w:space="0" w:color="auto"/>
                    <w:right w:val="none" w:sz="0" w:space="0" w:color="auto"/>
                  </w:divBdr>
                </w:div>
                <w:div w:id="1304386327">
                  <w:marLeft w:val="0"/>
                  <w:marRight w:val="0"/>
                  <w:marTop w:val="0"/>
                  <w:marBottom w:val="0"/>
                  <w:divBdr>
                    <w:top w:val="none" w:sz="0" w:space="0" w:color="auto"/>
                    <w:left w:val="none" w:sz="0" w:space="0" w:color="auto"/>
                    <w:bottom w:val="none" w:sz="0" w:space="0" w:color="auto"/>
                    <w:right w:val="none" w:sz="0" w:space="0" w:color="auto"/>
                  </w:divBdr>
                </w:div>
              </w:divsChild>
            </w:div>
            <w:div w:id="141317547">
              <w:marLeft w:val="-225"/>
              <w:marRight w:val="-225"/>
              <w:marTop w:val="0"/>
              <w:marBottom w:val="300"/>
              <w:divBdr>
                <w:top w:val="none" w:sz="0" w:space="0" w:color="auto"/>
                <w:left w:val="none" w:sz="0" w:space="0" w:color="auto"/>
                <w:bottom w:val="none" w:sz="0" w:space="0" w:color="auto"/>
                <w:right w:val="none" w:sz="0" w:space="0" w:color="auto"/>
              </w:divBdr>
              <w:divsChild>
                <w:div w:id="178543458">
                  <w:marLeft w:val="0"/>
                  <w:marRight w:val="0"/>
                  <w:marTop w:val="0"/>
                  <w:marBottom w:val="30"/>
                  <w:divBdr>
                    <w:top w:val="none" w:sz="0" w:space="0" w:color="auto"/>
                    <w:left w:val="none" w:sz="0" w:space="0" w:color="auto"/>
                    <w:bottom w:val="none" w:sz="0" w:space="0" w:color="auto"/>
                    <w:right w:val="none" w:sz="0" w:space="0" w:color="auto"/>
                  </w:divBdr>
                </w:div>
                <w:div w:id="1711419382">
                  <w:marLeft w:val="0"/>
                  <w:marRight w:val="0"/>
                  <w:marTop w:val="0"/>
                  <w:marBottom w:val="0"/>
                  <w:divBdr>
                    <w:top w:val="none" w:sz="0" w:space="0" w:color="auto"/>
                    <w:left w:val="none" w:sz="0" w:space="0" w:color="auto"/>
                    <w:bottom w:val="none" w:sz="0" w:space="0" w:color="auto"/>
                    <w:right w:val="none" w:sz="0" w:space="0" w:color="auto"/>
                  </w:divBdr>
                </w:div>
              </w:divsChild>
            </w:div>
            <w:div w:id="1326278269">
              <w:marLeft w:val="-225"/>
              <w:marRight w:val="-225"/>
              <w:marTop w:val="0"/>
              <w:marBottom w:val="300"/>
              <w:divBdr>
                <w:top w:val="none" w:sz="0" w:space="0" w:color="auto"/>
                <w:left w:val="none" w:sz="0" w:space="0" w:color="auto"/>
                <w:bottom w:val="none" w:sz="0" w:space="0" w:color="auto"/>
                <w:right w:val="none" w:sz="0" w:space="0" w:color="auto"/>
              </w:divBdr>
              <w:divsChild>
                <w:div w:id="382171971">
                  <w:marLeft w:val="0"/>
                  <w:marRight w:val="0"/>
                  <w:marTop w:val="0"/>
                  <w:marBottom w:val="30"/>
                  <w:divBdr>
                    <w:top w:val="none" w:sz="0" w:space="0" w:color="auto"/>
                    <w:left w:val="none" w:sz="0" w:space="0" w:color="auto"/>
                    <w:bottom w:val="none" w:sz="0" w:space="0" w:color="auto"/>
                    <w:right w:val="none" w:sz="0" w:space="0" w:color="auto"/>
                  </w:divBdr>
                </w:div>
                <w:div w:id="1574271707">
                  <w:marLeft w:val="0"/>
                  <w:marRight w:val="0"/>
                  <w:marTop w:val="0"/>
                  <w:marBottom w:val="0"/>
                  <w:divBdr>
                    <w:top w:val="none" w:sz="0" w:space="0" w:color="auto"/>
                    <w:left w:val="none" w:sz="0" w:space="0" w:color="auto"/>
                    <w:bottom w:val="none" w:sz="0" w:space="0" w:color="auto"/>
                    <w:right w:val="none" w:sz="0" w:space="0" w:color="auto"/>
                  </w:divBdr>
                </w:div>
              </w:divsChild>
            </w:div>
            <w:div w:id="1552501107">
              <w:marLeft w:val="-225"/>
              <w:marRight w:val="-225"/>
              <w:marTop w:val="0"/>
              <w:marBottom w:val="300"/>
              <w:divBdr>
                <w:top w:val="none" w:sz="0" w:space="0" w:color="auto"/>
                <w:left w:val="none" w:sz="0" w:space="0" w:color="auto"/>
                <w:bottom w:val="none" w:sz="0" w:space="0" w:color="auto"/>
                <w:right w:val="none" w:sz="0" w:space="0" w:color="auto"/>
              </w:divBdr>
              <w:divsChild>
                <w:div w:id="1574312274">
                  <w:marLeft w:val="0"/>
                  <w:marRight w:val="0"/>
                  <w:marTop w:val="0"/>
                  <w:marBottom w:val="30"/>
                  <w:divBdr>
                    <w:top w:val="none" w:sz="0" w:space="0" w:color="auto"/>
                    <w:left w:val="none" w:sz="0" w:space="0" w:color="auto"/>
                    <w:bottom w:val="none" w:sz="0" w:space="0" w:color="auto"/>
                    <w:right w:val="none" w:sz="0" w:space="0" w:color="auto"/>
                  </w:divBdr>
                </w:div>
                <w:div w:id="1675717942">
                  <w:marLeft w:val="0"/>
                  <w:marRight w:val="0"/>
                  <w:marTop w:val="0"/>
                  <w:marBottom w:val="0"/>
                  <w:divBdr>
                    <w:top w:val="none" w:sz="0" w:space="0" w:color="auto"/>
                    <w:left w:val="none" w:sz="0" w:space="0" w:color="auto"/>
                    <w:bottom w:val="none" w:sz="0" w:space="0" w:color="auto"/>
                    <w:right w:val="none" w:sz="0" w:space="0" w:color="auto"/>
                  </w:divBdr>
                </w:div>
              </w:divsChild>
            </w:div>
            <w:div w:id="1415709244">
              <w:marLeft w:val="-225"/>
              <w:marRight w:val="-225"/>
              <w:marTop w:val="0"/>
              <w:marBottom w:val="300"/>
              <w:divBdr>
                <w:top w:val="none" w:sz="0" w:space="0" w:color="auto"/>
                <w:left w:val="none" w:sz="0" w:space="0" w:color="auto"/>
                <w:bottom w:val="none" w:sz="0" w:space="0" w:color="auto"/>
                <w:right w:val="none" w:sz="0" w:space="0" w:color="auto"/>
              </w:divBdr>
              <w:divsChild>
                <w:div w:id="1381590181">
                  <w:marLeft w:val="0"/>
                  <w:marRight w:val="0"/>
                  <w:marTop w:val="0"/>
                  <w:marBottom w:val="30"/>
                  <w:divBdr>
                    <w:top w:val="none" w:sz="0" w:space="0" w:color="auto"/>
                    <w:left w:val="none" w:sz="0" w:space="0" w:color="auto"/>
                    <w:bottom w:val="none" w:sz="0" w:space="0" w:color="auto"/>
                    <w:right w:val="none" w:sz="0" w:space="0" w:color="auto"/>
                  </w:divBdr>
                </w:div>
                <w:div w:id="605424179">
                  <w:marLeft w:val="0"/>
                  <w:marRight w:val="0"/>
                  <w:marTop w:val="0"/>
                  <w:marBottom w:val="0"/>
                  <w:divBdr>
                    <w:top w:val="none" w:sz="0" w:space="0" w:color="auto"/>
                    <w:left w:val="none" w:sz="0" w:space="0" w:color="auto"/>
                    <w:bottom w:val="none" w:sz="0" w:space="0" w:color="auto"/>
                    <w:right w:val="none" w:sz="0" w:space="0" w:color="auto"/>
                  </w:divBdr>
                </w:div>
              </w:divsChild>
            </w:div>
            <w:div w:id="1953437223">
              <w:marLeft w:val="-225"/>
              <w:marRight w:val="-225"/>
              <w:marTop w:val="0"/>
              <w:marBottom w:val="300"/>
              <w:divBdr>
                <w:top w:val="none" w:sz="0" w:space="0" w:color="auto"/>
                <w:left w:val="none" w:sz="0" w:space="0" w:color="auto"/>
                <w:bottom w:val="none" w:sz="0" w:space="0" w:color="auto"/>
                <w:right w:val="none" w:sz="0" w:space="0" w:color="auto"/>
              </w:divBdr>
              <w:divsChild>
                <w:div w:id="958337578">
                  <w:marLeft w:val="0"/>
                  <w:marRight w:val="0"/>
                  <w:marTop w:val="0"/>
                  <w:marBottom w:val="30"/>
                  <w:divBdr>
                    <w:top w:val="none" w:sz="0" w:space="0" w:color="auto"/>
                    <w:left w:val="none" w:sz="0" w:space="0" w:color="auto"/>
                    <w:bottom w:val="none" w:sz="0" w:space="0" w:color="auto"/>
                    <w:right w:val="none" w:sz="0" w:space="0" w:color="auto"/>
                  </w:divBdr>
                </w:div>
                <w:div w:id="1146046555">
                  <w:marLeft w:val="0"/>
                  <w:marRight w:val="0"/>
                  <w:marTop w:val="0"/>
                  <w:marBottom w:val="0"/>
                  <w:divBdr>
                    <w:top w:val="none" w:sz="0" w:space="0" w:color="auto"/>
                    <w:left w:val="none" w:sz="0" w:space="0" w:color="auto"/>
                    <w:bottom w:val="none" w:sz="0" w:space="0" w:color="auto"/>
                    <w:right w:val="none" w:sz="0" w:space="0" w:color="auto"/>
                  </w:divBdr>
                  <w:divsChild>
                    <w:div w:id="19452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4848">
              <w:marLeft w:val="-225"/>
              <w:marRight w:val="-225"/>
              <w:marTop w:val="0"/>
              <w:marBottom w:val="300"/>
              <w:divBdr>
                <w:top w:val="none" w:sz="0" w:space="0" w:color="auto"/>
                <w:left w:val="none" w:sz="0" w:space="0" w:color="auto"/>
                <w:bottom w:val="none" w:sz="0" w:space="0" w:color="auto"/>
                <w:right w:val="none" w:sz="0" w:space="0" w:color="auto"/>
              </w:divBdr>
              <w:divsChild>
                <w:div w:id="1666856850">
                  <w:marLeft w:val="0"/>
                  <w:marRight w:val="0"/>
                  <w:marTop w:val="0"/>
                  <w:marBottom w:val="30"/>
                  <w:divBdr>
                    <w:top w:val="none" w:sz="0" w:space="0" w:color="auto"/>
                    <w:left w:val="none" w:sz="0" w:space="0" w:color="auto"/>
                    <w:bottom w:val="none" w:sz="0" w:space="0" w:color="auto"/>
                    <w:right w:val="none" w:sz="0" w:space="0" w:color="auto"/>
                  </w:divBdr>
                </w:div>
                <w:div w:id="1170287936">
                  <w:marLeft w:val="0"/>
                  <w:marRight w:val="0"/>
                  <w:marTop w:val="0"/>
                  <w:marBottom w:val="0"/>
                  <w:divBdr>
                    <w:top w:val="none" w:sz="0" w:space="0" w:color="auto"/>
                    <w:left w:val="none" w:sz="0" w:space="0" w:color="auto"/>
                    <w:bottom w:val="none" w:sz="0" w:space="0" w:color="auto"/>
                    <w:right w:val="none" w:sz="0" w:space="0" w:color="auto"/>
                  </w:divBdr>
                  <w:divsChild>
                    <w:div w:id="12431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2977">
              <w:marLeft w:val="-225"/>
              <w:marRight w:val="-225"/>
              <w:marTop w:val="0"/>
              <w:marBottom w:val="300"/>
              <w:divBdr>
                <w:top w:val="none" w:sz="0" w:space="0" w:color="auto"/>
                <w:left w:val="none" w:sz="0" w:space="0" w:color="auto"/>
                <w:bottom w:val="none" w:sz="0" w:space="0" w:color="auto"/>
                <w:right w:val="none" w:sz="0" w:space="0" w:color="auto"/>
              </w:divBdr>
              <w:divsChild>
                <w:div w:id="487865021">
                  <w:marLeft w:val="0"/>
                  <w:marRight w:val="0"/>
                  <w:marTop w:val="0"/>
                  <w:marBottom w:val="30"/>
                  <w:divBdr>
                    <w:top w:val="none" w:sz="0" w:space="0" w:color="auto"/>
                    <w:left w:val="none" w:sz="0" w:space="0" w:color="auto"/>
                    <w:bottom w:val="none" w:sz="0" w:space="0" w:color="auto"/>
                    <w:right w:val="none" w:sz="0" w:space="0" w:color="auto"/>
                  </w:divBdr>
                </w:div>
                <w:div w:id="1042633028">
                  <w:marLeft w:val="0"/>
                  <w:marRight w:val="0"/>
                  <w:marTop w:val="0"/>
                  <w:marBottom w:val="0"/>
                  <w:divBdr>
                    <w:top w:val="none" w:sz="0" w:space="0" w:color="auto"/>
                    <w:left w:val="none" w:sz="0" w:space="0" w:color="auto"/>
                    <w:bottom w:val="none" w:sz="0" w:space="0" w:color="auto"/>
                    <w:right w:val="none" w:sz="0" w:space="0" w:color="auto"/>
                  </w:divBdr>
                  <w:divsChild>
                    <w:div w:id="187033539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818957537">
              <w:marLeft w:val="-225"/>
              <w:marRight w:val="-225"/>
              <w:marTop w:val="0"/>
              <w:marBottom w:val="300"/>
              <w:divBdr>
                <w:top w:val="none" w:sz="0" w:space="0" w:color="auto"/>
                <w:left w:val="none" w:sz="0" w:space="0" w:color="auto"/>
                <w:bottom w:val="none" w:sz="0" w:space="0" w:color="auto"/>
                <w:right w:val="none" w:sz="0" w:space="0" w:color="auto"/>
              </w:divBdr>
              <w:divsChild>
                <w:div w:id="2097362073">
                  <w:marLeft w:val="0"/>
                  <w:marRight w:val="0"/>
                  <w:marTop w:val="0"/>
                  <w:marBottom w:val="30"/>
                  <w:divBdr>
                    <w:top w:val="none" w:sz="0" w:space="0" w:color="auto"/>
                    <w:left w:val="none" w:sz="0" w:space="0" w:color="auto"/>
                    <w:bottom w:val="none" w:sz="0" w:space="0" w:color="auto"/>
                    <w:right w:val="none" w:sz="0" w:space="0" w:color="auto"/>
                  </w:divBdr>
                </w:div>
                <w:div w:id="1907719807">
                  <w:marLeft w:val="0"/>
                  <w:marRight w:val="0"/>
                  <w:marTop w:val="0"/>
                  <w:marBottom w:val="0"/>
                  <w:divBdr>
                    <w:top w:val="none" w:sz="0" w:space="0" w:color="auto"/>
                    <w:left w:val="none" w:sz="0" w:space="0" w:color="auto"/>
                    <w:bottom w:val="none" w:sz="0" w:space="0" w:color="auto"/>
                    <w:right w:val="none" w:sz="0" w:space="0" w:color="auto"/>
                  </w:divBdr>
                </w:div>
              </w:divsChild>
            </w:div>
            <w:div w:id="1496455598">
              <w:marLeft w:val="-225"/>
              <w:marRight w:val="-225"/>
              <w:marTop w:val="0"/>
              <w:marBottom w:val="300"/>
              <w:divBdr>
                <w:top w:val="none" w:sz="0" w:space="0" w:color="auto"/>
                <w:left w:val="none" w:sz="0" w:space="0" w:color="auto"/>
                <w:bottom w:val="none" w:sz="0" w:space="0" w:color="auto"/>
                <w:right w:val="none" w:sz="0" w:space="0" w:color="auto"/>
              </w:divBdr>
              <w:divsChild>
                <w:div w:id="867912247">
                  <w:marLeft w:val="0"/>
                  <w:marRight w:val="0"/>
                  <w:marTop w:val="0"/>
                  <w:marBottom w:val="30"/>
                  <w:divBdr>
                    <w:top w:val="none" w:sz="0" w:space="0" w:color="auto"/>
                    <w:left w:val="none" w:sz="0" w:space="0" w:color="auto"/>
                    <w:bottom w:val="none" w:sz="0" w:space="0" w:color="auto"/>
                    <w:right w:val="none" w:sz="0" w:space="0" w:color="auto"/>
                  </w:divBdr>
                </w:div>
                <w:div w:id="1152453451">
                  <w:marLeft w:val="0"/>
                  <w:marRight w:val="0"/>
                  <w:marTop w:val="0"/>
                  <w:marBottom w:val="0"/>
                  <w:divBdr>
                    <w:top w:val="none" w:sz="0" w:space="0" w:color="auto"/>
                    <w:left w:val="none" w:sz="0" w:space="0" w:color="auto"/>
                    <w:bottom w:val="none" w:sz="0" w:space="0" w:color="auto"/>
                    <w:right w:val="none" w:sz="0" w:space="0" w:color="auto"/>
                  </w:divBdr>
                </w:div>
              </w:divsChild>
            </w:div>
            <w:div w:id="1737972406">
              <w:marLeft w:val="-225"/>
              <w:marRight w:val="-225"/>
              <w:marTop w:val="0"/>
              <w:marBottom w:val="300"/>
              <w:divBdr>
                <w:top w:val="none" w:sz="0" w:space="0" w:color="auto"/>
                <w:left w:val="none" w:sz="0" w:space="0" w:color="auto"/>
                <w:bottom w:val="none" w:sz="0" w:space="0" w:color="auto"/>
                <w:right w:val="none" w:sz="0" w:space="0" w:color="auto"/>
              </w:divBdr>
              <w:divsChild>
                <w:div w:id="1014922813">
                  <w:marLeft w:val="0"/>
                  <w:marRight w:val="0"/>
                  <w:marTop w:val="0"/>
                  <w:marBottom w:val="30"/>
                  <w:divBdr>
                    <w:top w:val="none" w:sz="0" w:space="0" w:color="auto"/>
                    <w:left w:val="none" w:sz="0" w:space="0" w:color="auto"/>
                    <w:bottom w:val="none" w:sz="0" w:space="0" w:color="auto"/>
                    <w:right w:val="none" w:sz="0" w:space="0" w:color="auto"/>
                  </w:divBdr>
                </w:div>
                <w:div w:id="157964090">
                  <w:marLeft w:val="0"/>
                  <w:marRight w:val="0"/>
                  <w:marTop w:val="0"/>
                  <w:marBottom w:val="0"/>
                  <w:divBdr>
                    <w:top w:val="none" w:sz="0" w:space="0" w:color="auto"/>
                    <w:left w:val="none" w:sz="0" w:space="0" w:color="auto"/>
                    <w:bottom w:val="none" w:sz="0" w:space="0" w:color="auto"/>
                    <w:right w:val="none" w:sz="0" w:space="0" w:color="auto"/>
                  </w:divBdr>
                </w:div>
              </w:divsChild>
            </w:div>
            <w:div w:id="143012521">
              <w:marLeft w:val="-225"/>
              <w:marRight w:val="-225"/>
              <w:marTop w:val="0"/>
              <w:marBottom w:val="300"/>
              <w:divBdr>
                <w:top w:val="none" w:sz="0" w:space="0" w:color="auto"/>
                <w:left w:val="none" w:sz="0" w:space="0" w:color="auto"/>
                <w:bottom w:val="none" w:sz="0" w:space="0" w:color="auto"/>
                <w:right w:val="none" w:sz="0" w:space="0" w:color="auto"/>
              </w:divBdr>
              <w:divsChild>
                <w:div w:id="184948341">
                  <w:marLeft w:val="0"/>
                  <w:marRight w:val="0"/>
                  <w:marTop w:val="0"/>
                  <w:marBottom w:val="30"/>
                  <w:divBdr>
                    <w:top w:val="none" w:sz="0" w:space="0" w:color="auto"/>
                    <w:left w:val="none" w:sz="0" w:space="0" w:color="auto"/>
                    <w:bottom w:val="none" w:sz="0" w:space="0" w:color="auto"/>
                    <w:right w:val="none" w:sz="0" w:space="0" w:color="auto"/>
                  </w:divBdr>
                </w:div>
                <w:div w:id="362248501">
                  <w:marLeft w:val="0"/>
                  <w:marRight w:val="0"/>
                  <w:marTop w:val="0"/>
                  <w:marBottom w:val="0"/>
                  <w:divBdr>
                    <w:top w:val="none" w:sz="0" w:space="0" w:color="auto"/>
                    <w:left w:val="none" w:sz="0" w:space="0" w:color="auto"/>
                    <w:bottom w:val="none" w:sz="0" w:space="0" w:color="auto"/>
                    <w:right w:val="none" w:sz="0" w:space="0" w:color="auto"/>
                  </w:divBdr>
                </w:div>
              </w:divsChild>
            </w:div>
            <w:div w:id="1829394591">
              <w:marLeft w:val="-225"/>
              <w:marRight w:val="-225"/>
              <w:marTop w:val="0"/>
              <w:marBottom w:val="300"/>
              <w:divBdr>
                <w:top w:val="none" w:sz="0" w:space="0" w:color="auto"/>
                <w:left w:val="none" w:sz="0" w:space="0" w:color="auto"/>
                <w:bottom w:val="none" w:sz="0" w:space="0" w:color="auto"/>
                <w:right w:val="none" w:sz="0" w:space="0" w:color="auto"/>
              </w:divBdr>
              <w:divsChild>
                <w:div w:id="176501786">
                  <w:marLeft w:val="0"/>
                  <w:marRight w:val="0"/>
                  <w:marTop w:val="0"/>
                  <w:marBottom w:val="30"/>
                  <w:divBdr>
                    <w:top w:val="none" w:sz="0" w:space="0" w:color="auto"/>
                    <w:left w:val="none" w:sz="0" w:space="0" w:color="auto"/>
                    <w:bottom w:val="none" w:sz="0" w:space="0" w:color="auto"/>
                    <w:right w:val="none" w:sz="0" w:space="0" w:color="auto"/>
                  </w:divBdr>
                </w:div>
                <w:div w:id="1697729137">
                  <w:marLeft w:val="0"/>
                  <w:marRight w:val="0"/>
                  <w:marTop w:val="0"/>
                  <w:marBottom w:val="0"/>
                  <w:divBdr>
                    <w:top w:val="none" w:sz="0" w:space="0" w:color="auto"/>
                    <w:left w:val="none" w:sz="0" w:space="0" w:color="auto"/>
                    <w:bottom w:val="none" w:sz="0" w:space="0" w:color="auto"/>
                    <w:right w:val="none" w:sz="0" w:space="0" w:color="auto"/>
                  </w:divBdr>
                </w:div>
              </w:divsChild>
            </w:div>
            <w:div w:id="353700954">
              <w:marLeft w:val="-225"/>
              <w:marRight w:val="-225"/>
              <w:marTop w:val="0"/>
              <w:marBottom w:val="300"/>
              <w:divBdr>
                <w:top w:val="none" w:sz="0" w:space="0" w:color="auto"/>
                <w:left w:val="none" w:sz="0" w:space="0" w:color="auto"/>
                <w:bottom w:val="none" w:sz="0" w:space="0" w:color="auto"/>
                <w:right w:val="none" w:sz="0" w:space="0" w:color="auto"/>
              </w:divBdr>
              <w:divsChild>
                <w:div w:id="1620064975">
                  <w:marLeft w:val="0"/>
                  <w:marRight w:val="0"/>
                  <w:marTop w:val="0"/>
                  <w:marBottom w:val="30"/>
                  <w:divBdr>
                    <w:top w:val="none" w:sz="0" w:space="0" w:color="auto"/>
                    <w:left w:val="none" w:sz="0" w:space="0" w:color="auto"/>
                    <w:bottom w:val="none" w:sz="0" w:space="0" w:color="auto"/>
                    <w:right w:val="none" w:sz="0" w:space="0" w:color="auto"/>
                  </w:divBdr>
                </w:div>
                <w:div w:id="843545279">
                  <w:marLeft w:val="0"/>
                  <w:marRight w:val="0"/>
                  <w:marTop w:val="0"/>
                  <w:marBottom w:val="0"/>
                  <w:divBdr>
                    <w:top w:val="none" w:sz="0" w:space="0" w:color="auto"/>
                    <w:left w:val="none" w:sz="0" w:space="0" w:color="auto"/>
                    <w:bottom w:val="none" w:sz="0" w:space="0" w:color="auto"/>
                    <w:right w:val="none" w:sz="0" w:space="0" w:color="auto"/>
                  </w:divBdr>
                </w:div>
              </w:divsChild>
            </w:div>
            <w:div w:id="928082096">
              <w:marLeft w:val="-225"/>
              <w:marRight w:val="-225"/>
              <w:marTop w:val="0"/>
              <w:marBottom w:val="300"/>
              <w:divBdr>
                <w:top w:val="none" w:sz="0" w:space="0" w:color="auto"/>
                <w:left w:val="none" w:sz="0" w:space="0" w:color="auto"/>
                <w:bottom w:val="none" w:sz="0" w:space="0" w:color="auto"/>
                <w:right w:val="none" w:sz="0" w:space="0" w:color="auto"/>
              </w:divBdr>
              <w:divsChild>
                <w:div w:id="1501500868">
                  <w:marLeft w:val="0"/>
                  <w:marRight w:val="0"/>
                  <w:marTop w:val="0"/>
                  <w:marBottom w:val="30"/>
                  <w:divBdr>
                    <w:top w:val="none" w:sz="0" w:space="0" w:color="auto"/>
                    <w:left w:val="none" w:sz="0" w:space="0" w:color="auto"/>
                    <w:bottom w:val="none" w:sz="0" w:space="0" w:color="auto"/>
                    <w:right w:val="none" w:sz="0" w:space="0" w:color="auto"/>
                  </w:divBdr>
                </w:div>
                <w:div w:id="36131787">
                  <w:marLeft w:val="0"/>
                  <w:marRight w:val="0"/>
                  <w:marTop w:val="0"/>
                  <w:marBottom w:val="0"/>
                  <w:divBdr>
                    <w:top w:val="none" w:sz="0" w:space="0" w:color="auto"/>
                    <w:left w:val="none" w:sz="0" w:space="0" w:color="auto"/>
                    <w:bottom w:val="none" w:sz="0" w:space="0" w:color="auto"/>
                    <w:right w:val="none" w:sz="0" w:space="0" w:color="auto"/>
                  </w:divBdr>
                </w:div>
              </w:divsChild>
            </w:div>
            <w:div w:id="1118528460">
              <w:marLeft w:val="-225"/>
              <w:marRight w:val="-225"/>
              <w:marTop w:val="0"/>
              <w:marBottom w:val="300"/>
              <w:divBdr>
                <w:top w:val="none" w:sz="0" w:space="0" w:color="auto"/>
                <w:left w:val="none" w:sz="0" w:space="0" w:color="auto"/>
                <w:bottom w:val="none" w:sz="0" w:space="0" w:color="auto"/>
                <w:right w:val="none" w:sz="0" w:space="0" w:color="auto"/>
              </w:divBdr>
              <w:divsChild>
                <w:div w:id="1254515413">
                  <w:marLeft w:val="0"/>
                  <w:marRight w:val="0"/>
                  <w:marTop w:val="0"/>
                  <w:marBottom w:val="30"/>
                  <w:divBdr>
                    <w:top w:val="none" w:sz="0" w:space="0" w:color="auto"/>
                    <w:left w:val="none" w:sz="0" w:space="0" w:color="auto"/>
                    <w:bottom w:val="none" w:sz="0" w:space="0" w:color="auto"/>
                    <w:right w:val="none" w:sz="0" w:space="0" w:color="auto"/>
                  </w:divBdr>
                </w:div>
                <w:div w:id="1806850142">
                  <w:marLeft w:val="0"/>
                  <w:marRight w:val="0"/>
                  <w:marTop w:val="0"/>
                  <w:marBottom w:val="0"/>
                  <w:divBdr>
                    <w:top w:val="none" w:sz="0" w:space="0" w:color="auto"/>
                    <w:left w:val="none" w:sz="0" w:space="0" w:color="auto"/>
                    <w:bottom w:val="none" w:sz="0" w:space="0" w:color="auto"/>
                    <w:right w:val="none" w:sz="0" w:space="0" w:color="auto"/>
                  </w:divBdr>
                  <w:divsChild>
                    <w:div w:id="21397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6580">
              <w:marLeft w:val="-225"/>
              <w:marRight w:val="-225"/>
              <w:marTop w:val="0"/>
              <w:marBottom w:val="300"/>
              <w:divBdr>
                <w:top w:val="none" w:sz="0" w:space="0" w:color="auto"/>
                <w:left w:val="none" w:sz="0" w:space="0" w:color="auto"/>
                <w:bottom w:val="none" w:sz="0" w:space="0" w:color="auto"/>
                <w:right w:val="none" w:sz="0" w:space="0" w:color="auto"/>
              </w:divBdr>
              <w:divsChild>
                <w:div w:id="623194844">
                  <w:marLeft w:val="0"/>
                  <w:marRight w:val="0"/>
                  <w:marTop w:val="0"/>
                  <w:marBottom w:val="30"/>
                  <w:divBdr>
                    <w:top w:val="none" w:sz="0" w:space="0" w:color="auto"/>
                    <w:left w:val="none" w:sz="0" w:space="0" w:color="auto"/>
                    <w:bottom w:val="none" w:sz="0" w:space="0" w:color="auto"/>
                    <w:right w:val="none" w:sz="0" w:space="0" w:color="auto"/>
                  </w:divBdr>
                </w:div>
                <w:div w:id="1139229661">
                  <w:marLeft w:val="0"/>
                  <w:marRight w:val="0"/>
                  <w:marTop w:val="0"/>
                  <w:marBottom w:val="0"/>
                  <w:divBdr>
                    <w:top w:val="none" w:sz="0" w:space="0" w:color="auto"/>
                    <w:left w:val="none" w:sz="0" w:space="0" w:color="auto"/>
                    <w:bottom w:val="none" w:sz="0" w:space="0" w:color="auto"/>
                    <w:right w:val="none" w:sz="0" w:space="0" w:color="auto"/>
                  </w:divBdr>
                </w:div>
              </w:divsChild>
            </w:div>
            <w:div w:id="993296293">
              <w:marLeft w:val="-225"/>
              <w:marRight w:val="-225"/>
              <w:marTop w:val="0"/>
              <w:marBottom w:val="300"/>
              <w:divBdr>
                <w:top w:val="none" w:sz="0" w:space="0" w:color="auto"/>
                <w:left w:val="none" w:sz="0" w:space="0" w:color="auto"/>
                <w:bottom w:val="none" w:sz="0" w:space="0" w:color="auto"/>
                <w:right w:val="none" w:sz="0" w:space="0" w:color="auto"/>
              </w:divBdr>
              <w:divsChild>
                <w:div w:id="1327393145">
                  <w:marLeft w:val="0"/>
                  <w:marRight w:val="0"/>
                  <w:marTop w:val="0"/>
                  <w:marBottom w:val="30"/>
                  <w:divBdr>
                    <w:top w:val="none" w:sz="0" w:space="0" w:color="auto"/>
                    <w:left w:val="none" w:sz="0" w:space="0" w:color="auto"/>
                    <w:bottom w:val="none" w:sz="0" w:space="0" w:color="auto"/>
                    <w:right w:val="none" w:sz="0" w:space="0" w:color="auto"/>
                  </w:divBdr>
                </w:div>
                <w:div w:id="2020614788">
                  <w:marLeft w:val="0"/>
                  <w:marRight w:val="0"/>
                  <w:marTop w:val="0"/>
                  <w:marBottom w:val="0"/>
                  <w:divBdr>
                    <w:top w:val="none" w:sz="0" w:space="0" w:color="auto"/>
                    <w:left w:val="none" w:sz="0" w:space="0" w:color="auto"/>
                    <w:bottom w:val="none" w:sz="0" w:space="0" w:color="auto"/>
                    <w:right w:val="none" w:sz="0" w:space="0" w:color="auto"/>
                  </w:divBdr>
                </w:div>
              </w:divsChild>
            </w:div>
            <w:div w:id="39522116">
              <w:marLeft w:val="-225"/>
              <w:marRight w:val="-225"/>
              <w:marTop w:val="0"/>
              <w:marBottom w:val="300"/>
              <w:divBdr>
                <w:top w:val="none" w:sz="0" w:space="0" w:color="auto"/>
                <w:left w:val="none" w:sz="0" w:space="0" w:color="auto"/>
                <w:bottom w:val="none" w:sz="0" w:space="0" w:color="auto"/>
                <w:right w:val="none" w:sz="0" w:space="0" w:color="auto"/>
              </w:divBdr>
              <w:divsChild>
                <w:div w:id="429009378">
                  <w:marLeft w:val="0"/>
                  <w:marRight w:val="0"/>
                  <w:marTop w:val="0"/>
                  <w:marBottom w:val="30"/>
                  <w:divBdr>
                    <w:top w:val="none" w:sz="0" w:space="0" w:color="auto"/>
                    <w:left w:val="none" w:sz="0" w:space="0" w:color="auto"/>
                    <w:bottom w:val="none" w:sz="0" w:space="0" w:color="auto"/>
                    <w:right w:val="none" w:sz="0" w:space="0" w:color="auto"/>
                  </w:divBdr>
                </w:div>
                <w:div w:id="163875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4</cp:revision>
  <cp:lastPrinted>2025-11-16T14:23:00Z</cp:lastPrinted>
  <dcterms:created xsi:type="dcterms:W3CDTF">2025-11-15T14:05:00Z</dcterms:created>
  <dcterms:modified xsi:type="dcterms:W3CDTF">2025-11-16T14:23:00Z</dcterms:modified>
</cp:coreProperties>
</file>