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9CC" w:rsidRPr="0020030B" w:rsidRDefault="00A959CC" w:rsidP="00045813">
      <w:pPr>
        <w:spacing w:after="0" w:line="240" w:lineRule="auto"/>
        <w:jc w:val="center"/>
        <w:outlineLvl w:val="0"/>
        <w:rPr>
          <w:rFonts w:ascii="Times New Roman" w:hAnsi="Times New Roman" w:cs="Times New Roman"/>
          <w:b/>
          <w:bCs/>
          <w:sz w:val="26"/>
          <w:szCs w:val="26"/>
          <w:lang w:val="vi-VN"/>
        </w:rPr>
      </w:pPr>
      <w:r w:rsidRPr="0020030B">
        <w:rPr>
          <w:rFonts w:ascii="Times New Roman" w:hAnsi="Times New Roman" w:cs="Times New Roman"/>
          <w:b/>
          <w:bCs/>
          <w:sz w:val="26"/>
          <w:szCs w:val="26"/>
        </w:rPr>
        <w:t>PHỤ</w:t>
      </w:r>
      <w:r w:rsidRPr="0020030B">
        <w:rPr>
          <w:rFonts w:ascii="Times New Roman" w:hAnsi="Times New Roman" w:cs="Times New Roman"/>
          <w:b/>
          <w:bCs/>
          <w:sz w:val="26"/>
          <w:szCs w:val="26"/>
          <w:lang w:val="vi-VN"/>
        </w:rPr>
        <w:t xml:space="preserve"> LỤC 1</w:t>
      </w:r>
    </w:p>
    <w:p w:rsidR="00A959CC" w:rsidRPr="0020030B" w:rsidRDefault="00A959CC" w:rsidP="00A959CC">
      <w:pPr>
        <w:spacing w:after="0" w:line="240" w:lineRule="auto"/>
        <w:jc w:val="center"/>
        <w:rPr>
          <w:rFonts w:ascii="Times New Roman" w:hAnsi="Times New Roman" w:cs="Times New Roman"/>
          <w:b/>
          <w:bCs/>
          <w:sz w:val="26"/>
          <w:szCs w:val="26"/>
        </w:rPr>
      </w:pPr>
      <w:r w:rsidRPr="0020030B">
        <w:rPr>
          <w:rFonts w:ascii="Times New Roman" w:hAnsi="Times New Roman" w:cs="Times New Roman"/>
          <w:b/>
          <w:bCs/>
          <w:sz w:val="26"/>
          <w:szCs w:val="26"/>
        </w:rPr>
        <w:t>DANH</w:t>
      </w:r>
      <w:r w:rsidRPr="0020030B">
        <w:rPr>
          <w:rFonts w:ascii="Times New Roman" w:hAnsi="Times New Roman" w:cs="Times New Roman"/>
          <w:b/>
          <w:bCs/>
          <w:sz w:val="26"/>
          <w:szCs w:val="26"/>
          <w:lang w:val="vi-VN"/>
        </w:rPr>
        <w:t xml:space="preserve"> MỤC </w:t>
      </w:r>
      <w:r w:rsidRPr="0020030B">
        <w:rPr>
          <w:rFonts w:ascii="Times New Roman" w:hAnsi="Times New Roman" w:cs="Times New Roman"/>
          <w:b/>
          <w:bCs/>
          <w:sz w:val="26"/>
          <w:szCs w:val="26"/>
        </w:rPr>
        <w:t>THỦ TỤC HÀNH CHÍNH</w:t>
      </w:r>
    </w:p>
    <w:p w:rsidR="00A959CC" w:rsidRPr="0020030B" w:rsidRDefault="00A959CC" w:rsidP="00045813">
      <w:pPr>
        <w:spacing w:after="0" w:line="240" w:lineRule="auto"/>
        <w:jc w:val="center"/>
        <w:outlineLvl w:val="0"/>
        <w:rPr>
          <w:rFonts w:ascii="Times New Roman" w:hAnsi="Times New Roman" w:cs="Times New Roman"/>
          <w:b/>
          <w:bCs/>
          <w:sz w:val="26"/>
          <w:szCs w:val="26"/>
        </w:rPr>
      </w:pPr>
      <w:r w:rsidRPr="0020030B">
        <w:rPr>
          <w:rFonts w:ascii="Times New Roman" w:hAnsi="Times New Roman" w:cs="Times New Roman"/>
          <w:b/>
          <w:bCs/>
          <w:sz w:val="26"/>
          <w:szCs w:val="26"/>
        </w:rPr>
        <w:t>ÁP DỤNG CƠ CHẾ “LUỒNG XANH” TRONG LĨNH VỰC ĐẤT ĐAI</w:t>
      </w:r>
    </w:p>
    <w:p w:rsidR="0020030B" w:rsidRPr="0020030B" w:rsidRDefault="0020030B" w:rsidP="00045813">
      <w:pPr>
        <w:spacing w:after="0" w:line="320" w:lineRule="exact"/>
        <w:jc w:val="center"/>
        <w:outlineLvl w:val="0"/>
        <w:rPr>
          <w:rFonts w:ascii="Times New Roman" w:hAnsi="Times New Roman" w:cs="Times New Roman"/>
          <w:i/>
          <w:color w:val="000000" w:themeColor="text1"/>
          <w:sz w:val="26"/>
          <w:szCs w:val="26"/>
        </w:rPr>
      </w:pPr>
      <w:r w:rsidRPr="0020030B">
        <w:rPr>
          <w:rFonts w:ascii="Times New Roman" w:hAnsi="Times New Roman" w:cs="Times New Roman"/>
          <w:i/>
          <w:color w:val="000000" w:themeColor="text1"/>
          <w:sz w:val="26"/>
          <w:szCs w:val="26"/>
        </w:rPr>
        <w:t>(Kèm theo Quyết định số          /QĐ-UBND ngày    /     /2026</w:t>
      </w:r>
      <w:r w:rsidR="00045813">
        <w:rPr>
          <w:rFonts w:ascii="Times New Roman" w:hAnsi="Times New Roman" w:cs="Times New Roman"/>
          <w:i/>
          <w:color w:val="000000" w:themeColor="text1"/>
          <w:sz w:val="26"/>
          <w:szCs w:val="26"/>
        </w:rPr>
        <w:t xml:space="preserve"> </w:t>
      </w:r>
      <w:r w:rsidRPr="0020030B">
        <w:rPr>
          <w:rFonts w:ascii="Times New Roman" w:hAnsi="Times New Roman" w:cs="Times New Roman"/>
          <w:i/>
          <w:color w:val="000000" w:themeColor="text1"/>
          <w:sz w:val="26"/>
          <w:szCs w:val="26"/>
        </w:rPr>
        <w:t>của Ủy ban nhân dân thành phố)</w:t>
      </w:r>
    </w:p>
    <w:p w:rsidR="00A959CC" w:rsidRDefault="00C840AE" w:rsidP="00A959CC">
      <w:pPr>
        <w:jc w:val="center"/>
        <w:rPr>
          <w:rFonts w:ascii="Times New Roman" w:hAnsi="Times New Roman" w:cs="Times New Roman"/>
          <w:b/>
          <w:bCs/>
          <w:sz w:val="26"/>
          <w:szCs w:val="26"/>
          <w:lang w:val="vi-VN"/>
        </w:rPr>
      </w:pPr>
      <w:r>
        <w:rPr>
          <w:rFonts w:ascii="Times New Roman" w:hAnsi="Times New Roman" w:cs="Times New Roman"/>
          <w:b/>
          <w:bCs/>
          <w:noProof/>
          <w:sz w:val="26"/>
          <w:szCs w:val="26"/>
        </w:rPr>
        <w:pict>
          <v:shapetype id="_x0000_t32" coordsize="21600,21600" o:spt="32" o:oned="t" path="m,l21600,21600e" filled="f">
            <v:path arrowok="t" fillok="f" o:connecttype="none"/>
            <o:lock v:ext="edit" shapetype="t"/>
          </v:shapetype>
          <v:shape id="_x0000_s1029" type="#_x0000_t32" style="position:absolute;left:0;text-align:left;margin-left:324.3pt;margin-top:4.45pt;width:85.8pt;height:0;z-index:251658240" o:connectortype="straight"/>
        </w:pict>
      </w:r>
    </w:p>
    <w:tbl>
      <w:tblPr>
        <w:tblStyle w:val="TableGrid"/>
        <w:tblW w:w="15086" w:type="dxa"/>
        <w:tblLook w:val="04A0"/>
      </w:tblPr>
      <w:tblGrid>
        <w:gridCol w:w="908"/>
        <w:gridCol w:w="1671"/>
        <w:gridCol w:w="4504"/>
        <w:gridCol w:w="3260"/>
        <w:gridCol w:w="3123"/>
        <w:gridCol w:w="1620"/>
      </w:tblGrid>
      <w:tr w:rsidR="00A959CC" w:rsidRPr="00696A6A" w:rsidTr="00696A6A">
        <w:trPr>
          <w:tblHeader/>
        </w:trPr>
        <w:tc>
          <w:tcPr>
            <w:tcW w:w="908" w:type="dxa"/>
            <w:vMerge w:val="restart"/>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stt</w:t>
            </w:r>
          </w:p>
        </w:tc>
        <w:tc>
          <w:tcPr>
            <w:tcW w:w="1671" w:type="dxa"/>
            <w:vMerge w:val="restart"/>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Mã TTHC</w:t>
            </w:r>
          </w:p>
        </w:tc>
        <w:tc>
          <w:tcPr>
            <w:tcW w:w="4504" w:type="dxa"/>
            <w:vMerge w:val="restart"/>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Tên TTHC</w:t>
            </w:r>
          </w:p>
        </w:tc>
        <w:tc>
          <w:tcPr>
            <w:tcW w:w="6383" w:type="dxa"/>
            <w:gridSpan w:val="2"/>
            <w:vAlign w:val="center"/>
          </w:tcPr>
          <w:p w:rsidR="00A959CC" w:rsidRDefault="00A959CC" w:rsidP="00696A6A">
            <w:pPr>
              <w:jc w:val="center"/>
              <w:rPr>
                <w:rFonts w:ascii="Times New Roman" w:hAnsi="Times New Roman" w:cs="Times New Roman"/>
                <w:b/>
                <w:bCs/>
                <w:sz w:val="26"/>
                <w:szCs w:val="26"/>
              </w:rPr>
            </w:pPr>
            <w:r w:rsidRPr="00696A6A">
              <w:rPr>
                <w:rFonts w:ascii="Times New Roman" w:hAnsi="Times New Roman" w:cs="Times New Roman"/>
                <w:b/>
                <w:bCs/>
                <w:sz w:val="26"/>
                <w:szCs w:val="26"/>
                <w:lang w:val="vi-VN"/>
              </w:rPr>
              <w:t>Thời gian thực hiện</w:t>
            </w:r>
          </w:p>
          <w:p w:rsidR="007443E5" w:rsidRPr="007443E5" w:rsidRDefault="007443E5" w:rsidP="00696A6A">
            <w:pPr>
              <w:jc w:val="center"/>
              <w:rPr>
                <w:rFonts w:ascii="Times New Roman" w:hAnsi="Times New Roman" w:cs="Times New Roman"/>
                <w:b/>
                <w:bCs/>
                <w:sz w:val="26"/>
                <w:szCs w:val="26"/>
              </w:rPr>
            </w:pPr>
          </w:p>
        </w:tc>
        <w:tc>
          <w:tcPr>
            <w:tcW w:w="1620" w:type="dxa"/>
            <w:vMerge w:val="restart"/>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Tỷ lệ cắt giảm</w:t>
            </w:r>
          </w:p>
        </w:tc>
      </w:tr>
      <w:tr w:rsidR="00A959CC" w:rsidRPr="00696A6A" w:rsidTr="00696A6A">
        <w:trPr>
          <w:tblHeader/>
        </w:trPr>
        <w:tc>
          <w:tcPr>
            <w:tcW w:w="908" w:type="dxa"/>
            <w:vMerge/>
            <w:vAlign w:val="center"/>
          </w:tcPr>
          <w:p w:rsidR="00A959CC" w:rsidRPr="00696A6A" w:rsidRDefault="00A959CC" w:rsidP="00696A6A">
            <w:pPr>
              <w:jc w:val="center"/>
              <w:rPr>
                <w:rFonts w:ascii="Times New Roman" w:hAnsi="Times New Roman" w:cs="Times New Roman"/>
                <w:sz w:val="26"/>
                <w:szCs w:val="26"/>
                <w:lang w:val="vi-VN"/>
              </w:rPr>
            </w:pPr>
          </w:p>
        </w:tc>
        <w:tc>
          <w:tcPr>
            <w:tcW w:w="1671" w:type="dxa"/>
            <w:vMerge/>
            <w:vAlign w:val="center"/>
          </w:tcPr>
          <w:p w:rsidR="00A959CC" w:rsidRPr="00696A6A" w:rsidRDefault="00A959CC" w:rsidP="00696A6A">
            <w:pPr>
              <w:jc w:val="center"/>
              <w:rPr>
                <w:rFonts w:ascii="Times New Roman" w:hAnsi="Times New Roman" w:cs="Times New Roman"/>
                <w:sz w:val="26"/>
                <w:szCs w:val="26"/>
                <w:lang w:val="vi-VN"/>
              </w:rPr>
            </w:pPr>
          </w:p>
        </w:tc>
        <w:tc>
          <w:tcPr>
            <w:tcW w:w="4504" w:type="dxa"/>
            <w:vMerge/>
            <w:vAlign w:val="center"/>
          </w:tcPr>
          <w:p w:rsidR="00A959CC" w:rsidRPr="00696A6A" w:rsidRDefault="00A959CC" w:rsidP="00696A6A">
            <w:pPr>
              <w:jc w:val="both"/>
              <w:rPr>
                <w:rFonts w:ascii="Times New Roman" w:hAnsi="Times New Roman" w:cs="Times New Roman"/>
                <w:sz w:val="26"/>
                <w:szCs w:val="26"/>
                <w:lang w:val="vi-VN"/>
              </w:rPr>
            </w:pPr>
          </w:p>
        </w:tc>
        <w:tc>
          <w:tcPr>
            <w:tcW w:w="3260" w:type="dxa"/>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Thời gian thực hiện theo quy định</w:t>
            </w:r>
          </w:p>
        </w:tc>
        <w:tc>
          <w:tcPr>
            <w:tcW w:w="3123" w:type="dxa"/>
            <w:vAlign w:val="center"/>
          </w:tcPr>
          <w:p w:rsidR="00A959CC" w:rsidRPr="00696A6A" w:rsidRDefault="00A959CC" w:rsidP="00696A6A">
            <w:pPr>
              <w:jc w:val="center"/>
              <w:rPr>
                <w:rFonts w:ascii="Times New Roman" w:hAnsi="Times New Roman" w:cs="Times New Roman"/>
                <w:b/>
                <w:bCs/>
                <w:sz w:val="26"/>
                <w:szCs w:val="26"/>
                <w:lang w:val="vi-VN"/>
              </w:rPr>
            </w:pPr>
            <w:r w:rsidRPr="00696A6A">
              <w:rPr>
                <w:rFonts w:ascii="Times New Roman" w:hAnsi="Times New Roman" w:cs="Times New Roman"/>
                <w:b/>
                <w:bCs/>
                <w:sz w:val="26"/>
                <w:szCs w:val="26"/>
                <w:lang w:val="vi-VN"/>
              </w:rPr>
              <w:t>Thời gian thực hiện sau cắt giảm</w:t>
            </w:r>
          </w:p>
        </w:tc>
        <w:tc>
          <w:tcPr>
            <w:tcW w:w="1620" w:type="dxa"/>
            <w:vMerge/>
            <w:vAlign w:val="center"/>
          </w:tcPr>
          <w:p w:rsidR="00A959CC" w:rsidRPr="00696A6A" w:rsidRDefault="00A959CC" w:rsidP="00696A6A">
            <w:pPr>
              <w:jc w:val="center"/>
              <w:rPr>
                <w:rFonts w:ascii="Times New Roman" w:hAnsi="Times New Roman" w:cs="Times New Roman"/>
                <w:sz w:val="26"/>
                <w:szCs w:val="26"/>
                <w:lang w:val="vi-VN"/>
              </w:rPr>
            </w:pP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rPr>
              <w:t>1.115594</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lang w:val="vi-VN"/>
              </w:rPr>
            </w:pPr>
            <w:r w:rsidRPr="00696A6A">
              <w:rPr>
                <w:rFonts w:ascii="Times New Roman" w:hAnsi="Times New Roman" w:cs="Times New Roman"/>
                <w:sz w:val="26"/>
                <w:szCs w:val="26"/>
              </w:rPr>
              <w:t>Giao đất, cho thuê đất không thông qua hình thức đấu giá quyền sử dụng đất, không đấu thầu lựa chọn nhà đầu tư thực hiện dự án có sử dụng đất; đối với trường hợp thuộc diện chấp thuận chủ trương đầu tư, chấp thuận nhà đầu tư mà người xin giao đất, thuê đất là tổ chức trong nước, tổ chức tôn giáo, tổ chức tôn giáo trực thuộc, người gốc Việt Nam định cư ở nước ngoài, tổ chức kinh tế có vốn đầu tư nước ngoài, tổ chức nước ngoài có chức năng ngoại giao</w:t>
            </w:r>
          </w:p>
        </w:tc>
        <w:tc>
          <w:tcPr>
            <w:tcW w:w="326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10 ngày làm việc</w:t>
            </w:r>
          </w:p>
        </w:tc>
        <w:tc>
          <w:tcPr>
            <w:tcW w:w="3123"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1.115595</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rPr>
            </w:pPr>
            <w:r w:rsidRPr="00696A6A">
              <w:rPr>
                <w:rFonts w:ascii="Times New Roman" w:hAnsi="Times New Roman" w:cs="Times New Roman"/>
                <w:sz w:val="26"/>
                <w:szCs w:val="26"/>
              </w:rPr>
              <w:t xml:space="preserve">Giao đất, cho thuê đất không thông qua hình thức đấu giá quyền sử dụng đất, không đấu thầu lựa chọn nhà đầu tư thực hiện dự án có sử dụng đất đối với trường hợp không thuộc diện chấp thuận chủ trương đầu tư, chấp thuận nhà đầu tư theo pháp luật về đầu tư mà người xin giao đất, thuê đất là tổ chức trong nước, tổ chức tôn giáo, tổ chức tôn giáo trực </w:t>
            </w:r>
            <w:r w:rsidRPr="00696A6A">
              <w:rPr>
                <w:rFonts w:ascii="Times New Roman" w:hAnsi="Times New Roman" w:cs="Times New Roman"/>
                <w:sz w:val="26"/>
                <w:szCs w:val="26"/>
              </w:rPr>
              <w:lastRenderedPageBreak/>
              <w:t>thuộc, người gốc Việt Nam định cư ở nước ngoài, tổ chức kinh tế có vốn đầu tư nước ngoài, tổ chức nước ngoài có chức năng ngoại giao</w:t>
            </w:r>
          </w:p>
        </w:tc>
        <w:tc>
          <w:tcPr>
            <w:tcW w:w="326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lastRenderedPageBreak/>
              <w:t>10 ngày làm việc</w:t>
            </w:r>
          </w:p>
        </w:tc>
        <w:tc>
          <w:tcPr>
            <w:tcW w:w="3123"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1.115596</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rPr>
            </w:pPr>
            <w:r w:rsidRPr="00696A6A">
              <w:rPr>
                <w:rFonts w:ascii="Times New Roman" w:hAnsi="Times New Roman" w:cs="Times New Roman"/>
                <w:sz w:val="26"/>
                <w:szCs w:val="26"/>
              </w:rPr>
              <w:t>Giao đất, cho thuê đất thông qua đấu thầu lựa chọn nhà đầu tư thực hiện dự án có sử dụng đất</w:t>
            </w:r>
          </w:p>
        </w:tc>
        <w:tc>
          <w:tcPr>
            <w:tcW w:w="326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10 ngày làm việc</w:t>
            </w:r>
          </w:p>
        </w:tc>
        <w:tc>
          <w:tcPr>
            <w:tcW w:w="3123"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20030B" w:rsidRDefault="00A959CC" w:rsidP="00696A6A">
            <w:pPr>
              <w:jc w:val="center"/>
              <w:rPr>
                <w:rFonts w:ascii="Times New Roman" w:hAnsi="Times New Roman" w:cs="Times New Roman"/>
                <w:sz w:val="26"/>
                <w:szCs w:val="26"/>
              </w:rPr>
            </w:pPr>
            <w:r w:rsidRPr="0020030B">
              <w:rPr>
                <w:rFonts w:ascii="Times New Roman" w:hAnsi="Times New Roman" w:cs="Times New Roman"/>
                <w:sz w:val="26"/>
                <w:szCs w:val="26"/>
              </w:rPr>
              <w:t>1.115597</w:t>
            </w:r>
          </w:p>
        </w:tc>
        <w:tc>
          <w:tcPr>
            <w:tcW w:w="4504" w:type="dxa"/>
            <w:vAlign w:val="center"/>
          </w:tcPr>
          <w:p w:rsidR="00A959CC" w:rsidRPr="0020030B" w:rsidRDefault="00A959CC" w:rsidP="00696A6A">
            <w:pPr>
              <w:spacing w:before="60" w:after="60"/>
              <w:jc w:val="both"/>
              <w:rPr>
                <w:rFonts w:ascii="Times New Roman" w:hAnsi="Times New Roman" w:cs="Times New Roman"/>
                <w:sz w:val="26"/>
                <w:szCs w:val="26"/>
              </w:rPr>
            </w:pPr>
            <w:r w:rsidRPr="0020030B">
              <w:rPr>
                <w:rFonts w:ascii="Times New Roman" w:hAnsi="Times New Roman" w:cs="Times New Roman"/>
                <w:sz w:val="26"/>
                <w:szCs w:val="26"/>
                <w:lang w:val="vi-VN"/>
              </w:rPr>
              <w:t>Cho phép chuyển mục đích sử dụng đất đối với trường hợp thuộc diện chấp thuận chủ trương đầu tư, chấp thuận nhà đầu tư theo quy định của pháp luật về đầu tư</w:t>
            </w:r>
            <w:r w:rsidRPr="0020030B">
              <w:rPr>
                <w:rFonts w:ascii="Times New Roman" w:hAnsi="Times New Roman" w:cs="Times New Roman"/>
                <w:sz w:val="26"/>
                <w:szCs w:val="26"/>
              </w:rPr>
              <w:t xml:space="preserve"> mà người xin chuyển mục đích là tổ chức</w:t>
            </w:r>
          </w:p>
        </w:tc>
        <w:tc>
          <w:tcPr>
            <w:tcW w:w="3260" w:type="dxa"/>
            <w:vAlign w:val="center"/>
          </w:tcPr>
          <w:p w:rsidR="00A959CC" w:rsidRPr="0020030B" w:rsidRDefault="00A959CC" w:rsidP="00696A6A">
            <w:pPr>
              <w:jc w:val="center"/>
              <w:rPr>
                <w:rFonts w:ascii="Times New Roman" w:hAnsi="Times New Roman" w:cs="Times New Roman"/>
                <w:sz w:val="26"/>
                <w:szCs w:val="26"/>
                <w:lang w:val="vi-VN"/>
              </w:rPr>
            </w:pPr>
            <w:r w:rsidRPr="0020030B">
              <w:rPr>
                <w:rFonts w:ascii="Times New Roman" w:hAnsi="Times New Roman" w:cs="Times New Roman"/>
                <w:sz w:val="26"/>
                <w:szCs w:val="26"/>
                <w:lang w:val="vi-VN"/>
              </w:rPr>
              <w:t>10 ngày làm việc</w:t>
            </w:r>
          </w:p>
        </w:tc>
        <w:tc>
          <w:tcPr>
            <w:tcW w:w="3123" w:type="dxa"/>
            <w:vAlign w:val="center"/>
          </w:tcPr>
          <w:p w:rsidR="00A959CC" w:rsidRPr="0020030B" w:rsidRDefault="00A959CC" w:rsidP="00696A6A">
            <w:pPr>
              <w:jc w:val="center"/>
              <w:rPr>
                <w:rFonts w:ascii="Times New Roman" w:hAnsi="Times New Roman" w:cs="Times New Roman"/>
                <w:sz w:val="26"/>
                <w:szCs w:val="26"/>
                <w:lang w:val="vi-VN"/>
              </w:rPr>
            </w:pPr>
            <w:r w:rsidRPr="0020030B">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20030B">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1.115598</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highlight w:val="yellow"/>
                <w:lang w:val="vi-VN"/>
              </w:rPr>
            </w:pPr>
            <w:r w:rsidRPr="00696A6A">
              <w:rPr>
                <w:rFonts w:ascii="Times New Roman" w:hAnsi="Times New Roman" w:cs="Times New Roman"/>
                <w:sz w:val="26"/>
                <w:szCs w:val="26"/>
              </w:rPr>
              <w:t>Cho phép chuyển mục đích sử dụng đất đối với trường hợp không thuộc diện chấp thuận chủ trương đầu tư, chấp thuận nhà đầu tư theo quy định của pháp luật về đầu tư -</w:t>
            </w:r>
          </w:p>
        </w:tc>
        <w:tc>
          <w:tcPr>
            <w:tcW w:w="326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10 ngày làm việc</w:t>
            </w:r>
          </w:p>
        </w:tc>
        <w:tc>
          <w:tcPr>
            <w:tcW w:w="3123"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1.115600</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rPr>
            </w:pPr>
            <w:r w:rsidRPr="00696A6A">
              <w:rPr>
                <w:rFonts w:ascii="Times New Roman" w:hAnsi="Times New Roman" w:cs="Times New Roman"/>
                <w:sz w:val="26"/>
                <w:szCs w:val="26"/>
              </w:rPr>
              <w:t>Gia hạn sử dụng đất khi hết thời hạn sử dụng đất</w:t>
            </w:r>
          </w:p>
        </w:tc>
        <w:tc>
          <w:tcPr>
            <w:tcW w:w="326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10 ngày làm việc</w:t>
            </w:r>
          </w:p>
        </w:tc>
        <w:tc>
          <w:tcPr>
            <w:tcW w:w="3123"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A959CC"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30%</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1.115606</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rPr>
            </w:pPr>
            <w:r w:rsidRPr="00696A6A">
              <w:rPr>
                <w:rFonts w:ascii="Times New Roman" w:hAnsi="Times New Roman" w:cs="Times New Roman"/>
                <w:sz w:val="26"/>
                <w:szCs w:val="26"/>
              </w:rPr>
              <w:t>Chấp thuận tổ chức kinh tế nhận chuyển nhượng, thuê quyền sử dụng đất, nhận góp vốn bằng quyền sử dụng đất để thực hiện dự án -</w:t>
            </w:r>
          </w:p>
        </w:tc>
        <w:tc>
          <w:tcPr>
            <w:tcW w:w="3260"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11.5 ngày làm việc</w:t>
            </w:r>
          </w:p>
        </w:tc>
        <w:tc>
          <w:tcPr>
            <w:tcW w:w="3123"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07 ngày làm việc</w:t>
            </w:r>
          </w:p>
        </w:tc>
        <w:tc>
          <w:tcPr>
            <w:tcW w:w="1620"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39%</w:t>
            </w:r>
          </w:p>
        </w:tc>
      </w:tr>
      <w:tr w:rsidR="00A959CC" w:rsidRPr="00696A6A" w:rsidTr="00696A6A">
        <w:tc>
          <w:tcPr>
            <w:tcW w:w="908" w:type="dxa"/>
            <w:vAlign w:val="center"/>
          </w:tcPr>
          <w:p w:rsidR="00A959CC" w:rsidRPr="00696A6A" w:rsidRDefault="00A959CC" w:rsidP="00696A6A">
            <w:pPr>
              <w:pStyle w:val="ListParagraph"/>
              <w:numPr>
                <w:ilvl w:val="0"/>
                <w:numId w:val="1"/>
              </w:numPr>
              <w:jc w:val="center"/>
              <w:rPr>
                <w:rFonts w:ascii="Times New Roman" w:hAnsi="Times New Roman" w:cs="Times New Roman"/>
                <w:sz w:val="26"/>
                <w:szCs w:val="26"/>
                <w:lang w:val="vi-VN"/>
              </w:rPr>
            </w:pPr>
          </w:p>
        </w:tc>
        <w:tc>
          <w:tcPr>
            <w:tcW w:w="1671" w:type="dxa"/>
            <w:vAlign w:val="center"/>
          </w:tcPr>
          <w:p w:rsidR="00A959CC" w:rsidRPr="00696A6A" w:rsidRDefault="00A959CC" w:rsidP="00696A6A">
            <w:pPr>
              <w:jc w:val="center"/>
              <w:rPr>
                <w:rFonts w:ascii="Times New Roman" w:hAnsi="Times New Roman" w:cs="Times New Roman"/>
                <w:sz w:val="26"/>
                <w:szCs w:val="26"/>
              </w:rPr>
            </w:pPr>
            <w:r w:rsidRPr="00696A6A">
              <w:rPr>
                <w:rFonts w:ascii="Times New Roman" w:hAnsi="Times New Roman" w:cs="Times New Roman"/>
                <w:sz w:val="26"/>
                <w:szCs w:val="26"/>
              </w:rPr>
              <w:t>1</w:t>
            </w:r>
            <w:r w:rsidRPr="00696A6A">
              <w:rPr>
                <w:rFonts w:ascii="Times New Roman" w:hAnsi="Times New Roman" w:cs="Times New Roman"/>
                <w:sz w:val="26"/>
                <w:szCs w:val="26"/>
                <w:lang w:val="vi-VN"/>
              </w:rPr>
              <w:t>.</w:t>
            </w:r>
            <w:r w:rsidRPr="00696A6A">
              <w:rPr>
                <w:rFonts w:ascii="Times New Roman" w:hAnsi="Times New Roman" w:cs="Times New Roman"/>
                <w:sz w:val="26"/>
                <w:szCs w:val="26"/>
              </w:rPr>
              <w:t>115608</w:t>
            </w:r>
          </w:p>
        </w:tc>
        <w:tc>
          <w:tcPr>
            <w:tcW w:w="4504" w:type="dxa"/>
            <w:vAlign w:val="center"/>
          </w:tcPr>
          <w:p w:rsidR="00A959CC" w:rsidRPr="00696A6A" w:rsidRDefault="00A959CC" w:rsidP="00696A6A">
            <w:pPr>
              <w:spacing w:before="60" w:after="60"/>
              <w:jc w:val="both"/>
              <w:rPr>
                <w:rFonts w:ascii="Times New Roman" w:hAnsi="Times New Roman" w:cs="Times New Roman"/>
                <w:sz w:val="26"/>
                <w:szCs w:val="26"/>
              </w:rPr>
            </w:pPr>
            <w:r w:rsidRPr="00696A6A">
              <w:rPr>
                <w:rFonts w:ascii="Times New Roman" w:hAnsi="Times New Roman" w:cs="Times New Roman"/>
                <w:sz w:val="26"/>
                <w:szCs w:val="26"/>
              </w:rPr>
              <w:t xml:space="preserve">Thẩm định, phê duyệt phương án sử </w:t>
            </w:r>
            <w:r w:rsidRPr="00696A6A">
              <w:rPr>
                <w:rFonts w:ascii="Times New Roman" w:hAnsi="Times New Roman" w:cs="Times New Roman"/>
                <w:sz w:val="26"/>
                <w:szCs w:val="26"/>
              </w:rPr>
              <w:lastRenderedPageBreak/>
              <w:t>dụng đất</w:t>
            </w:r>
          </w:p>
        </w:tc>
        <w:tc>
          <w:tcPr>
            <w:tcW w:w="3260"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lastRenderedPageBreak/>
              <w:t>19 ngày làm việc</w:t>
            </w:r>
          </w:p>
        </w:tc>
        <w:tc>
          <w:tcPr>
            <w:tcW w:w="3123"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10 ngày làm việc</w:t>
            </w:r>
          </w:p>
        </w:tc>
        <w:tc>
          <w:tcPr>
            <w:tcW w:w="1620" w:type="dxa"/>
            <w:vAlign w:val="center"/>
          </w:tcPr>
          <w:p w:rsidR="00A959CC" w:rsidRPr="00696A6A" w:rsidRDefault="00696A6A" w:rsidP="00696A6A">
            <w:pPr>
              <w:jc w:val="center"/>
              <w:rPr>
                <w:rFonts w:ascii="Times New Roman" w:hAnsi="Times New Roman" w:cs="Times New Roman"/>
                <w:sz w:val="26"/>
                <w:szCs w:val="26"/>
                <w:lang w:val="vi-VN"/>
              </w:rPr>
            </w:pPr>
            <w:r w:rsidRPr="00696A6A">
              <w:rPr>
                <w:rFonts w:ascii="Times New Roman" w:hAnsi="Times New Roman" w:cs="Times New Roman"/>
                <w:sz w:val="26"/>
                <w:szCs w:val="26"/>
                <w:lang w:val="vi-VN"/>
              </w:rPr>
              <w:t>47.4%</w:t>
            </w:r>
          </w:p>
        </w:tc>
      </w:tr>
    </w:tbl>
    <w:p w:rsidR="00A959CC" w:rsidRDefault="00A959CC" w:rsidP="00A959CC">
      <w:pPr>
        <w:jc w:val="center"/>
        <w:rPr>
          <w:rFonts w:ascii="Times New Roman" w:hAnsi="Times New Roman" w:cs="Times New Roman"/>
          <w:b/>
          <w:bCs/>
          <w:sz w:val="26"/>
          <w:szCs w:val="26"/>
        </w:rPr>
      </w:pPr>
    </w:p>
    <w:p w:rsidR="0020030B" w:rsidRPr="0020030B" w:rsidRDefault="0020030B" w:rsidP="0020030B">
      <w:pPr>
        <w:ind w:firstLine="567"/>
        <w:jc w:val="both"/>
        <w:rPr>
          <w:rFonts w:ascii="Times New Roman" w:eastAsia="Calibri" w:hAnsi="Times New Roman" w:cs="Times New Roman"/>
          <w:bCs/>
          <w:i/>
          <w:color w:val="000000" w:themeColor="text1"/>
          <w:sz w:val="26"/>
          <w:szCs w:val="26"/>
          <w:lang w:val="es-ES"/>
        </w:rPr>
      </w:pPr>
      <w:r w:rsidRPr="0020030B">
        <w:rPr>
          <w:rFonts w:ascii="Times New Roman" w:eastAsia="Calibri" w:hAnsi="Times New Roman" w:cs="Times New Roman"/>
          <w:bCs/>
          <w:i/>
          <w:color w:val="000000" w:themeColor="text1"/>
          <w:sz w:val="26"/>
          <w:szCs w:val="26"/>
        </w:rPr>
        <w:t>* Thời gian giải quyết nêu trên k</w:t>
      </w:r>
      <w:r w:rsidRPr="0020030B">
        <w:rPr>
          <w:rFonts w:ascii="Times New Roman" w:eastAsia="Calibri" w:hAnsi="Times New Roman" w:cs="Times New Roman"/>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p>
    <w:p w:rsidR="0020030B" w:rsidRPr="0020030B" w:rsidRDefault="0020030B" w:rsidP="0020030B">
      <w:pPr>
        <w:spacing w:after="0" w:line="240" w:lineRule="auto"/>
        <w:ind w:firstLine="567"/>
        <w:jc w:val="both"/>
        <w:rPr>
          <w:rFonts w:eastAsia="Calibri" w:cs="Times New Roman"/>
          <w:bCs/>
          <w:i/>
          <w:color w:val="000000" w:themeColor="text1"/>
          <w:sz w:val="26"/>
          <w:szCs w:val="26"/>
        </w:rPr>
      </w:pPr>
      <w:r w:rsidRPr="0020030B">
        <w:rPr>
          <w:rFonts w:ascii="Times New Roman" w:eastAsia="Calibri" w:hAnsi="Times New Roman" w:cs="Times New Roman"/>
          <w:bCs/>
          <w:i/>
          <w:color w:val="000000" w:themeColor="text1"/>
          <w:sz w:val="26"/>
          <w:szCs w:val="26"/>
        </w:rPr>
        <w:t xml:space="preserve">* Đối với các xã miền núi, biên giới; đảo; vùng có điều kiện kinh tế - xã hội khó khăn; vùng có điều kiện kinh tế - xã hội đặc biệt khó khăn gọi tắt là </w:t>
      </w:r>
      <w:r w:rsidRPr="0020030B">
        <w:rPr>
          <w:rFonts w:ascii="Times New Roman" w:eastAsia="Calibri" w:hAnsi="Times New Roman" w:cs="Times New Roman"/>
          <w:b/>
          <w:bCs/>
          <w:i/>
          <w:color w:val="000000" w:themeColor="text1"/>
          <w:sz w:val="26"/>
          <w:szCs w:val="26"/>
        </w:rPr>
        <w:t>xã miền núi</w:t>
      </w:r>
      <w:r w:rsidRPr="0020030B">
        <w:rPr>
          <w:rFonts w:ascii="Times New Roman" w:eastAsia="Calibri" w:hAnsi="Times New Roman" w:cs="Times New Roman"/>
          <w:bCs/>
          <w:i/>
          <w:color w:val="000000" w:themeColor="text1"/>
          <w:sz w:val="26"/>
          <w:szCs w:val="26"/>
        </w:rPr>
        <w:t>, thời gian giải quyết được cộng thêm 10 ngày làm việc)</w:t>
      </w:r>
      <w:r w:rsidRPr="0020030B">
        <w:rPr>
          <w:rFonts w:ascii="Times New Roman" w:eastAsia="Calibri" w:hAnsi="Times New Roman" w:cs="Times New Roman"/>
          <w:i/>
          <w:color w:val="000000" w:themeColor="text1"/>
          <w:sz w:val="26"/>
          <w:szCs w:val="26"/>
        </w:rPr>
        <w:t>.</w:t>
      </w:r>
    </w:p>
    <w:sectPr w:rsidR="0020030B" w:rsidRPr="0020030B" w:rsidSect="0020030B">
      <w:pgSz w:w="16840" w:h="11907" w:orient="landscape" w:code="9"/>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324C92"/>
    <w:multiLevelType w:val="hybridMultilevel"/>
    <w:tmpl w:val="905A3080"/>
    <w:lvl w:ilvl="0" w:tplc="754AF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959CC"/>
    <w:rsid w:val="00045813"/>
    <w:rsid w:val="00150B7A"/>
    <w:rsid w:val="0020030B"/>
    <w:rsid w:val="00242AEE"/>
    <w:rsid w:val="003565CF"/>
    <w:rsid w:val="00481917"/>
    <w:rsid w:val="006516C4"/>
    <w:rsid w:val="00696A6A"/>
    <w:rsid w:val="007443E5"/>
    <w:rsid w:val="008A1672"/>
    <w:rsid w:val="00A21680"/>
    <w:rsid w:val="00A959CC"/>
    <w:rsid w:val="00C840AE"/>
    <w:rsid w:val="00EC3F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AEE"/>
  </w:style>
  <w:style w:type="paragraph" w:styleId="Heading1">
    <w:name w:val="heading 1"/>
    <w:basedOn w:val="Normal"/>
    <w:next w:val="Normal"/>
    <w:link w:val="Heading1Char"/>
    <w:uiPriority w:val="9"/>
    <w:qFormat/>
    <w:rsid w:val="00A959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59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59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59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59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5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9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59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59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59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59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5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9CC"/>
    <w:rPr>
      <w:rFonts w:eastAsiaTheme="majorEastAsia" w:cstheme="majorBidi"/>
      <w:color w:val="272727" w:themeColor="text1" w:themeTint="D8"/>
    </w:rPr>
  </w:style>
  <w:style w:type="paragraph" w:styleId="Title">
    <w:name w:val="Title"/>
    <w:basedOn w:val="Normal"/>
    <w:next w:val="Normal"/>
    <w:link w:val="TitleChar"/>
    <w:uiPriority w:val="10"/>
    <w:qFormat/>
    <w:rsid w:val="00A95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9CC"/>
    <w:pPr>
      <w:spacing w:before="160"/>
      <w:jc w:val="center"/>
    </w:pPr>
    <w:rPr>
      <w:i/>
      <w:iCs/>
      <w:color w:val="404040" w:themeColor="text1" w:themeTint="BF"/>
    </w:rPr>
  </w:style>
  <w:style w:type="character" w:customStyle="1" w:styleId="QuoteChar">
    <w:name w:val="Quote Char"/>
    <w:basedOn w:val="DefaultParagraphFont"/>
    <w:link w:val="Quote"/>
    <w:uiPriority w:val="29"/>
    <w:rsid w:val="00A959CC"/>
    <w:rPr>
      <w:i/>
      <w:iCs/>
      <w:color w:val="404040" w:themeColor="text1" w:themeTint="BF"/>
    </w:rPr>
  </w:style>
  <w:style w:type="paragraph" w:styleId="ListParagraph">
    <w:name w:val="List Paragraph"/>
    <w:basedOn w:val="Normal"/>
    <w:uiPriority w:val="34"/>
    <w:qFormat/>
    <w:rsid w:val="00A959CC"/>
    <w:pPr>
      <w:ind w:left="720"/>
      <w:contextualSpacing/>
    </w:pPr>
  </w:style>
  <w:style w:type="character" w:styleId="IntenseEmphasis">
    <w:name w:val="Intense Emphasis"/>
    <w:basedOn w:val="DefaultParagraphFont"/>
    <w:uiPriority w:val="21"/>
    <w:qFormat/>
    <w:rsid w:val="00A959CC"/>
    <w:rPr>
      <w:i/>
      <w:iCs/>
      <w:color w:val="2F5496" w:themeColor="accent1" w:themeShade="BF"/>
    </w:rPr>
  </w:style>
  <w:style w:type="paragraph" w:styleId="IntenseQuote">
    <w:name w:val="Intense Quote"/>
    <w:basedOn w:val="Normal"/>
    <w:next w:val="Normal"/>
    <w:link w:val="IntenseQuoteChar"/>
    <w:uiPriority w:val="30"/>
    <w:qFormat/>
    <w:rsid w:val="00A959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59CC"/>
    <w:rPr>
      <w:i/>
      <w:iCs/>
      <w:color w:val="2F5496" w:themeColor="accent1" w:themeShade="BF"/>
    </w:rPr>
  </w:style>
  <w:style w:type="character" w:styleId="IntenseReference">
    <w:name w:val="Intense Reference"/>
    <w:basedOn w:val="DefaultParagraphFont"/>
    <w:uiPriority w:val="32"/>
    <w:qFormat/>
    <w:rsid w:val="00A959CC"/>
    <w:rPr>
      <w:b/>
      <w:bCs/>
      <w:smallCaps/>
      <w:color w:val="2F5496" w:themeColor="accent1" w:themeShade="BF"/>
      <w:spacing w:val="5"/>
    </w:rPr>
  </w:style>
  <w:style w:type="table" w:styleId="TableGrid">
    <w:name w:val="Table Grid"/>
    <w:basedOn w:val="TableNormal"/>
    <w:uiPriority w:val="39"/>
    <w:rsid w:val="00A95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04581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458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LMC</dc:creator>
  <cp:lastModifiedBy>DELL</cp:lastModifiedBy>
  <cp:revision>4</cp:revision>
  <dcterms:created xsi:type="dcterms:W3CDTF">2026-09-05T01:17:00Z</dcterms:created>
  <dcterms:modified xsi:type="dcterms:W3CDTF">2026-09-05T15:31:00Z</dcterms:modified>
</cp:coreProperties>
</file>