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21DE3" w14:textId="7CDEFE57" w:rsidR="00D005D9" w:rsidRPr="0052629B" w:rsidRDefault="0052629B" w:rsidP="0052629B">
      <w:pPr>
        <w:jc w:val="center"/>
        <w:rPr>
          <w:b/>
          <w:bCs/>
        </w:rPr>
      </w:pPr>
      <w:r w:rsidRPr="0052629B">
        <w:rPr>
          <w:b/>
          <w:bCs/>
        </w:rPr>
        <w:t>NỘI DUNG THỦ TỤC HÀNH CHÍNH CẤP TỈNH</w:t>
      </w:r>
    </w:p>
    <w:p w14:paraId="7D620316" w14:textId="1BD9FCA3" w:rsidR="0052629B" w:rsidRPr="0052629B" w:rsidRDefault="0052629B" w:rsidP="0052629B">
      <w:pPr>
        <w:jc w:val="center"/>
        <w:rPr>
          <w:b/>
          <w:bCs/>
        </w:rPr>
      </w:pPr>
      <w:r w:rsidRPr="0052629B">
        <w:rPr>
          <w:b/>
          <w:bCs/>
        </w:rPr>
        <w:t>LĨNH VỰC QUẢN LÝ ĐÊ ĐIỀU VÀ PHÒNG, CHỐNG THIÊN TAI</w:t>
      </w:r>
    </w:p>
    <w:p w14:paraId="1AE2D963" w14:textId="341259D6" w:rsidR="0052629B" w:rsidRPr="0052629B" w:rsidRDefault="0052629B" w:rsidP="0078594F">
      <w:pPr>
        <w:ind w:firstLine="709"/>
        <w:jc w:val="both"/>
        <w:rPr>
          <w:b/>
        </w:rPr>
      </w:pPr>
      <w:r>
        <w:t xml:space="preserve">1. </w:t>
      </w:r>
      <w:r w:rsidRPr="0052629B">
        <w:rPr>
          <w:b/>
          <w:lang w:val="vi-VN"/>
        </w:rPr>
        <w:t xml:space="preserve">Cấp phép đối với các hoạt động liên quan đến đê điều thuộc trách nhiệm của </w:t>
      </w:r>
      <w:r w:rsidRPr="0052629B">
        <w:rPr>
          <w:b/>
        </w:rPr>
        <w:t xml:space="preserve">Chủ tịch </w:t>
      </w:r>
      <w:r w:rsidRPr="0052629B">
        <w:rPr>
          <w:b/>
          <w:lang w:val="vi-VN"/>
        </w:rPr>
        <w:t>Uỷ ban nhân dân cấp tỉnh</w:t>
      </w:r>
      <w:r>
        <w:rPr>
          <w:b/>
        </w:rPr>
        <w:t xml:space="preserve"> - 1.013644</w:t>
      </w:r>
    </w:p>
    <w:p w14:paraId="0BBA66FC" w14:textId="77777777" w:rsidR="0052629B" w:rsidRPr="0052629B" w:rsidRDefault="0052629B" w:rsidP="0078594F">
      <w:pPr>
        <w:ind w:firstLine="709"/>
        <w:jc w:val="both"/>
        <w:rPr>
          <w:b/>
        </w:rPr>
      </w:pPr>
      <w:r w:rsidRPr="0052629B">
        <w:rPr>
          <w:b/>
        </w:rPr>
        <w:t xml:space="preserve">a) Trình tự thực hiện </w:t>
      </w:r>
    </w:p>
    <w:p w14:paraId="090D97FC" w14:textId="77777777" w:rsidR="0052629B" w:rsidRPr="0052629B" w:rsidRDefault="0052629B" w:rsidP="0078594F">
      <w:pPr>
        <w:ind w:firstLine="709"/>
        <w:jc w:val="both"/>
      </w:pPr>
      <w:r w:rsidRPr="0052629B">
        <w:rPr>
          <w:i/>
          <w:iCs/>
        </w:rPr>
        <w:t>- Bước 1.</w:t>
      </w:r>
      <w:r w:rsidRPr="0052629B">
        <w:t xml:space="preserve"> Nộp hồ sơ </w:t>
      </w:r>
    </w:p>
    <w:p w14:paraId="698C4821" w14:textId="7AC1F7FE" w:rsidR="0052629B" w:rsidRPr="0078594F" w:rsidRDefault="0052629B" w:rsidP="0078594F">
      <w:pPr>
        <w:ind w:firstLine="709"/>
        <w:jc w:val="both"/>
        <w:rPr>
          <w:color w:val="FF0000"/>
        </w:rPr>
      </w:pPr>
      <w:r w:rsidRPr="0078594F">
        <w:rPr>
          <w:color w:val="FF0000"/>
          <w:lang w:val="vi-VN"/>
        </w:rPr>
        <w:t>T</w:t>
      </w:r>
      <w:r w:rsidRPr="0078594F">
        <w:rPr>
          <w:color w:val="FF0000"/>
        </w:rPr>
        <w:t xml:space="preserve">ổ chức, cá nhân gửi </w:t>
      </w:r>
      <w:r w:rsidRPr="0078594F">
        <w:rPr>
          <w:color w:val="FF0000"/>
          <w:lang w:val="vi-VN"/>
        </w:rPr>
        <w:t>hồ</w:t>
      </w:r>
      <w:r w:rsidRPr="0078594F">
        <w:rPr>
          <w:color w:val="FF0000"/>
        </w:rPr>
        <w:t xml:space="preserve"> sơ tới </w:t>
      </w:r>
      <w:r w:rsidR="0078594F" w:rsidRPr="0078594F">
        <w:rPr>
          <w:color w:val="FF0000"/>
        </w:rPr>
        <w:t xml:space="preserve">Trung tâm Phục vụ hành chính công cấp tỉnh, </w:t>
      </w:r>
      <w:r w:rsidR="0078594F" w:rsidRPr="0078594F">
        <w:rPr>
          <w:color w:val="FF0000"/>
        </w:rPr>
        <w:t xml:space="preserve">Trung tâm Phục vụ hành chính công cấp </w:t>
      </w:r>
      <w:r w:rsidR="0078594F" w:rsidRPr="0078594F">
        <w:rPr>
          <w:color w:val="FF0000"/>
        </w:rPr>
        <w:t>xã</w:t>
      </w:r>
      <w:r w:rsidRPr="0078594F">
        <w:rPr>
          <w:color w:val="FF0000"/>
        </w:rPr>
        <w:t xml:space="preserve"> </w:t>
      </w:r>
      <w:r w:rsidRPr="0078594F">
        <w:rPr>
          <w:color w:val="FF0000"/>
          <w:lang w:val="vi-VN"/>
        </w:rPr>
        <w:t>xin</w:t>
      </w:r>
      <w:r w:rsidRPr="0078594F">
        <w:rPr>
          <w:color w:val="FF0000"/>
        </w:rPr>
        <w:t xml:space="preserve"> cấp phép cho những hoạt động liên quan đến đê điều quy định tại khoản 1 Điều 25 Luật Đê điều bao gồm: </w:t>
      </w:r>
    </w:p>
    <w:p w14:paraId="45B812EC" w14:textId="77777777" w:rsidR="0052629B" w:rsidRPr="0052629B" w:rsidRDefault="0052629B" w:rsidP="0078594F">
      <w:pPr>
        <w:ind w:firstLine="709"/>
        <w:jc w:val="both"/>
      </w:pPr>
      <w:r w:rsidRPr="0052629B">
        <w:rPr>
          <w:lang w:val="pt-BR"/>
        </w:rPr>
        <w:t>+ Cắt xẻ đê để xây dựng công trình trong phạm vi bảo vệ đê điều;</w:t>
      </w:r>
    </w:p>
    <w:p w14:paraId="41BAC804" w14:textId="77777777" w:rsidR="0052629B" w:rsidRPr="0052629B" w:rsidRDefault="0052629B" w:rsidP="0078594F">
      <w:pPr>
        <w:ind w:firstLine="709"/>
        <w:jc w:val="both"/>
      </w:pPr>
      <w:r w:rsidRPr="0052629B">
        <w:rPr>
          <w:lang w:val="pt-BR"/>
        </w:rPr>
        <w:t>+ Khoan, đào trong phạm vi bảo vệ đê điều;</w:t>
      </w:r>
    </w:p>
    <w:p w14:paraId="35982AF4" w14:textId="77777777" w:rsidR="0052629B" w:rsidRPr="0052629B" w:rsidRDefault="0052629B" w:rsidP="0078594F">
      <w:pPr>
        <w:ind w:firstLine="709"/>
        <w:jc w:val="both"/>
      </w:pPr>
      <w:r w:rsidRPr="0052629B">
        <w:rPr>
          <w:lang w:val="pt-BR"/>
        </w:rPr>
        <w:t>+ Xây dựng cống qua đê; xây dựng công trình đặc biệt trong phạm vi bảo vệ đê điều, bãi sông, lòng sông;</w:t>
      </w:r>
    </w:p>
    <w:p w14:paraId="29B4A2E4" w14:textId="77777777" w:rsidR="0052629B" w:rsidRPr="0052629B" w:rsidRDefault="0052629B" w:rsidP="0078594F">
      <w:pPr>
        <w:ind w:firstLine="709"/>
        <w:jc w:val="both"/>
      </w:pPr>
      <w:r w:rsidRPr="0052629B">
        <w:rPr>
          <w:lang w:val="pt-BR"/>
        </w:rPr>
        <w:t>+ Xây dựng công trình ngầm; khoan, đào để khai thác nước dưới đất trong phạm vi 1 kilômét tính từ biên ngoài của phạm vi bảo vệ đê điều;</w:t>
      </w:r>
    </w:p>
    <w:p w14:paraId="11D9CCEA" w14:textId="77777777" w:rsidR="0052629B" w:rsidRPr="0052629B" w:rsidRDefault="0052629B" w:rsidP="0078594F">
      <w:pPr>
        <w:ind w:firstLine="709"/>
        <w:jc w:val="both"/>
      </w:pPr>
      <w:r w:rsidRPr="0052629B">
        <w:rPr>
          <w:lang w:val="pt-BR"/>
        </w:rPr>
        <w:t>+ Sử dụng đê, kè bảo vệ đê, cống qua đê làm nơi neo đậu tàu, thuyền, bè, mảng;</w:t>
      </w:r>
    </w:p>
    <w:p w14:paraId="6B96D671" w14:textId="77777777" w:rsidR="0052629B" w:rsidRPr="0052629B" w:rsidRDefault="0052629B" w:rsidP="0078594F">
      <w:pPr>
        <w:ind w:firstLine="709"/>
        <w:jc w:val="both"/>
      </w:pPr>
      <w:r w:rsidRPr="0052629B">
        <w:rPr>
          <w:lang w:val="pt-BR"/>
        </w:rPr>
        <w:t>+ Khai thác đất, đá, cát, sỏi, khoáng sản khác ở lòng sông;</w:t>
      </w:r>
    </w:p>
    <w:p w14:paraId="14AD980D" w14:textId="77777777" w:rsidR="0052629B" w:rsidRPr="0052629B" w:rsidRDefault="0052629B" w:rsidP="0078594F">
      <w:pPr>
        <w:ind w:firstLine="709"/>
        <w:jc w:val="both"/>
      </w:pPr>
      <w:r w:rsidRPr="0052629B">
        <w:rPr>
          <w:lang w:val="pt-BR"/>
        </w:rPr>
        <w:t>+ Để vật liệu, khai thác đất, đá, cát, sỏi, khoáng sản khác, đào ao, giếng ở bãi sông;</w:t>
      </w:r>
    </w:p>
    <w:p w14:paraId="62AEECE2" w14:textId="77777777" w:rsidR="0052629B" w:rsidRPr="0052629B" w:rsidRDefault="0052629B" w:rsidP="0078594F">
      <w:pPr>
        <w:ind w:firstLine="709"/>
        <w:jc w:val="both"/>
      </w:pPr>
      <w:r w:rsidRPr="0052629B">
        <w:rPr>
          <w:lang w:val="pt-BR"/>
        </w:rPr>
        <w:t>+ Nạo vét luồng lạch trong phạm vi bảo vệ đê điều.</w:t>
      </w:r>
    </w:p>
    <w:p w14:paraId="6BC282D9" w14:textId="77777777" w:rsidR="0052629B" w:rsidRPr="0052629B" w:rsidRDefault="0052629B" w:rsidP="0078594F">
      <w:pPr>
        <w:ind w:firstLine="709"/>
        <w:jc w:val="both"/>
      </w:pPr>
      <w:r w:rsidRPr="0052629B">
        <w:rPr>
          <w:i/>
          <w:iCs/>
        </w:rPr>
        <w:t>- Bước 2:</w:t>
      </w:r>
      <w:r w:rsidRPr="0052629B">
        <w:t xml:space="preserve"> Tiếp nhận hồ sơ</w:t>
      </w:r>
    </w:p>
    <w:p w14:paraId="2022BC7D" w14:textId="307214FE" w:rsidR="0052629B" w:rsidRPr="0078594F" w:rsidRDefault="0078594F" w:rsidP="0078594F">
      <w:pPr>
        <w:ind w:firstLine="709"/>
        <w:jc w:val="both"/>
        <w:rPr>
          <w:color w:val="FF0000"/>
        </w:rPr>
      </w:pPr>
      <w:r w:rsidRPr="0078594F">
        <w:rPr>
          <w:color w:val="FF0000"/>
        </w:rPr>
        <w:t xml:space="preserve">Cán bộ được giao </w:t>
      </w:r>
      <w:r>
        <w:rPr>
          <w:color w:val="FF0000"/>
        </w:rPr>
        <w:t>nhiệm vụ</w:t>
      </w:r>
      <w:r w:rsidRPr="0078594F">
        <w:rPr>
          <w:color w:val="FF0000"/>
        </w:rPr>
        <w:t xml:space="preserve"> tiếp nhận hồ sơ tại </w:t>
      </w:r>
      <w:r w:rsidRPr="0078594F">
        <w:rPr>
          <w:color w:val="FF0000"/>
        </w:rPr>
        <w:t>Trung tâm Phục vụ hành chính công cấp tỉnh, Trung tâm Phục vụ hành</w:t>
      </w:r>
      <w:bookmarkStart w:id="0" w:name="_GoBack"/>
      <w:bookmarkEnd w:id="0"/>
      <w:r w:rsidRPr="0078594F">
        <w:rPr>
          <w:color w:val="FF0000"/>
        </w:rPr>
        <w:t xml:space="preserve"> chính công cấp xã</w:t>
      </w:r>
      <w:r w:rsidR="0052629B" w:rsidRPr="0078594F">
        <w:rPr>
          <w:color w:val="FF0000"/>
        </w:rPr>
        <w:t xml:space="preserve"> có trách nhiệm xem xét tính hợp lệ, hợp pháp của hồ sơ xin cấp giấy phép.</w:t>
      </w:r>
    </w:p>
    <w:p w14:paraId="6FA5D269" w14:textId="77777777" w:rsidR="0052629B" w:rsidRPr="0052629B" w:rsidRDefault="0052629B" w:rsidP="0078594F">
      <w:pPr>
        <w:ind w:firstLine="709"/>
        <w:jc w:val="both"/>
      </w:pPr>
      <w:r w:rsidRPr="0052629B">
        <w:rPr>
          <w:i/>
          <w:iCs/>
        </w:rPr>
        <w:t>- Bước 3</w:t>
      </w:r>
      <w:r w:rsidRPr="0052629B">
        <w:t xml:space="preserve">: Xem xét, quyết định cấp phép </w:t>
      </w:r>
    </w:p>
    <w:p w14:paraId="4785FF87" w14:textId="77777777" w:rsidR="0052629B" w:rsidRPr="0052629B" w:rsidRDefault="0052629B" w:rsidP="0078594F">
      <w:pPr>
        <w:ind w:firstLine="709"/>
        <w:jc w:val="both"/>
      </w:pPr>
      <w:r w:rsidRPr="0052629B">
        <w:t>Căn cứ vào quy chuẩn kỹ thuật về đê điều, quy chuẩn kỹ thuật xây dựng do cơ quan quản lý nhà nước có thẩm quyền ban hành, Chủ tịch Ủy ban nhân dân cấp tỉnh cấp giấy phép hoặc trả lời bằng văn bản đối với những trường hợp chưa đủ điều kiện để cấp giấy phép hoặc không cấp giấy phép.</w:t>
      </w:r>
    </w:p>
    <w:p w14:paraId="7AA8C1C5" w14:textId="77777777" w:rsidR="0052629B" w:rsidRPr="0052629B" w:rsidRDefault="0052629B" w:rsidP="0078594F">
      <w:pPr>
        <w:ind w:firstLine="709"/>
        <w:jc w:val="both"/>
        <w:rPr>
          <w:i/>
        </w:rPr>
      </w:pPr>
      <w:r w:rsidRPr="0052629B">
        <w:rPr>
          <w:i/>
        </w:rPr>
        <w:t xml:space="preserve"> (Trình tự thực hiện cụ thể do Chủ tịch</w:t>
      </w:r>
      <w:r w:rsidRPr="0052629B">
        <w:t xml:space="preserve"> </w:t>
      </w:r>
      <w:r w:rsidRPr="0052629B">
        <w:rPr>
          <w:i/>
        </w:rPr>
        <w:t>Ủy ban nhân dân cấp tỉnh quy định).</w:t>
      </w:r>
    </w:p>
    <w:p w14:paraId="371E99B4" w14:textId="77777777" w:rsidR="0052629B" w:rsidRPr="0052629B" w:rsidRDefault="0052629B" w:rsidP="0078594F">
      <w:pPr>
        <w:ind w:firstLine="709"/>
        <w:jc w:val="both"/>
      </w:pPr>
      <w:r w:rsidRPr="0052629B">
        <w:rPr>
          <w:b/>
        </w:rPr>
        <w:t>b)</w:t>
      </w:r>
      <w:r w:rsidRPr="0052629B">
        <w:rPr>
          <w:b/>
          <w:lang w:val="vi-VN"/>
        </w:rPr>
        <w:t xml:space="preserve"> </w:t>
      </w:r>
      <w:r w:rsidRPr="0052629B">
        <w:rPr>
          <w:b/>
        </w:rPr>
        <w:t>Cách thức thực hiện:</w:t>
      </w:r>
      <w:r w:rsidRPr="0052629B">
        <w:t xml:space="preserve">  Do Chủ tịch Ủy ban nhân dân cấp tỉnh quy định</w:t>
      </w:r>
    </w:p>
    <w:p w14:paraId="2BFB610A" w14:textId="77777777" w:rsidR="0052629B" w:rsidRPr="0052629B" w:rsidRDefault="0052629B" w:rsidP="0078594F">
      <w:pPr>
        <w:ind w:firstLine="709"/>
        <w:jc w:val="both"/>
      </w:pPr>
      <w:r w:rsidRPr="0052629B">
        <w:rPr>
          <w:b/>
        </w:rPr>
        <w:lastRenderedPageBreak/>
        <w:t xml:space="preserve">c) Thành phần, số lượng hồ sơ: </w:t>
      </w:r>
      <w:r w:rsidRPr="0052629B">
        <w:t xml:space="preserve"> Do Chủ tịch Ủy ban nhân dân cấp tỉnh quy định</w:t>
      </w:r>
    </w:p>
    <w:p w14:paraId="65C67D85" w14:textId="50D07CB5" w:rsidR="0052629B" w:rsidRPr="0052629B" w:rsidRDefault="0052629B" w:rsidP="0078594F">
      <w:pPr>
        <w:ind w:firstLine="709"/>
        <w:jc w:val="both"/>
      </w:pPr>
      <w:r w:rsidRPr="0052629B">
        <w:rPr>
          <w:b/>
        </w:rPr>
        <w:t>d) Thời hạn giải quyết:</w:t>
      </w:r>
      <w:r w:rsidRPr="0052629B">
        <w:t xml:space="preserve"> Trong thời hạn không quá 20 ngày,</w:t>
      </w:r>
      <w:r w:rsidR="00833524">
        <w:t xml:space="preserve"> (thực hiện cắt giảm thời gian còn 10 ngày</w:t>
      </w:r>
      <w:proofErr w:type="gramStart"/>
      <w:r w:rsidR="00833524">
        <w:t xml:space="preserve">) </w:t>
      </w:r>
      <w:r w:rsidRPr="0052629B">
        <w:t xml:space="preserve"> kể</w:t>
      </w:r>
      <w:proofErr w:type="gramEnd"/>
      <w:r w:rsidRPr="0052629B">
        <w:t xml:space="preserve"> từ ngày nhận đủ hồ sơ hợp lệ.</w:t>
      </w:r>
    </w:p>
    <w:p w14:paraId="0ACA3CB3" w14:textId="77777777" w:rsidR="0052629B" w:rsidRPr="0052629B" w:rsidRDefault="0052629B" w:rsidP="0078594F">
      <w:pPr>
        <w:ind w:firstLine="709"/>
        <w:jc w:val="both"/>
      </w:pPr>
      <w:r w:rsidRPr="0052629B">
        <w:rPr>
          <w:b/>
        </w:rPr>
        <w:t>đ)</w:t>
      </w:r>
      <w:r w:rsidRPr="0052629B">
        <w:rPr>
          <w:b/>
          <w:lang w:val="vi-VN"/>
        </w:rPr>
        <w:t xml:space="preserve"> </w:t>
      </w:r>
      <w:r w:rsidRPr="0052629B">
        <w:rPr>
          <w:b/>
        </w:rPr>
        <w:t xml:space="preserve">Đối tượng thực hiện TTHC: </w:t>
      </w:r>
      <w:r w:rsidRPr="0052629B">
        <w:rPr>
          <w:lang w:val="vi-VN"/>
        </w:rPr>
        <w:t>T</w:t>
      </w:r>
      <w:r w:rsidRPr="0052629B">
        <w:t>ổ chức, cá nhân.</w:t>
      </w:r>
    </w:p>
    <w:p w14:paraId="0B87494A" w14:textId="77777777" w:rsidR="0052629B" w:rsidRPr="0052629B" w:rsidRDefault="0052629B" w:rsidP="0078594F">
      <w:pPr>
        <w:ind w:firstLine="709"/>
        <w:jc w:val="both"/>
        <w:rPr>
          <w:b/>
        </w:rPr>
      </w:pPr>
      <w:r w:rsidRPr="0052629B">
        <w:rPr>
          <w:b/>
        </w:rPr>
        <w:tab/>
        <w:t>e)</w:t>
      </w:r>
      <w:r w:rsidRPr="0052629B">
        <w:t xml:space="preserve"> </w:t>
      </w:r>
      <w:r w:rsidRPr="0052629B">
        <w:rPr>
          <w:b/>
        </w:rPr>
        <w:t>Cơ quan giải quyết thủ tục hành chính:</w:t>
      </w:r>
    </w:p>
    <w:p w14:paraId="60136071" w14:textId="77777777" w:rsidR="0052629B" w:rsidRPr="0052629B" w:rsidRDefault="0052629B" w:rsidP="0078594F">
      <w:pPr>
        <w:ind w:firstLine="709"/>
        <w:jc w:val="both"/>
        <w:rPr>
          <w:lang w:bidi="en-US"/>
        </w:rPr>
      </w:pPr>
      <w:r w:rsidRPr="0052629B">
        <w:rPr>
          <w:lang w:bidi="en-US"/>
        </w:rPr>
        <w:tab/>
        <w:t>- Cơ quan thực hiện:  Cơ quan được Chủ tịch Ủy ban nhân dân cấp tỉnh giao thực hiện.</w:t>
      </w:r>
    </w:p>
    <w:p w14:paraId="6267B09B" w14:textId="77777777" w:rsidR="0052629B" w:rsidRPr="0052629B" w:rsidRDefault="0052629B" w:rsidP="0078594F">
      <w:pPr>
        <w:ind w:firstLine="709"/>
        <w:jc w:val="both"/>
        <w:rPr>
          <w:lang w:bidi="en-US"/>
        </w:rPr>
      </w:pPr>
      <w:r w:rsidRPr="0052629B">
        <w:rPr>
          <w:lang w:bidi="en-US"/>
        </w:rPr>
        <w:tab/>
        <w:t>- Cơ quan/người có thẩm quyền quyết định: Chủ tịch Ủy ban nhân dân cấp tỉnh.</w:t>
      </w:r>
    </w:p>
    <w:p w14:paraId="3EEF172E" w14:textId="77777777" w:rsidR="0052629B" w:rsidRPr="0052629B" w:rsidRDefault="0052629B" w:rsidP="0078594F">
      <w:pPr>
        <w:ind w:firstLine="709"/>
        <w:jc w:val="both"/>
        <w:rPr>
          <w:lang w:val="vi-VN"/>
        </w:rPr>
      </w:pPr>
      <w:r w:rsidRPr="0052629B">
        <w:rPr>
          <w:b/>
        </w:rPr>
        <w:t>g)</w:t>
      </w:r>
      <w:r w:rsidRPr="0052629B">
        <w:rPr>
          <w:b/>
          <w:lang w:val="vi-VN"/>
        </w:rPr>
        <w:t xml:space="preserve"> </w:t>
      </w:r>
      <w:r w:rsidRPr="0052629B">
        <w:rPr>
          <w:b/>
        </w:rPr>
        <w:t xml:space="preserve">Kết quả thực hiện TTHC: </w:t>
      </w:r>
      <w:r w:rsidRPr="0052629B">
        <w:t>Cấp giấy phép</w:t>
      </w:r>
      <w:r w:rsidRPr="0052629B">
        <w:rPr>
          <w:lang w:val="vi-VN"/>
        </w:rPr>
        <w:t>, không cấp giấy phép</w:t>
      </w:r>
      <w:r w:rsidRPr="0052629B">
        <w:t xml:space="preserve"> đối với các hoạt động liên quan đến đê điều</w:t>
      </w:r>
      <w:r w:rsidRPr="0052629B">
        <w:rPr>
          <w:lang w:val="vi-VN"/>
        </w:rPr>
        <w:t xml:space="preserve"> hoặc </w:t>
      </w:r>
      <w:r w:rsidRPr="0052629B">
        <w:t>văn bản đối với</w:t>
      </w:r>
      <w:r w:rsidRPr="0052629B">
        <w:rPr>
          <w:lang w:val="vi-VN"/>
        </w:rPr>
        <w:t xml:space="preserve"> </w:t>
      </w:r>
      <w:r w:rsidRPr="0052629B">
        <w:t>trường hợp chưa đủ điều kiện để cấp giấy phép</w:t>
      </w:r>
      <w:r w:rsidRPr="0052629B">
        <w:rPr>
          <w:lang w:val="vi-VN"/>
        </w:rPr>
        <w:t xml:space="preserve"> </w:t>
      </w:r>
    </w:p>
    <w:p w14:paraId="755916A0" w14:textId="77777777" w:rsidR="0052629B" w:rsidRPr="0052629B" w:rsidRDefault="0052629B" w:rsidP="0078594F">
      <w:pPr>
        <w:ind w:firstLine="709"/>
        <w:jc w:val="both"/>
        <w:rPr>
          <w:lang w:val="vi-VN"/>
        </w:rPr>
      </w:pPr>
      <w:r w:rsidRPr="0052629B">
        <w:rPr>
          <w:b/>
        </w:rPr>
        <w:t>h)</w:t>
      </w:r>
      <w:r w:rsidRPr="0052629B">
        <w:rPr>
          <w:b/>
          <w:lang w:val="vi-VN"/>
        </w:rPr>
        <w:t xml:space="preserve"> Phí, lệ phí:</w:t>
      </w:r>
      <w:r w:rsidRPr="0052629B">
        <w:rPr>
          <w:lang w:val="vi-VN"/>
        </w:rPr>
        <w:t xml:space="preserve"> Không quy định</w:t>
      </w:r>
    </w:p>
    <w:p w14:paraId="75C5ECEF" w14:textId="77777777" w:rsidR="0052629B" w:rsidRPr="0052629B" w:rsidRDefault="0052629B" w:rsidP="0078594F">
      <w:pPr>
        <w:ind w:firstLine="709"/>
        <w:jc w:val="both"/>
        <w:rPr>
          <w:lang w:val="vi-VN"/>
        </w:rPr>
      </w:pPr>
      <w:r w:rsidRPr="0052629B">
        <w:rPr>
          <w:b/>
        </w:rPr>
        <w:t>i)</w:t>
      </w:r>
      <w:r w:rsidRPr="0052629B">
        <w:rPr>
          <w:b/>
          <w:lang w:val="vi-VN"/>
        </w:rPr>
        <w:t xml:space="preserve"> Tên mẫu đơn, mẫu tờ khai:</w:t>
      </w:r>
      <w:r w:rsidRPr="0052629B">
        <w:rPr>
          <w:lang w:val="vi-VN"/>
        </w:rPr>
        <w:t xml:space="preserve">  Do</w:t>
      </w:r>
      <w:r w:rsidRPr="0052629B">
        <w:t xml:space="preserve"> Chủ tịch</w:t>
      </w:r>
      <w:r w:rsidRPr="0052629B">
        <w:rPr>
          <w:lang w:val="vi-VN"/>
        </w:rPr>
        <w:t xml:space="preserve"> Ủy ban nhân dân cấp tỉnh quy định</w:t>
      </w:r>
    </w:p>
    <w:p w14:paraId="451F93EC" w14:textId="77777777" w:rsidR="0052629B" w:rsidRPr="0052629B" w:rsidRDefault="0052629B" w:rsidP="0078594F">
      <w:pPr>
        <w:ind w:firstLine="709"/>
        <w:jc w:val="both"/>
        <w:rPr>
          <w:lang w:val="vi-VN"/>
        </w:rPr>
      </w:pPr>
      <w:r w:rsidRPr="0052629B">
        <w:rPr>
          <w:b/>
        </w:rPr>
        <w:t>k)</w:t>
      </w:r>
      <w:r w:rsidRPr="0052629B">
        <w:rPr>
          <w:b/>
          <w:lang w:val="vi-VN"/>
        </w:rPr>
        <w:t xml:space="preserve"> Yêu cầu, điều kiện thực hiện TTHC (nếu có):</w:t>
      </w:r>
      <w:r w:rsidRPr="0052629B">
        <w:rPr>
          <w:lang w:val="vi-VN"/>
        </w:rPr>
        <w:t xml:space="preserve"> Do</w:t>
      </w:r>
      <w:r w:rsidRPr="0052629B">
        <w:t xml:space="preserve"> Chủ tịch</w:t>
      </w:r>
      <w:r w:rsidRPr="0052629B">
        <w:rPr>
          <w:lang w:val="vi-VN"/>
        </w:rPr>
        <w:t xml:space="preserve"> Ủy ban nhân dân cấp tỉnh quy định.</w:t>
      </w:r>
    </w:p>
    <w:p w14:paraId="677A8B64" w14:textId="77777777" w:rsidR="0052629B" w:rsidRPr="0052629B" w:rsidRDefault="0052629B" w:rsidP="0078594F">
      <w:pPr>
        <w:ind w:firstLine="709"/>
        <w:jc w:val="both"/>
        <w:rPr>
          <w:b/>
          <w:lang w:val="pt-BR"/>
        </w:rPr>
      </w:pPr>
      <w:r w:rsidRPr="0052629B">
        <w:rPr>
          <w:b/>
        </w:rPr>
        <w:t>l)</w:t>
      </w:r>
      <w:r w:rsidRPr="0052629B">
        <w:rPr>
          <w:b/>
          <w:lang w:val="pt-BR"/>
        </w:rPr>
        <w:t xml:space="preserve"> Căn cứ pháp lý của TTHC</w:t>
      </w:r>
    </w:p>
    <w:p w14:paraId="4C268D82" w14:textId="6342602E" w:rsidR="0052629B" w:rsidRDefault="0052629B" w:rsidP="0078594F">
      <w:pPr>
        <w:ind w:firstLine="709"/>
        <w:jc w:val="both"/>
      </w:pPr>
      <w:r w:rsidRPr="0052629B">
        <w:rPr>
          <w:lang w:val="pt-BR"/>
        </w:rPr>
        <w:t>Điều 25 Luật Đê điều số 79/2006/QH11 đươc sửa đổi, bổ sung theo quy định tại khoản 3 Điều 2 Luật số 60/2020/QH14  sửa đổi, bổ sung một số điều của Luật Phòng, chống thiên tai và Luật Đê điều, điểm a, điểm b, điểm đ khoản 16 Điều 5 Luật số 146/2025/QH15 sửa đổi 15 Luật trong lĩnh vực nông nghiệp và môi trường.</w:t>
      </w:r>
    </w:p>
    <w:sectPr w:rsidR="0052629B"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9B"/>
    <w:rsid w:val="000569FE"/>
    <w:rsid w:val="0011203F"/>
    <w:rsid w:val="0040491E"/>
    <w:rsid w:val="004C4660"/>
    <w:rsid w:val="0052629B"/>
    <w:rsid w:val="0078594F"/>
    <w:rsid w:val="00833524"/>
    <w:rsid w:val="00894D87"/>
    <w:rsid w:val="009614E8"/>
    <w:rsid w:val="00965873"/>
    <w:rsid w:val="00AC6BEA"/>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5166"/>
  <w15:chartTrackingRefBased/>
  <w15:docId w15:val="{BDA8DF24-1BFD-4392-AF44-AC4B0684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6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29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262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62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62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62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62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62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29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262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62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62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62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62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62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29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2629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629B"/>
    <w:pPr>
      <w:spacing w:before="160"/>
      <w:jc w:val="center"/>
    </w:pPr>
    <w:rPr>
      <w:i/>
      <w:iCs/>
      <w:color w:val="404040" w:themeColor="text1" w:themeTint="BF"/>
    </w:rPr>
  </w:style>
  <w:style w:type="character" w:customStyle="1" w:styleId="QuoteChar">
    <w:name w:val="Quote Char"/>
    <w:basedOn w:val="DefaultParagraphFont"/>
    <w:link w:val="Quote"/>
    <w:uiPriority w:val="29"/>
    <w:rsid w:val="0052629B"/>
    <w:rPr>
      <w:i/>
      <w:iCs/>
      <w:color w:val="404040" w:themeColor="text1" w:themeTint="BF"/>
    </w:rPr>
  </w:style>
  <w:style w:type="paragraph" w:styleId="ListParagraph">
    <w:name w:val="List Paragraph"/>
    <w:basedOn w:val="Normal"/>
    <w:uiPriority w:val="34"/>
    <w:qFormat/>
    <w:rsid w:val="0052629B"/>
    <w:pPr>
      <w:ind w:left="720"/>
      <w:contextualSpacing/>
    </w:pPr>
  </w:style>
  <w:style w:type="character" w:styleId="IntenseEmphasis">
    <w:name w:val="Intense Emphasis"/>
    <w:basedOn w:val="DefaultParagraphFont"/>
    <w:uiPriority w:val="21"/>
    <w:qFormat/>
    <w:rsid w:val="0052629B"/>
    <w:rPr>
      <w:i/>
      <w:iCs/>
      <w:color w:val="0F4761" w:themeColor="accent1" w:themeShade="BF"/>
    </w:rPr>
  </w:style>
  <w:style w:type="paragraph" w:styleId="IntenseQuote">
    <w:name w:val="Intense Quote"/>
    <w:basedOn w:val="Normal"/>
    <w:next w:val="Normal"/>
    <w:link w:val="IntenseQuoteChar"/>
    <w:uiPriority w:val="30"/>
    <w:qFormat/>
    <w:rsid w:val="00526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29B"/>
    <w:rPr>
      <w:i/>
      <w:iCs/>
      <w:color w:val="0F4761" w:themeColor="accent1" w:themeShade="BF"/>
    </w:rPr>
  </w:style>
  <w:style w:type="character" w:styleId="IntenseReference">
    <w:name w:val="Intense Reference"/>
    <w:basedOn w:val="DefaultParagraphFont"/>
    <w:uiPriority w:val="32"/>
    <w:qFormat/>
    <w:rsid w:val="00526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Admin</cp:lastModifiedBy>
  <cp:revision>3</cp:revision>
  <dcterms:created xsi:type="dcterms:W3CDTF">2026-05-21T06:35:00Z</dcterms:created>
  <dcterms:modified xsi:type="dcterms:W3CDTF">2026-05-22T07:47:00Z</dcterms:modified>
</cp:coreProperties>
</file>