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5DE19" w14:textId="77777777" w:rsidR="000072D7" w:rsidRPr="00777CFF" w:rsidRDefault="000072D7" w:rsidP="000072D7">
      <w:pPr>
        <w:jc w:val="center"/>
        <w:rPr>
          <w:b/>
          <w:color w:val="000000" w:themeColor="text1"/>
          <w:lang w:val="vi-VN"/>
        </w:rPr>
      </w:pPr>
      <w:r w:rsidRPr="00777CFF">
        <w:rPr>
          <w:b/>
          <w:color w:val="000000" w:themeColor="text1"/>
          <w:lang w:val="vi-VN"/>
        </w:rPr>
        <w:t>PHỤ LỤC I</w:t>
      </w:r>
    </w:p>
    <w:p w14:paraId="6F1628BD" w14:textId="77777777" w:rsidR="000072D7" w:rsidRPr="00777CFF" w:rsidRDefault="000072D7" w:rsidP="000072D7">
      <w:pPr>
        <w:jc w:val="center"/>
        <w:rPr>
          <w:b/>
          <w:bCs/>
          <w:color w:val="000000" w:themeColor="text1"/>
          <w:lang w:val="vi-VN"/>
        </w:rPr>
      </w:pPr>
      <w:r w:rsidRPr="00777CFF">
        <w:rPr>
          <w:b/>
          <w:bCs/>
          <w:color w:val="000000" w:themeColor="text1"/>
          <w:lang w:val="vi-VN"/>
        </w:rPr>
        <w:t xml:space="preserve">DANH SÁCH LUẬT, NGHỊ QUYẾT ĐƯỢC QUỐC HỘI KHOÁ XVI, THÔNG QUA KỲ HỌP LẦN THỨ I </w:t>
      </w:r>
    </w:p>
    <w:p w14:paraId="4025DBB0" w14:textId="77777777" w:rsidR="000072D7" w:rsidRPr="00777CFF" w:rsidRDefault="000072D7" w:rsidP="000072D7">
      <w:pPr>
        <w:jc w:val="center"/>
        <w:rPr>
          <w:i/>
          <w:color w:val="000000" w:themeColor="text1"/>
          <w:lang w:val="vi-VN"/>
        </w:rPr>
      </w:pPr>
      <w:r w:rsidRPr="00777CFF">
        <w:rPr>
          <w:i/>
          <w:color w:val="000000" w:themeColor="text1"/>
          <w:lang w:val="vi-VN"/>
        </w:rPr>
        <w:t>(Kèm theo Công văn số        /UBND-VP ngày     /     /2026 của UBND phường)</w:t>
      </w:r>
    </w:p>
    <w:p w14:paraId="0769C0B0" w14:textId="77777777" w:rsidR="000072D7" w:rsidRPr="00777CFF" w:rsidRDefault="000072D7" w:rsidP="000072D7">
      <w:pPr>
        <w:jc w:val="center"/>
        <w:rPr>
          <w:i/>
          <w:color w:val="000000" w:themeColor="text1"/>
          <w:lang w:val="vi-VN"/>
        </w:rPr>
      </w:pPr>
      <w:r w:rsidRPr="00777CFF">
        <w:rPr>
          <w:i/>
          <w:noProof/>
          <w:color w:val="000000" w:themeColor="text1"/>
          <w:lang w:val="vi-VN"/>
        </w:rPr>
        <mc:AlternateContent>
          <mc:Choice Requires="wps">
            <w:drawing>
              <wp:anchor distT="0" distB="0" distL="114300" distR="114300" simplePos="0" relativeHeight="251659264" behindDoc="0" locked="0" layoutInCell="1" allowOverlap="1" wp14:anchorId="4BC32867" wp14:editId="18F1CCFD">
                <wp:simplePos x="0" y="0"/>
                <wp:positionH relativeFrom="column">
                  <wp:posOffset>1796415</wp:posOffset>
                </wp:positionH>
                <wp:positionV relativeFrom="paragraph">
                  <wp:posOffset>14605</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200B4"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1.45pt,1.15pt" to="31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" strokecolor="black [3200]" strokeweight=".5pt">
                <v:stroke joinstyle="miter"/>
              </v:line>
            </w:pict>
          </mc:Fallback>
        </mc:AlternateContent>
      </w:r>
    </w:p>
    <w:tbl>
      <w:tblPr>
        <w:tblStyle w:val="TableGrid"/>
        <w:tblW w:w="9639" w:type="dxa"/>
        <w:tblInd w:w="108" w:type="dxa"/>
        <w:tblLook w:val="04A0" w:firstRow="1" w:lastRow="0" w:firstColumn="1" w:lastColumn="0" w:noHBand="0" w:noVBand="1"/>
      </w:tblPr>
      <w:tblGrid>
        <w:gridCol w:w="746"/>
        <w:gridCol w:w="7221"/>
        <w:gridCol w:w="1672"/>
      </w:tblGrid>
      <w:tr w:rsidR="000072D7" w:rsidRPr="00777CFF" w14:paraId="16014E42" w14:textId="77777777" w:rsidTr="009439D1">
        <w:tc>
          <w:tcPr>
            <w:tcW w:w="746" w:type="dxa"/>
            <w:vAlign w:val="center"/>
          </w:tcPr>
          <w:p w14:paraId="7F11D9EE" w14:textId="77777777" w:rsidR="000072D7" w:rsidRPr="00777CFF" w:rsidRDefault="000072D7" w:rsidP="009439D1">
            <w:pPr>
              <w:tabs>
                <w:tab w:val="left" w:pos="2760"/>
                <w:tab w:val="left" w:pos="3840"/>
              </w:tabs>
              <w:spacing w:beforeLines="40" w:before="96" w:afterLines="40" w:after="96" w:line="312" w:lineRule="auto"/>
              <w:jc w:val="center"/>
              <w:rPr>
                <w:b/>
                <w:color w:val="000000" w:themeColor="text1"/>
                <w:lang w:val="vi-VN"/>
              </w:rPr>
            </w:pPr>
            <w:r w:rsidRPr="00777CFF">
              <w:rPr>
                <w:b/>
                <w:color w:val="000000" w:themeColor="text1"/>
                <w:lang w:val="vi-VN"/>
              </w:rPr>
              <w:t>STT</w:t>
            </w:r>
          </w:p>
        </w:tc>
        <w:tc>
          <w:tcPr>
            <w:tcW w:w="7221" w:type="dxa"/>
            <w:vAlign w:val="center"/>
          </w:tcPr>
          <w:p w14:paraId="6AE26FED" w14:textId="77777777" w:rsidR="000072D7" w:rsidRPr="00777CFF" w:rsidRDefault="000072D7" w:rsidP="009439D1">
            <w:pPr>
              <w:tabs>
                <w:tab w:val="left" w:pos="2760"/>
                <w:tab w:val="left" w:pos="3840"/>
              </w:tabs>
              <w:spacing w:beforeLines="40" w:before="96" w:afterLines="40" w:after="96" w:line="312" w:lineRule="auto"/>
              <w:jc w:val="center"/>
              <w:rPr>
                <w:b/>
                <w:color w:val="000000" w:themeColor="text1"/>
                <w:lang w:val="vi-VN"/>
              </w:rPr>
            </w:pPr>
            <w:r w:rsidRPr="00777CFF">
              <w:rPr>
                <w:b/>
                <w:color w:val="000000" w:themeColor="text1"/>
                <w:lang w:val="vi-VN"/>
              </w:rPr>
              <w:t>Tên văn bản</w:t>
            </w:r>
          </w:p>
        </w:tc>
        <w:tc>
          <w:tcPr>
            <w:tcW w:w="1672" w:type="dxa"/>
            <w:vAlign w:val="center"/>
          </w:tcPr>
          <w:p w14:paraId="0BECC9AB" w14:textId="77777777" w:rsidR="000072D7" w:rsidRPr="00777CFF" w:rsidRDefault="000072D7" w:rsidP="009439D1">
            <w:pPr>
              <w:tabs>
                <w:tab w:val="left" w:pos="2760"/>
                <w:tab w:val="left" w:pos="3840"/>
              </w:tabs>
              <w:spacing w:before="100" w:beforeAutospacing="1" w:after="100" w:afterAutospacing="1"/>
              <w:jc w:val="center"/>
              <w:rPr>
                <w:b/>
                <w:color w:val="000000" w:themeColor="text1"/>
                <w:sz w:val="24"/>
                <w:szCs w:val="24"/>
                <w:lang w:val="vi-VN"/>
              </w:rPr>
            </w:pPr>
            <w:r w:rsidRPr="00777CFF">
              <w:rPr>
                <w:b/>
                <w:color w:val="000000" w:themeColor="text1"/>
                <w:sz w:val="24"/>
                <w:szCs w:val="24"/>
                <w:lang w:val="vi-VN"/>
              </w:rPr>
              <w:t>Cơ quan chủ trì đề xuất việc triển khai thực hiện Luật, Nghị quyết trên địa bàn phường</w:t>
            </w:r>
          </w:p>
        </w:tc>
      </w:tr>
      <w:tr w:rsidR="000072D7" w:rsidRPr="00777CFF" w14:paraId="407DFD17" w14:textId="77777777" w:rsidTr="009439D1">
        <w:trPr>
          <w:trHeight w:val="611"/>
        </w:trPr>
        <w:tc>
          <w:tcPr>
            <w:tcW w:w="9639" w:type="dxa"/>
            <w:gridSpan w:val="3"/>
            <w:vAlign w:val="center"/>
          </w:tcPr>
          <w:p w14:paraId="4B24091A" w14:textId="77777777" w:rsidR="000072D7" w:rsidRPr="00777CFF" w:rsidRDefault="000072D7" w:rsidP="009439D1">
            <w:pPr>
              <w:tabs>
                <w:tab w:val="left" w:pos="2760"/>
                <w:tab w:val="left" w:pos="3840"/>
              </w:tabs>
              <w:spacing w:before="100" w:beforeAutospacing="1" w:after="100" w:afterAutospacing="1"/>
              <w:rPr>
                <w:b/>
                <w:lang w:val="vi-VN"/>
              </w:rPr>
            </w:pPr>
            <w:r w:rsidRPr="00777CFF">
              <w:rPr>
                <w:b/>
                <w:lang w:val="vi-VN"/>
              </w:rPr>
              <w:t>A. Luật được Quốc hội thông qua</w:t>
            </w:r>
          </w:p>
        </w:tc>
      </w:tr>
      <w:tr w:rsidR="000072D7" w:rsidRPr="00777CFF" w14:paraId="0273E1BF" w14:textId="77777777" w:rsidTr="009439D1">
        <w:tc>
          <w:tcPr>
            <w:tcW w:w="746" w:type="dxa"/>
          </w:tcPr>
          <w:p w14:paraId="3C63429B" w14:textId="77777777" w:rsidR="000072D7" w:rsidRPr="00891378" w:rsidRDefault="000072D7" w:rsidP="009439D1">
            <w:pPr>
              <w:tabs>
                <w:tab w:val="left" w:pos="2760"/>
                <w:tab w:val="left" w:pos="3840"/>
              </w:tabs>
              <w:jc w:val="center"/>
              <w:rPr>
                <w:b/>
                <w:bCs/>
                <w:lang w:val="vi-VN"/>
              </w:rPr>
            </w:pPr>
            <w:r w:rsidRPr="00891378">
              <w:rPr>
                <w:b/>
                <w:bCs/>
                <w:lang w:val="vi-VN"/>
              </w:rPr>
              <w:t xml:space="preserve">I. </w:t>
            </w:r>
          </w:p>
        </w:tc>
        <w:tc>
          <w:tcPr>
            <w:tcW w:w="7221" w:type="dxa"/>
            <w:vAlign w:val="center"/>
          </w:tcPr>
          <w:p w14:paraId="46FF19B0" w14:textId="77777777" w:rsidR="000072D7" w:rsidRPr="00777CFF" w:rsidRDefault="000072D7" w:rsidP="009439D1">
            <w:pPr>
              <w:pStyle w:val="NormalWeb"/>
              <w:spacing w:before="0" w:beforeAutospacing="0" w:after="0" w:afterAutospacing="0"/>
              <w:jc w:val="both"/>
              <w:rPr>
                <w:sz w:val="26"/>
                <w:szCs w:val="26"/>
                <w:lang w:val="vi-VN"/>
              </w:rPr>
            </w:pPr>
            <w:r w:rsidRPr="00777CFF">
              <w:rPr>
                <w:color w:val="000000"/>
                <w:sz w:val="26"/>
                <w:szCs w:val="26"/>
                <w:lang w:val="vi-VN"/>
              </w:rPr>
              <w:t xml:space="preserve">1. </w:t>
            </w:r>
            <w:r w:rsidRPr="00777CFF">
              <w:rPr>
                <w:sz w:val="26"/>
                <w:szCs w:val="26"/>
                <w:lang w:val="vi-VN"/>
              </w:rPr>
              <w:t xml:space="preserve">Luật Tiếp cận thông tin </w:t>
            </w:r>
          </w:p>
          <w:p w14:paraId="4389458F"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2. </w:t>
            </w:r>
            <w:r w:rsidRPr="00777CFF">
              <w:rPr>
                <w:sz w:val="26"/>
                <w:szCs w:val="26"/>
                <w:lang w:val="vi-VN"/>
              </w:rPr>
              <w:t>Luật Hộ tịch</w:t>
            </w:r>
          </w:p>
          <w:p w14:paraId="043E69E0"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3. </w:t>
            </w:r>
            <w:r w:rsidRPr="00777CFF">
              <w:rPr>
                <w:sz w:val="26"/>
                <w:szCs w:val="26"/>
                <w:lang w:val="vi-VN"/>
              </w:rPr>
              <w:t>Luật sửa đổi, bổ sung một số điều của Luật Công chứng</w:t>
            </w:r>
          </w:p>
          <w:p w14:paraId="69707191"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4. </w:t>
            </w:r>
            <w:r w:rsidRPr="00777CFF">
              <w:rPr>
                <w:sz w:val="26"/>
                <w:szCs w:val="26"/>
                <w:lang w:val="vi-VN"/>
              </w:rPr>
              <w:t>Luật sửa đổi, bổ sung một số điều của Luật Trợ giúp pháp lý</w:t>
            </w:r>
          </w:p>
          <w:p w14:paraId="19C1B48D" w14:textId="77777777" w:rsidR="000072D7" w:rsidRPr="00777CFF" w:rsidRDefault="000072D7" w:rsidP="009439D1">
            <w:pPr>
              <w:pStyle w:val="NormalWeb"/>
              <w:spacing w:before="0" w:beforeAutospacing="0" w:after="0" w:afterAutospacing="0"/>
              <w:jc w:val="both"/>
              <w:rPr>
                <w:color w:val="000000"/>
                <w:sz w:val="26"/>
                <w:szCs w:val="26"/>
                <w:lang w:val="vi-VN"/>
              </w:rPr>
            </w:pPr>
          </w:p>
        </w:tc>
        <w:tc>
          <w:tcPr>
            <w:tcW w:w="1672" w:type="dxa"/>
            <w:vAlign w:val="center"/>
          </w:tcPr>
          <w:p w14:paraId="373835C7" w14:textId="77777777" w:rsidR="000072D7" w:rsidRPr="00777CFF" w:rsidRDefault="000072D7" w:rsidP="009439D1">
            <w:pPr>
              <w:tabs>
                <w:tab w:val="left" w:pos="2760"/>
                <w:tab w:val="left" w:pos="3840"/>
              </w:tabs>
              <w:jc w:val="center"/>
              <w:rPr>
                <w:sz w:val="26"/>
                <w:szCs w:val="26"/>
                <w:lang w:val="vi-VN"/>
              </w:rPr>
            </w:pPr>
            <w:r w:rsidRPr="00777CFF">
              <w:rPr>
                <w:sz w:val="26"/>
                <w:szCs w:val="26"/>
                <w:lang w:val="vi-VN"/>
              </w:rPr>
              <w:t>Văn phòng HĐN-UBND phường</w:t>
            </w:r>
          </w:p>
        </w:tc>
      </w:tr>
      <w:tr w:rsidR="000072D7" w:rsidRPr="00777CFF" w14:paraId="55AB9801" w14:textId="77777777" w:rsidTr="009439D1">
        <w:tc>
          <w:tcPr>
            <w:tcW w:w="746" w:type="dxa"/>
          </w:tcPr>
          <w:p w14:paraId="32A816AF" w14:textId="77777777" w:rsidR="000072D7" w:rsidRPr="00891378" w:rsidRDefault="000072D7" w:rsidP="009439D1">
            <w:pPr>
              <w:tabs>
                <w:tab w:val="left" w:pos="2760"/>
                <w:tab w:val="left" w:pos="3840"/>
              </w:tabs>
              <w:jc w:val="center"/>
              <w:rPr>
                <w:b/>
                <w:bCs/>
                <w:lang w:val="vi-VN"/>
              </w:rPr>
            </w:pPr>
            <w:r w:rsidRPr="00891378">
              <w:rPr>
                <w:b/>
                <w:bCs/>
                <w:lang w:val="vi-VN"/>
              </w:rPr>
              <w:t>II</w:t>
            </w:r>
          </w:p>
        </w:tc>
        <w:tc>
          <w:tcPr>
            <w:tcW w:w="7221" w:type="dxa"/>
            <w:vAlign w:val="center"/>
          </w:tcPr>
          <w:p w14:paraId="757AF730"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5. </w:t>
            </w:r>
            <w:r w:rsidRPr="00777CFF">
              <w:rPr>
                <w:sz w:val="26"/>
                <w:szCs w:val="26"/>
                <w:lang w:val="vi-VN"/>
              </w:rPr>
              <w:t>Luật sửa đổi, bổ sung một số điều của Luật Thuế thu nhập cá nhân, Luật Thuế giá trị gia tăng, Luật Thuế thu nhập doanh nghiệp và Luật Thuế tiêu thụ đặc biệt</w:t>
            </w:r>
          </w:p>
          <w:p w14:paraId="0969E573" w14:textId="77777777" w:rsidR="000072D7" w:rsidRPr="00777CFF" w:rsidRDefault="000072D7" w:rsidP="009439D1">
            <w:pPr>
              <w:pStyle w:val="NormalWeb"/>
              <w:spacing w:before="0" w:beforeAutospacing="0" w:after="0" w:afterAutospacing="0"/>
              <w:jc w:val="both"/>
              <w:rPr>
                <w:color w:val="000000"/>
                <w:sz w:val="26"/>
                <w:szCs w:val="26"/>
                <w:lang w:val="vi-VN"/>
              </w:rPr>
            </w:pPr>
          </w:p>
        </w:tc>
        <w:tc>
          <w:tcPr>
            <w:tcW w:w="1672" w:type="dxa"/>
            <w:vAlign w:val="center"/>
          </w:tcPr>
          <w:p w14:paraId="3E942DBE" w14:textId="77777777" w:rsidR="000072D7" w:rsidRPr="00777CFF" w:rsidRDefault="000072D7" w:rsidP="009439D1">
            <w:pPr>
              <w:tabs>
                <w:tab w:val="left" w:pos="2760"/>
                <w:tab w:val="left" w:pos="3840"/>
              </w:tabs>
              <w:jc w:val="center"/>
              <w:rPr>
                <w:sz w:val="26"/>
                <w:szCs w:val="26"/>
                <w:lang w:val="vi-VN"/>
              </w:rPr>
            </w:pPr>
            <w:r w:rsidRPr="00777CFF">
              <w:rPr>
                <w:sz w:val="26"/>
                <w:szCs w:val="26"/>
                <w:lang w:val="vi-VN"/>
              </w:rPr>
              <w:t>Phòng Kinh tế - Hạ tầng</w:t>
            </w:r>
          </w:p>
        </w:tc>
      </w:tr>
      <w:tr w:rsidR="000072D7" w:rsidRPr="00777CFF" w14:paraId="029077E7" w14:textId="77777777" w:rsidTr="009439D1">
        <w:tc>
          <w:tcPr>
            <w:tcW w:w="746" w:type="dxa"/>
          </w:tcPr>
          <w:p w14:paraId="32F3513B" w14:textId="77777777" w:rsidR="000072D7" w:rsidRPr="00891378" w:rsidRDefault="000072D7" w:rsidP="009439D1">
            <w:pPr>
              <w:tabs>
                <w:tab w:val="left" w:pos="2760"/>
                <w:tab w:val="left" w:pos="3840"/>
              </w:tabs>
              <w:jc w:val="center"/>
              <w:rPr>
                <w:b/>
                <w:bCs/>
              </w:rPr>
            </w:pPr>
            <w:r w:rsidRPr="00891378">
              <w:rPr>
                <w:b/>
                <w:bCs/>
              </w:rPr>
              <w:t>III</w:t>
            </w:r>
          </w:p>
        </w:tc>
        <w:tc>
          <w:tcPr>
            <w:tcW w:w="7221" w:type="dxa"/>
            <w:vAlign w:val="center"/>
          </w:tcPr>
          <w:p w14:paraId="3B80095E"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6. </w:t>
            </w:r>
            <w:r w:rsidRPr="00777CFF">
              <w:rPr>
                <w:sz w:val="26"/>
                <w:szCs w:val="26"/>
                <w:lang w:val="vi-VN"/>
              </w:rPr>
              <w:t>Luật Tín ngưỡng, tôn giáo</w:t>
            </w:r>
            <w:r w:rsidRPr="00777CFF">
              <w:rPr>
                <w:color w:val="000000"/>
                <w:sz w:val="26"/>
                <w:szCs w:val="26"/>
                <w:lang w:val="vi-VN"/>
              </w:rPr>
              <w:t xml:space="preserve"> </w:t>
            </w:r>
          </w:p>
          <w:p w14:paraId="39F4392F" w14:textId="77777777" w:rsidR="000072D7" w:rsidRPr="00777CFF" w:rsidRDefault="000072D7" w:rsidP="009439D1">
            <w:pPr>
              <w:pStyle w:val="NormalWeb"/>
              <w:spacing w:before="0" w:beforeAutospacing="0" w:after="0" w:afterAutospacing="0"/>
              <w:jc w:val="both"/>
              <w:rPr>
                <w:sz w:val="26"/>
                <w:szCs w:val="26"/>
                <w:lang w:val="vi-VN"/>
              </w:rPr>
            </w:pPr>
            <w:r w:rsidRPr="00777CFF">
              <w:rPr>
                <w:color w:val="000000"/>
                <w:sz w:val="26"/>
                <w:szCs w:val="26"/>
                <w:lang w:val="vi-VN"/>
              </w:rPr>
              <w:t xml:space="preserve">7. </w:t>
            </w:r>
            <w:r w:rsidRPr="00777CFF">
              <w:rPr>
                <w:sz w:val="26"/>
                <w:szCs w:val="26"/>
                <w:lang w:val="vi-VN"/>
              </w:rPr>
              <w:t>Luật sửa đổi, bổ sung một số điều của Luật Thi đua, khen thưởng</w:t>
            </w:r>
          </w:p>
          <w:p w14:paraId="69429856"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 </w:t>
            </w:r>
          </w:p>
        </w:tc>
        <w:tc>
          <w:tcPr>
            <w:tcW w:w="1672" w:type="dxa"/>
            <w:vAlign w:val="center"/>
          </w:tcPr>
          <w:p w14:paraId="3ADB1A65" w14:textId="3BA45215" w:rsidR="000072D7" w:rsidRPr="00777CFF" w:rsidRDefault="000072D7" w:rsidP="009439D1">
            <w:pPr>
              <w:tabs>
                <w:tab w:val="left" w:pos="2760"/>
                <w:tab w:val="left" w:pos="3840"/>
              </w:tabs>
              <w:jc w:val="center"/>
              <w:rPr>
                <w:sz w:val="26"/>
                <w:szCs w:val="26"/>
                <w:lang w:val="vi-VN"/>
              </w:rPr>
            </w:pPr>
            <w:r w:rsidRPr="00777CFF">
              <w:rPr>
                <w:sz w:val="26"/>
                <w:szCs w:val="26"/>
                <w:lang w:val="vi-VN"/>
              </w:rPr>
              <w:t>Phòng Văn hóa</w:t>
            </w:r>
            <w:r w:rsidR="00891378">
              <w:rPr>
                <w:sz w:val="26"/>
                <w:szCs w:val="26"/>
              </w:rPr>
              <w:t xml:space="preserve"> -</w:t>
            </w:r>
            <w:r w:rsidRPr="00777CFF">
              <w:rPr>
                <w:sz w:val="26"/>
                <w:szCs w:val="26"/>
                <w:lang w:val="vi-VN"/>
              </w:rPr>
              <w:t xml:space="preserve"> Xã hội</w:t>
            </w:r>
          </w:p>
        </w:tc>
      </w:tr>
      <w:tr w:rsidR="000072D7" w:rsidRPr="00777CFF" w14:paraId="72AF71FD" w14:textId="77777777" w:rsidTr="009439D1">
        <w:trPr>
          <w:trHeight w:val="503"/>
        </w:trPr>
        <w:tc>
          <w:tcPr>
            <w:tcW w:w="9639" w:type="dxa"/>
            <w:gridSpan w:val="3"/>
          </w:tcPr>
          <w:p w14:paraId="7B5478E9" w14:textId="77777777" w:rsidR="000072D7" w:rsidRPr="00777CFF" w:rsidRDefault="000072D7" w:rsidP="009439D1">
            <w:pPr>
              <w:tabs>
                <w:tab w:val="left" w:pos="2760"/>
                <w:tab w:val="left" w:pos="3840"/>
              </w:tabs>
              <w:rPr>
                <w:b/>
                <w:bCs/>
                <w:lang w:val="vi-VN"/>
              </w:rPr>
            </w:pPr>
            <w:r w:rsidRPr="00777CFF">
              <w:rPr>
                <w:b/>
                <w:bCs/>
                <w:lang w:val="vi-VN"/>
              </w:rPr>
              <w:t>B. Các Nghị quyết được Quốc hội thông qua</w:t>
            </w:r>
          </w:p>
        </w:tc>
      </w:tr>
      <w:tr w:rsidR="000072D7" w:rsidRPr="00777CFF" w14:paraId="6C13C0E0" w14:textId="77777777" w:rsidTr="009439D1">
        <w:tc>
          <w:tcPr>
            <w:tcW w:w="746" w:type="dxa"/>
          </w:tcPr>
          <w:p w14:paraId="4FB4E4AE" w14:textId="77777777" w:rsidR="000072D7" w:rsidRPr="00891378" w:rsidRDefault="000072D7" w:rsidP="009439D1">
            <w:pPr>
              <w:tabs>
                <w:tab w:val="left" w:pos="2760"/>
                <w:tab w:val="left" w:pos="3840"/>
              </w:tabs>
              <w:jc w:val="center"/>
              <w:rPr>
                <w:b/>
                <w:bCs/>
                <w:lang w:val="vi-VN"/>
              </w:rPr>
            </w:pPr>
            <w:r w:rsidRPr="00891378">
              <w:rPr>
                <w:b/>
                <w:bCs/>
                <w:lang w:val="vi-VN"/>
              </w:rPr>
              <w:t>I</w:t>
            </w:r>
          </w:p>
        </w:tc>
        <w:tc>
          <w:tcPr>
            <w:tcW w:w="7221" w:type="dxa"/>
            <w:vAlign w:val="center"/>
          </w:tcPr>
          <w:p w14:paraId="69B5C518" w14:textId="77777777" w:rsidR="000072D7" w:rsidRPr="00777CFF" w:rsidRDefault="000072D7" w:rsidP="009439D1">
            <w:pPr>
              <w:pStyle w:val="NormalWeb"/>
              <w:spacing w:before="0" w:beforeAutospacing="0" w:after="0" w:afterAutospacing="0"/>
              <w:jc w:val="both"/>
              <w:rPr>
                <w:sz w:val="26"/>
                <w:szCs w:val="26"/>
                <w:lang w:val="vi-VN"/>
              </w:rPr>
            </w:pPr>
            <w:r w:rsidRPr="00777CFF">
              <w:rPr>
                <w:color w:val="000000"/>
                <w:spacing w:val="-4"/>
                <w:sz w:val="26"/>
                <w:szCs w:val="26"/>
                <w:lang w:val="vi-VN"/>
              </w:rPr>
              <w:t xml:space="preserve">1. </w:t>
            </w:r>
            <w:r w:rsidRPr="00777CFF">
              <w:rPr>
                <w:sz w:val="26"/>
                <w:szCs w:val="26"/>
                <w:lang w:val="vi-VN"/>
              </w:rPr>
              <w:t>Nghị quyết về việc ban hành một số quy định về thuế bảo vệ môi trường, thuế giá trị gia tăng, thuế tiêu thụ đặc biệt đối với xăng, dầu và nhiên liệu bay</w:t>
            </w:r>
          </w:p>
          <w:p w14:paraId="7D571A68" w14:textId="77777777" w:rsidR="000072D7" w:rsidRPr="00777CFF" w:rsidRDefault="000072D7" w:rsidP="009439D1">
            <w:pPr>
              <w:pStyle w:val="NormalWeb"/>
              <w:spacing w:before="0" w:beforeAutospacing="0" w:after="0" w:afterAutospacing="0"/>
              <w:jc w:val="both"/>
              <w:rPr>
                <w:sz w:val="26"/>
                <w:szCs w:val="26"/>
                <w:lang w:val="vi-VN"/>
              </w:rPr>
            </w:pPr>
          </w:p>
          <w:p w14:paraId="119D0F2E" w14:textId="77777777" w:rsidR="000072D7" w:rsidRPr="00777CFF" w:rsidRDefault="000072D7" w:rsidP="009439D1">
            <w:pPr>
              <w:pStyle w:val="NormalWeb"/>
              <w:spacing w:before="0" w:beforeAutospacing="0" w:after="0" w:afterAutospacing="0"/>
              <w:jc w:val="both"/>
              <w:rPr>
                <w:sz w:val="26"/>
                <w:szCs w:val="26"/>
                <w:lang w:val="vi-VN"/>
              </w:rPr>
            </w:pPr>
            <w:r w:rsidRPr="00777CFF">
              <w:rPr>
                <w:sz w:val="26"/>
                <w:szCs w:val="26"/>
                <w:lang w:val="vi-VN"/>
              </w:rPr>
              <w:t>2. Nghị quyết về cơ chế, chính sách đặc thù để xử lý vi phạm pháp luật về đất đai của tổ chức, cá nhân xảy ra trước khi Luật Đất đai năm 2024 có hiệu lực và tháo gỡ khó khăn, vướng mắc cho các dự án tồn đọng, kéo dài</w:t>
            </w:r>
          </w:p>
          <w:p w14:paraId="515C13E1" w14:textId="77777777" w:rsidR="000072D7" w:rsidRPr="00777CFF" w:rsidRDefault="000072D7" w:rsidP="009439D1">
            <w:pPr>
              <w:pStyle w:val="NormalWeb"/>
              <w:spacing w:before="0" w:beforeAutospacing="0" w:after="0" w:afterAutospacing="0"/>
              <w:jc w:val="both"/>
              <w:rPr>
                <w:sz w:val="26"/>
                <w:szCs w:val="26"/>
                <w:lang w:val="vi-VN"/>
              </w:rPr>
            </w:pPr>
          </w:p>
        </w:tc>
        <w:tc>
          <w:tcPr>
            <w:tcW w:w="1672" w:type="dxa"/>
            <w:vAlign w:val="center"/>
          </w:tcPr>
          <w:p w14:paraId="5473731B" w14:textId="77777777" w:rsidR="000072D7" w:rsidRPr="00777CFF" w:rsidRDefault="000072D7" w:rsidP="009439D1">
            <w:pPr>
              <w:tabs>
                <w:tab w:val="left" w:pos="2760"/>
                <w:tab w:val="left" w:pos="3840"/>
              </w:tabs>
              <w:jc w:val="center"/>
              <w:rPr>
                <w:sz w:val="26"/>
                <w:szCs w:val="26"/>
                <w:lang w:val="vi-VN"/>
              </w:rPr>
            </w:pPr>
            <w:r w:rsidRPr="00777CFF">
              <w:rPr>
                <w:sz w:val="26"/>
                <w:szCs w:val="26"/>
                <w:lang w:val="vi-VN"/>
              </w:rPr>
              <w:t>Phòng Kinh tế - Hạ tầng</w:t>
            </w:r>
          </w:p>
        </w:tc>
      </w:tr>
      <w:tr w:rsidR="000072D7" w:rsidRPr="00777CFF" w14:paraId="390B436D" w14:textId="77777777" w:rsidTr="009439D1">
        <w:tc>
          <w:tcPr>
            <w:tcW w:w="746" w:type="dxa"/>
          </w:tcPr>
          <w:p w14:paraId="4CDB4B0F" w14:textId="77777777" w:rsidR="000072D7" w:rsidRPr="00891378" w:rsidRDefault="000072D7" w:rsidP="009439D1">
            <w:pPr>
              <w:tabs>
                <w:tab w:val="left" w:pos="2760"/>
                <w:tab w:val="left" w:pos="3840"/>
              </w:tabs>
              <w:jc w:val="center"/>
              <w:rPr>
                <w:b/>
                <w:bCs/>
                <w:lang w:val="vi-VN"/>
              </w:rPr>
            </w:pPr>
            <w:r w:rsidRPr="00891378">
              <w:rPr>
                <w:b/>
                <w:bCs/>
                <w:lang w:val="vi-VN"/>
              </w:rPr>
              <w:t>II</w:t>
            </w:r>
          </w:p>
        </w:tc>
        <w:tc>
          <w:tcPr>
            <w:tcW w:w="7221" w:type="dxa"/>
            <w:vAlign w:val="center"/>
          </w:tcPr>
          <w:p w14:paraId="13DB57B1"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3. </w:t>
            </w:r>
            <w:r w:rsidRPr="00777CFF">
              <w:rPr>
                <w:sz w:val="26"/>
                <w:szCs w:val="26"/>
                <w:lang w:val="vi-VN"/>
              </w:rPr>
              <w:t>Nghị quyết về phát triển văn hóa Việt Nam</w:t>
            </w:r>
            <w:r w:rsidRPr="00777CFF">
              <w:rPr>
                <w:color w:val="000000"/>
                <w:sz w:val="26"/>
                <w:szCs w:val="26"/>
                <w:lang w:val="vi-VN"/>
              </w:rPr>
              <w:t xml:space="preserve"> </w:t>
            </w:r>
          </w:p>
          <w:p w14:paraId="60BFE196" w14:textId="77777777" w:rsidR="000072D7" w:rsidRPr="00777CFF" w:rsidRDefault="000072D7" w:rsidP="009439D1">
            <w:pPr>
              <w:pStyle w:val="NormalWeb"/>
              <w:spacing w:before="0" w:beforeAutospacing="0" w:after="0" w:afterAutospacing="0"/>
              <w:jc w:val="both"/>
              <w:rPr>
                <w:color w:val="000000"/>
                <w:sz w:val="26"/>
                <w:szCs w:val="26"/>
                <w:lang w:val="vi-VN"/>
              </w:rPr>
            </w:pPr>
          </w:p>
        </w:tc>
        <w:tc>
          <w:tcPr>
            <w:tcW w:w="1672" w:type="dxa"/>
            <w:vAlign w:val="center"/>
          </w:tcPr>
          <w:p w14:paraId="3C3E31DA" w14:textId="20DCD33D" w:rsidR="000072D7" w:rsidRPr="00777CFF" w:rsidRDefault="000072D7" w:rsidP="009439D1">
            <w:pPr>
              <w:tabs>
                <w:tab w:val="left" w:pos="2760"/>
                <w:tab w:val="left" w:pos="3840"/>
              </w:tabs>
              <w:jc w:val="center"/>
              <w:rPr>
                <w:sz w:val="26"/>
                <w:szCs w:val="26"/>
                <w:lang w:val="vi-VN"/>
              </w:rPr>
            </w:pPr>
            <w:r w:rsidRPr="00777CFF">
              <w:rPr>
                <w:sz w:val="26"/>
                <w:szCs w:val="26"/>
                <w:lang w:val="vi-VN"/>
              </w:rPr>
              <w:t xml:space="preserve">Phòng Văn hóa </w:t>
            </w:r>
            <w:r w:rsidR="00891378">
              <w:rPr>
                <w:sz w:val="26"/>
                <w:szCs w:val="26"/>
              </w:rPr>
              <w:t>-</w:t>
            </w:r>
            <w:r w:rsidRPr="00777CFF">
              <w:rPr>
                <w:sz w:val="26"/>
                <w:szCs w:val="26"/>
                <w:lang w:val="vi-VN"/>
              </w:rPr>
              <w:t xml:space="preserve"> Xã hội</w:t>
            </w:r>
          </w:p>
        </w:tc>
      </w:tr>
      <w:tr w:rsidR="000072D7" w:rsidRPr="00777CFF" w14:paraId="51AFE87A" w14:textId="77777777" w:rsidTr="0040022B">
        <w:trPr>
          <w:trHeight w:val="712"/>
        </w:trPr>
        <w:tc>
          <w:tcPr>
            <w:tcW w:w="746" w:type="dxa"/>
          </w:tcPr>
          <w:p w14:paraId="00266E2A" w14:textId="77777777" w:rsidR="000072D7" w:rsidRPr="00891378" w:rsidRDefault="000072D7" w:rsidP="009439D1">
            <w:pPr>
              <w:tabs>
                <w:tab w:val="left" w:pos="2760"/>
                <w:tab w:val="left" w:pos="3840"/>
              </w:tabs>
              <w:jc w:val="center"/>
              <w:rPr>
                <w:b/>
                <w:bCs/>
                <w:lang w:val="vi-VN"/>
              </w:rPr>
            </w:pPr>
            <w:r w:rsidRPr="00891378">
              <w:rPr>
                <w:b/>
                <w:bCs/>
                <w:lang w:val="vi-VN"/>
              </w:rPr>
              <w:t>III</w:t>
            </w:r>
          </w:p>
        </w:tc>
        <w:tc>
          <w:tcPr>
            <w:tcW w:w="7221" w:type="dxa"/>
            <w:vAlign w:val="center"/>
          </w:tcPr>
          <w:p w14:paraId="5D5CF242" w14:textId="77777777" w:rsidR="000072D7" w:rsidRPr="00777CFF" w:rsidRDefault="000072D7" w:rsidP="009439D1">
            <w:pPr>
              <w:pStyle w:val="NormalWeb"/>
              <w:spacing w:before="0" w:beforeAutospacing="0" w:after="0" w:afterAutospacing="0"/>
              <w:jc w:val="both"/>
              <w:rPr>
                <w:color w:val="000000"/>
                <w:sz w:val="26"/>
                <w:szCs w:val="26"/>
                <w:lang w:val="vi-VN"/>
              </w:rPr>
            </w:pPr>
            <w:r w:rsidRPr="00777CFF">
              <w:rPr>
                <w:color w:val="000000"/>
                <w:sz w:val="26"/>
                <w:szCs w:val="26"/>
                <w:lang w:val="vi-VN"/>
              </w:rPr>
              <w:t xml:space="preserve">4. </w:t>
            </w:r>
            <w:r w:rsidRPr="00777CFF">
              <w:rPr>
                <w:sz w:val="26"/>
                <w:szCs w:val="26"/>
                <w:lang w:val="vi-VN"/>
              </w:rPr>
              <w:t>Nghị quyết về thí điểm thực hiện chế định Luật sư công</w:t>
            </w:r>
          </w:p>
        </w:tc>
        <w:tc>
          <w:tcPr>
            <w:tcW w:w="1672" w:type="dxa"/>
            <w:vAlign w:val="center"/>
          </w:tcPr>
          <w:p w14:paraId="51C6C63D" w14:textId="77777777" w:rsidR="000072D7" w:rsidRPr="0040022B" w:rsidRDefault="000072D7" w:rsidP="009439D1">
            <w:pPr>
              <w:tabs>
                <w:tab w:val="left" w:pos="2760"/>
                <w:tab w:val="left" w:pos="3840"/>
              </w:tabs>
              <w:jc w:val="center"/>
              <w:rPr>
                <w:sz w:val="24"/>
                <w:szCs w:val="24"/>
                <w:lang w:val="vi-VN"/>
              </w:rPr>
            </w:pPr>
            <w:r w:rsidRPr="0040022B">
              <w:rPr>
                <w:sz w:val="24"/>
                <w:szCs w:val="24"/>
                <w:lang w:val="vi-VN"/>
              </w:rPr>
              <w:t xml:space="preserve">Văn phòng HĐND-UBND </w:t>
            </w:r>
          </w:p>
        </w:tc>
      </w:tr>
    </w:tbl>
    <w:p w14:paraId="647673C0" w14:textId="77777777" w:rsidR="000072D7" w:rsidRPr="00777CFF" w:rsidRDefault="000072D7" w:rsidP="000072D7">
      <w:pPr>
        <w:rPr>
          <w:lang w:val="vi-VN"/>
        </w:rPr>
      </w:pPr>
    </w:p>
    <w:p w14:paraId="2F436804" w14:textId="77777777" w:rsidR="000072D7" w:rsidRPr="00777CFF" w:rsidRDefault="000072D7" w:rsidP="000072D7">
      <w:pPr>
        <w:rPr>
          <w:lang w:val="vi-VN"/>
        </w:rPr>
      </w:pPr>
    </w:p>
    <w:p w14:paraId="47FA1E12" w14:textId="77777777" w:rsidR="000072D7" w:rsidRPr="00777CFF" w:rsidRDefault="000072D7" w:rsidP="000072D7">
      <w:pPr>
        <w:jc w:val="center"/>
        <w:rPr>
          <w:b/>
          <w:lang w:val="vi-VN"/>
        </w:rPr>
      </w:pPr>
    </w:p>
    <w:p w14:paraId="6160705A" w14:textId="77777777" w:rsidR="000072D7" w:rsidRDefault="000072D7" w:rsidP="000072D7">
      <w:pPr>
        <w:jc w:val="center"/>
        <w:rPr>
          <w:b/>
          <w:lang w:val="vi-VN"/>
        </w:rPr>
      </w:pPr>
    </w:p>
    <w:p w14:paraId="1BB7B791" w14:textId="77777777" w:rsidR="00507606" w:rsidRDefault="00507606"/>
    <w:sectPr w:rsidR="00507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D7"/>
    <w:rsid w:val="000072D7"/>
    <w:rsid w:val="0040022B"/>
    <w:rsid w:val="00507606"/>
    <w:rsid w:val="00891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CF086"/>
  <w15:chartTrackingRefBased/>
  <w15:docId w15:val="{6F252C5F-3F86-4F5C-82E6-7A65DCB3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D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72D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2026-06-11T07:41:00Z</dcterms:created>
  <dcterms:modified xsi:type="dcterms:W3CDTF">2026-06-11T07:45:00Z</dcterms:modified>
</cp:coreProperties>
</file>