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F965" w14:textId="77777777" w:rsidR="00134BBD" w:rsidRPr="00777CFF" w:rsidRDefault="00134BBD" w:rsidP="00134BBD">
      <w:pPr>
        <w:jc w:val="center"/>
        <w:rPr>
          <w:b/>
          <w:lang w:val="vi-VN"/>
        </w:rPr>
      </w:pPr>
      <w:r w:rsidRPr="00777CFF">
        <w:rPr>
          <w:b/>
          <w:lang w:val="vi-VN"/>
        </w:rPr>
        <w:t>PHỤ LỤC II</w:t>
      </w:r>
    </w:p>
    <w:p w14:paraId="47715AE7" w14:textId="77777777" w:rsidR="00134BBD" w:rsidRPr="00777CFF" w:rsidRDefault="00134BBD" w:rsidP="00134BBD">
      <w:pPr>
        <w:jc w:val="center"/>
        <w:rPr>
          <w:i/>
          <w:lang w:val="vi-VN"/>
        </w:rPr>
      </w:pPr>
      <w:r w:rsidRPr="00777CFF">
        <w:rPr>
          <w:b/>
          <w:bCs/>
          <w:lang w:val="vi-VN"/>
        </w:rPr>
        <w:t>DANH SÁCH NGHỊ QUYẾT ĐƯỢC HỘI ĐỒNG NHÂN DÂN THÀNH PHỐ THÔNG QUA TẠI KỲ HỌP LẦN THỨ NHẤT, KHOÁ XVII</w:t>
      </w:r>
    </w:p>
    <w:p w14:paraId="62B92722" w14:textId="77777777" w:rsidR="00134BBD" w:rsidRPr="00777CFF" w:rsidRDefault="00134BBD" w:rsidP="00134BBD">
      <w:pPr>
        <w:jc w:val="center"/>
        <w:rPr>
          <w:i/>
          <w:lang w:val="vi-VN"/>
        </w:rPr>
      </w:pPr>
      <w:r w:rsidRPr="00777CFF">
        <w:rPr>
          <w:i/>
          <w:lang w:val="vi-VN"/>
        </w:rPr>
        <w:t xml:space="preserve"> (Kèm theo Công văn số        /UBND-VP ngày      /     /2026 của UBND phường)</w:t>
      </w:r>
    </w:p>
    <w:p w14:paraId="741F2DAC" w14:textId="77777777" w:rsidR="00134BBD" w:rsidRPr="00777CFF" w:rsidRDefault="00134BBD" w:rsidP="00134BBD">
      <w:pPr>
        <w:jc w:val="center"/>
        <w:rPr>
          <w:i/>
          <w:lang w:val="vi-VN"/>
        </w:rPr>
      </w:pPr>
      <w:r w:rsidRPr="00777CFF">
        <w:rPr>
          <w:i/>
          <w:noProof/>
          <w:lang w:val="vi-VN"/>
        </w:rPr>
        <mc:AlternateContent>
          <mc:Choice Requires="wps">
            <w:drawing>
              <wp:anchor distT="0" distB="0" distL="114300" distR="114300" simplePos="0" relativeHeight="251659264" behindDoc="0" locked="0" layoutInCell="1" allowOverlap="1" wp14:anchorId="4181100B" wp14:editId="0F5150F6">
                <wp:simplePos x="0" y="0"/>
                <wp:positionH relativeFrom="column">
                  <wp:posOffset>1796415</wp:posOffset>
                </wp:positionH>
                <wp:positionV relativeFrom="paragraph">
                  <wp:posOffset>14605</wp:posOffset>
                </wp:positionV>
                <wp:extent cx="2209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50E71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1.45pt,1.15pt" to="31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ahtQEAALcDAAAOAAAAZHJzL2Uyb0RvYy54bWysU8GOEzEMvSPxD1HudKbVCi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" strokecolor="black [3200]" strokeweight=".5pt">
                <v:stroke joinstyle="miter"/>
              </v:line>
            </w:pict>
          </mc:Fallback>
        </mc:AlternateContent>
      </w:r>
    </w:p>
    <w:tbl>
      <w:tblPr>
        <w:tblStyle w:val="TableGrid"/>
        <w:tblW w:w="9639" w:type="dxa"/>
        <w:tblInd w:w="108" w:type="dxa"/>
        <w:tblLook w:val="04A0" w:firstRow="1" w:lastRow="0" w:firstColumn="1" w:lastColumn="0" w:noHBand="0" w:noVBand="1"/>
      </w:tblPr>
      <w:tblGrid>
        <w:gridCol w:w="746"/>
        <w:gridCol w:w="7079"/>
        <w:gridCol w:w="1814"/>
      </w:tblGrid>
      <w:tr w:rsidR="00134BBD" w:rsidRPr="00777CFF" w14:paraId="57E2A39B" w14:textId="77777777" w:rsidTr="009439D1">
        <w:tc>
          <w:tcPr>
            <w:tcW w:w="746" w:type="dxa"/>
            <w:vAlign w:val="center"/>
          </w:tcPr>
          <w:p w14:paraId="6B281605" w14:textId="77777777" w:rsidR="00134BBD" w:rsidRPr="00777CFF" w:rsidRDefault="00134BBD" w:rsidP="009439D1">
            <w:pPr>
              <w:tabs>
                <w:tab w:val="left" w:pos="2760"/>
                <w:tab w:val="left" w:pos="3840"/>
              </w:tabs>
              <w:spacing w:beforeLines="40" w:before="96" w:afterLines="40" w:after="96" w:line="312" w:lineRule="auto"/>
              <w:jc w:val="center"/>
              <w:rPr>
                <w:b/>
                <w:lang w:val="vi-VN"/>
              </w:rPr>
            </w:pPr>
            <w:r w:rsidRPr="00777CFF">
              <w:rPr>
                <w:b/>
                <w:lang w:val="vi-VN"/>
              </w:rPr>
              <w:t>STT</w:t>
            </w:r>
          </w:p>
        </w:tc>
        <w:tc>
          <w:tcPr>
            <w:tcW w:w="7079" w:type="dxa"/>
            <w:vAlign w:val="center"/>
          </w:tcPr>
          <w:p w14:paraId="7BE1A570" w14:textId="77777777" w:rsidR="00134BBD" w:rsidRPr="00777CFF" w:rsidRDefault="00134BBD" w:rsidP="009439D1">
            <w:pPr>
              <w:tabs>
                <w:tab w:val="left" w:pos="2760"/>
                <w:tab w:val="left" w:pos="3840"/>
              </w:tabs>
              <w:spacing w:beforeLines="40" w:before="96" w:afterLines="40" w:after="96" w:line="312" w:lineRule="auto"/>
              <w:jc w:val="center"/>
              <w:rPr>
                <w:b/>
                <w:lang w:val="vi-VN"/>
              </w:rPr>
            </w:pPr>
            <w:r w:rsidRPr="00777CFF">
              <w:rPr>
                <w:b/>
                <w:lang w:val="vi-VN"/>
              </w:rPr>
              <w:t>Tên văn bản</w:t>
            </w:r>
          </w:p>
        </w:tc>
        <w:tc>
          <w:tcPr>
            <w:tcW w:w="1814" w:type="dxa"/>
            <w:vAlign w:val="center"/>
          </w:tcPr>
          <w:p w14:paraId="1A94C1FC" w14:textId="77777777" w:rsidR="00134BBD" w:rsidRPr="00777CFF" w:rsidRDefault="00134BBD" w:rsidP="009439D1">
            <w:pPr>
              <w:tabs>
                <w:tab w:val="left" w:pos="2760"/>
                <w:tab w:val="left" w:pos="3840"/>
              </w:tabs>
              <w:spacing w:before="100" w:beforeAutospacing="1" w:after="100" w:afterAutospacing="1"/>
              <w:jc w:val="center"/>
              <w:rPr>
                <w:b/>
                <w:sz w:val="24"/>
                <w:szCs w:val="24"/>
                <w:lang w:val="vi-VN"/>
              </w:rPr>
            </w:pPr>
            <w:r w:rsidRPr="00777CFF">
              <w:rPr>
                <w:b/>
                <w:sz w:val="24"/>
                <w:szCs w:val="24"/>
                <w:lang w:val="vi-VN"/>
              </w:rPr>
              <w:t>Cơ quan chủ trì đề xuất việc triển khai thực hiện Luật, Nghị quyết trên địa bàn phường</w:t>
            </w:r>
          </w:p>
        </w:tc>
      </w:tr>
      <w:tr w:rsidR="00134BBD" w:rsidRPr="00777CFF" w14:paraId="09327CF7" w14:textId="77777777" w:rsidTr="00876768">
        <w:trPr>
          <w:trHeight w:val="2817"/>
        </w:trPr>
        <w:tc>
          <w:tcPr>
            <w:tcW w:w="746" w:type="dxa"/>
          </w:tcPr>
          <w:p w14:paraId="2CAB60F4" w14:textId="77777777" w:rsidR="00134BBD" w:rsidRPr="007C5357" w:rsidRDefault="00134BBD" w:rsidP="009439D1">
            <w:pPr>
              <w:tabs>
                <w:tab w:val="left" w:pos="2760"/>
                <w:tab w:val="left" w:pos="3840"/>
              </w:tabs>
              <w:jc w:val="center"/>
              <w:rPr>
                <w:b/>
                <w:bCs/>
                <w:sz w:val="26"/>
                <w:szCs w:val="26"/>
                <w:lang w:val="vi-VN"/>
              </w:rPr>
            </w:pPr>
            <w:r w:rsidRPr="007C5357">
              <w:rPr>
                <w:b/>
                <w:bCs/>
                <w:sz w:val="26"/>
                <w:szCs w:val="26"/>
                <w:lang w:val="vi-VN"/>
              </w:rPr>
              <w:t xml:space="preserve">I. </w:t>
            </w:r>
          </w:p>
        </w:tc>
        <w:tc>
          <w:tcPr>
            <w:tcW w:w="7079" w:type="dxa"/>
            <w:vAlign w:val="center"/>
          </w:tcPr>
          <w:p w14:paraId="45B33CD8" w14:textId="77777777" w:rsidR="00134BBD" w:rsidRPr="00777CFF" w:rsidRDefault="00134BBD" w:rsidP="009439D1">
            <w:pPr>
              <w:pStyle w:val="NormalWeb"/>
              <w:jc w:val="both"/>
              <w:rPr>
                <w:color w:val="000000"/>
                <w:sz w:val="26"/>
                <w:szCs w:val="26"/>
                <w:lang w:val="vi-VN"/>
              </w:rPr>
            </w:pPr>
            <w:r w:rsidRPr="007C5357">
              <w:rPr>
                <w:b/>
                <w:bCs/>
                <w:color w:val="000000"/>
                <w:sz w:val="26"/>
                <w:szCs w:val="26"/>
                <w:lang w:val="vi-VN"/>
              </w:rPr>
              <w:t>1.</w:t>
            </w:r>
            <w:r w:rsidRPr="00777CFF">
              <w:rPr>
                <w:color w:val="000000"/>
                <w:sz w:val="26"/>
                <w:szCs w:val="26"/>
                <w:lang w:val="vi-VN"/>
              </w:rPr>
              <w:t xml:space="preserve"> </w:t>
            </w:r>
            <w:r w:rsidRPr="00777CFF">
              <w:rPr>
                <w:sz w:val="26"/>
                <w:szCs w:val="26"/>
                <w:lang w:val="vi-VN"/>
              </w:rPr>
              <w:t>Nghị quyết số 01/2026/NQ-HĐND ngày 20/4/2026 Quy định mức thu phí sử dụng công trình kết cấu hạ tầng, công trình dịch vụ, tiện ích công cộng trong khu vực cửa khẩu cảng biển Hải Phòng đối với mặt hàng lỏng (xăng, dầu, khí)</w:t>
            </w:r>
            <w:r w:rsidRPr="00777CFF">
              <w:rPr>
                <w:color w:val="000000"/>
                <w:sz w:val="26"/>
                <w:szCs w:val="26"/>
                <w:lang w:val="vi-VN"/>
              </w:rPr>
              <w:t xml:space="preserve">. </w:t>
            </w:r>
          </w:p>
          <w:p w14:paraId="004C8E5A" w14:textId="52B95270" w:rsidR="00134BBD" w:rsidRPr="00777CFF" w:rsidRDefault="00134BBD" w:rsidP="00876768">
            <w:pPr>
              <w:pStyle w:val="NormalWeb"/>
              <w:jc w:val="both"/>
              <w:rPr>
                <w:color w:val="000000"/>
                <w:sz w:val="26"/>
                <w:szCs w:val="26"/>
                <w:lang w:val="vi-VN"/>
              </w:rPr>
            </w:pPr>
            <w:r w:rsidRPr="007C5357">
              <w:rPr>
                <w:b/>
                <w:bCs/>
                <w:color w:val="000000"/>
                <w:sz w:val="26"/>
                <w:szCs w:val="26"/>
                <w:lang w:val="vi-VN"/>
              </w:rPr>
              <w:t>2.</w:t>
            </w:r>
            <w:r w:rsidRPr="00777CFF">
              <w:rPr>
                <w:sz w:val="26"/>
                <w:szCs w:val="26"/>
                <w:lang w:val="vi-VN"/>
              </w:rPr>
              <w:t xml:space="preserve"> Nghị quyết số 04/2026/NQ-HĐND ngày 20/4/206 Quy định chính sách hỗ trợ một số thành viên thuộc hộ nghèo, hộ cận nghèo, hộ thoát nghèo, hộ thoát cận nghèo trên địa bàn thành phố Hải Phòng giai đoạn 2026 - 2030</w:t>
            </w:r>
            <w:r w:rsidRPr="00777CFF">
              <w:rPr>
                <w:color w:val="000000"/>
                <w:sz w:val="26"/>
                <w:szCs w:val="26"/>
                <w:lang w:val="vi-VN"/>
              </w:rPr>
              <w:t xml:space="preserve"> </w:t>
            </w:r>
          </w:p>
        </w:tc>
        <w:tc>
          <w:tcPr>
            <w:tcW w:w="1814" w:type="dxa"/>
            <w:vAlign w:val="center"/>
          </w:tcPr>
          <w:p w14:paraId="13FDC31A" w14:textId="77777777" w:rsidR="00134BBD" w:rsidRPr="00777CFF" w:rsidRDefault="00134BBD" w:rsidP="009439D1">
            <w:pPr>
              <w:tabs>
                <w:tab w:val="left" w:pos="2760"/>
                <w:tab w:val="left" w:pos="3840"/>
              </w:tabs>
              <w:jc w:val="center"/>
              <w:rPr>
                <w:sz w:val="26"/>
                <w:szCs w:val="26"/>
                <w:lang w:val="vi-VN"/>
              </w:rPr>
            </w:pPr>
            <w:r w:rsidRPr="00777CFF">
              <w:rPr>
                <w:sz w:val="26"/>
                <w:szCs w:val="26"/>
                <w:lang w:val="vi-VN"/>
              </w:rPr>
              <w:t xml:space="preserve">Phòng Kinh tế - Hạ tầng và Đô thị </w:t>
            </w:r>
          </w:p>
        </w:tc>
      </w:tr>
      <w:tr w:rsidR="00134BBD" w:rsidRPr="00777CFF" w14:paraId="6B58B336" w14:textId="77777777" w:rsidTr="009439D1">
        <w:tc>
          <w:tcPr>
            <w:tcW w:w="746" w:type="dxa"/>
          </w:tcPr>
          <w:p w14:paraId="70F0BA45" w14:textId="77777777" w:rsidR="00134BBD" w:rsidRPr="007C5357" w:rsidRDefault="00134BBD" w:rsidP="009439D1">
            <w:pPr>
              <w:tabs>
                <w:tab w:val="left" w:pos="2760"/>
                <w:tab w:val="left" w:pos="3840"/>
              </w:tabs>
              <w:jc w:val="center"/>
              <w:rPr>
                <w:b/>
                <w:bCs/>
                <w:sz w:val="26"/>
                <w:szCs w:val="26"/>
                <w:lang w:val="vi-VN"/>
              </w:rPr>
            </w:pPr>
            <w:r w:rsidRPr="007C5357">
              <w:rPr>
                <w:b/>
                <w:bCs/>
                <w:sz w:val="26"/>
                <w:szCs w:val="26"/>
                <w:lang w:val="vi-VN"/>
              </w:rPr>
              <w:t>II</w:t>
            </w:r>
          </w:p>
        </w:tc>
        <w:tc>
          <w:tcPr>
            <w:tcW w:w="7079" w:type="dxa"/>
            <w:vAlign w:val="center"/>
          </w:tcPr>
          <w:p w14:paraId="5E26D159" w14:textId="77777777" w:rsidR="00134BBD" w:rsidRPr="00777CFF" w:rsidRDefault="00134BBD" w:rsidP="009439D1">
            <w:pPr>
              <w:pStyle w:val="NormalWeb"/>
              <w:jc w:val="both"/>
              <w:rPr>
                <w:color w:val="000000"/>
                <w:sz w:val="26"/>
                <w:szCs w:val="26"/>
                <w:lang w:val="vi-VN"/>
              </w:rPr>
            </w:pPr>
            <w:r w:rsidRPr="007C5357">
              <w:rPr>
                <w:b/>
                <w:bCs/>
                <w:color w:val="000000"/>
                <w:sz w:val="26"/>
                <w:szCs w:val="26"/>
                <w:lang w:val="vi-VN"/>
              </w:rPr>
              <w:t>3.</w:t>
            </w:r>
            <w:r w:rsidRPr="00777CFF">
              <w:rPr>
                <w:color w:val="000000"/>
                <w:sz w:val="26"/>
                <w:szCs w:val="26"/>
                <w:lang w:val="vi-VN"/>
              </w:rPr>
              <w:t xml:space="preserve"> </w:t>
            </w:r>
            <w:r w:rsidRPr="00777CFF">
              <w:rPr>
                <w:sz w:val="26"/>
                <w:szCs w:val="26"/>
                <w:lang w:val="vi-VN"/>
              </w:rPr>
              <w:t>Nghị quyết số 02/2026/NQ-HĐND ngày 20/4/2026 Quy định tỷ lệ chi phí quản lý thực hiện các chính sách ưu đãi người có công với cách mạng trên địa bàn thành phố Hải Phòng</w:t>
            </w:r>
          </w:p>
          <w:p w14:paraId="123A1F1F" w14:textId="77777777" w:rsidR="00134BBD" w:rsidRPr="00777CFF" w:rsidRDefault="00134BBD" w:rsidP="009439D1">
            <w:pPr>
              <w:pStyle w:val="NormalWeb"/>
              <w:jc w:val="both"/>
              <w:rPr>
                <w:sz w:val="26"/>
                <w:szCs w:val="26"/>
                <w:lang w:val="vi-VN"/>
              </w:rPr>
            </w:pPr>
            <w:r w:rsidRPr="007C5357">
              <w:rPr>
                <w:b/>
                <w:bCs/>
                <w:color w:val="000000"/>
                <w:sz w:val="26"/>
                <w:szCs w:val="26"/>
                <w:lang w:val="vi-VN"/>
              </w:rPr>
              <w:t>4.</w:t>
            </w:r>
            <w:r w:rsidRPr="00777CFF">
              <w:rPr>
                <w:color w:val="000000"/>
                <w:sz w:val="26"/>
                <w:szCs w:val="26"/>
                <w:lang w:val="vi-VN"/>
              </w:rPr>
              <w:t xml:space="preserve"> </w:t>
            </w:r>
            <w:r w:rsidRPr="00777CFF">
              <w:rPr>
                <w:sz w:val="26"/>
                <w:szCs w:val="26"/>
                <w:lang w:val="vi-VN"/>
              </w:rPr>
              <w:t>Nghị quyết số 06/2026/NQ-HĐND ngày 20/4/2026 Quy định mức chi cho công tác đào tạo, bồi dưỡng cán bộ, công chức, viên chức thành phố Hải Phòng</w:t>
            </w:r>
          </w:p>
          <w:p w14:paraId="5AC8AF4B" w14:textId="77777777" w:rsidR="00134BBD" w:rsidRPr="00777CFF" w:rsidRDefault="00134BBD" w:rsidP="009439D1">
            <w:pPr>
              <w:pStyle w:val="NormalWeb"/>
              <w:jc w:val="both"/>
              <w:rPr>
                <w:color w:val="000000"/>
                <w:sz w:val="26"/>
                <w:szCs w:val="26"/>
                <w:lang w:val="vi-VN"/>
              </w:rPr>
            </w:pPr>
            <w:r w:rsidRPr="007C5357">
              <w:rPr>
                <w:b/>
                <w:bCs/>
                <w:sz w:val="26"/>
                <w:szCs w:val="26"/>
                <w:lang w:val="vi-VN"/>
              </w:rPr>
              <w:t>5.</w:t>
            </w:r>
            <w:r w:rsidRPr="00777CFF">
              <w:rPr>
                <w:sz w:val="26"/>
                <w:szCs w:val="26"/>
                <w:lang w:val="vi-VN"/>
              </w:rPr>
              <w:t xml:space="preserve"> Nghị quyết số 03/2026/NQ-HĐND ngày 20/4/2026 Quy định mức thu học phí năm học 2025-2026 tại các cơ sở giáo dục mầm non, giáo dục phổ thông công lập tự bảo đảm chi thường xuyên trên địa bàn thành phố Hải Phòng</w:t>
            </w:r>
          </w:p>
        </w:tc>
        <w:tc>
          <w:tcPr>
            <w:tcW w:w="1814" w:type="dxa"/>
            <w:vAlign w:val="center"/>
          </w:tcPr>
          <w:p w14:paraId="5FF9B194" w14:textId="77777777" w:rsidR="00134BBD" w:rsidRPr="00777CFF" w:rsidRDefault="00134BBD" w:rsidP="009439D1">
            <w:pPr>
              <w:tabs>
                <w:tab w:val="left" w:pos="2760"/>
                <w:tab w:val="left" w:pos="3840"/>
              </w:tabs>
              <w:jc w:val="center"/>
              <w:rPr>
                <w:sz w:val="26"/>
                <w:szCs w:val="26"/>
                <w:lang w:val="vi-VN"/>
              </w:rPr>
            </w:pPr>
          </w:p>
          <w:p w14:paraId="091E52BC" w14:textId="77777777" w:rsidR="00134BBD" w:rsidRPr="00777CFF" w:rsidRDefault="00134BBD" w:rsidP="009439D1">
            <w:pPr>
              <w:tabs>
                <w:tab w:val="left" w:pos="2760"/>
                <w:tab w:val="left" w:pos="3840"/>
              </w:tabs>
              <w:jc w:val="center"/>
              <w:rPr>
                <w:sz w:val="26"/>
                <w:szCs w:val="26"/>
                <w:lang w:val="vi-VN"/>
              </w:rPr>
            </w:pPr>
            <w:r w:rsidRPr="00777CFF">
              <w:rPr>
                <w:sz w:val="26"/>
                <w:szCs w:val="26"/>
                <w:lang w:val="vi-VN"/>
              </w:rPr>
              <w:t>Phòng Văn hóa – Xã hội</w:t>
            </w:r>
          </w:p>
        </w:tc>
      </w:tr>
      <w:tr w:rsidR="00134BBD" w:rsidRPr="00777CFF" w14:paraId="5EEF93D7" w14:textId="77777777" w:rsidTr="00876768">
        <w:trPr>
          <w:trHeight w:val="1100"/>
        </w:trPr>
        <w:tc>
          <w:tcPr>
            <w:tcW w:w="746" w:type="dxa"/>
          </w:tcPr>
          <w:p w14:paraId="44E0124E" w14:textId="77777777" w:rsidR="00134BBD" w:rsidRPr="007C5357" w:rsidRDefault="00134BBD" w:rsidP="009439D1">
            <w:pPr>
              <w:tabs>
                <w:tab w:val="left" w:pos="2760"/>
                <w:tab w:val="left" w:pos="3840"/>
              </w:tabs>
              <w:jc w:val="center"/>
              <w:rPr>
                <w:b/>
                <w:bCs/>
                <w:sz w:val="26"/>
                <w:szCs w:val="26"/>
                <w:lang w:val="vi-VN"/>
              </w:rPr>
            </w:pPr>
            <w:r w:rsidRPr="007C5357">
              <w:rPr>
                <w:b/>
                <w:bCs/>
                <w:sz w:val="26"/>
                <w:szCs w:val="26"/>
                <w:lang w:val="vi-VN"/>
              </w:rPr>
              <w:t>III</w:t>
            </w:r>
          </w:p>
        </w:tc>
        <w:tc>
          <w:tcPr>
            <w:tcW w:w="7079" w:type="dxa"/>
            <w:vAlign w:val="center"/>
          </w:tcPr>
          <w:p w14:paraId="632B258E" w14:textId="46287602" w:rsidR="007C5357" w:rsidRPr="00876768" w:rsidRDefault="00134BBD" w:rsidP="009439D1">
            <w:pPr>
              <w:pStyle w:val="NormalWeb"/>
              <w:jc w:val="both"/>
              <w:rPr>
                <w:sz w:val="26"/>
                <w:szCs w:val="26"/>
                <w:lang w:val="vi-VN"/>
              </w:rPr>
            </w:pPr>
            <w:r w:rsidRPr="007C5357">
              <w:rPr>
                <w:b/>
                <w:bCs/>
                <w:color w:val="000000"/>
                <w:sz w:val="26"/>
                <w:szCs w:val="26"/>
                <w:lang w:val="vi-VN"/>
              </w:rPr>
              <w:t>6.</w:t>
            </w:r>
            <w:r w:rsidRPr="00777CFF">
              <w:rPr>
                <w:color w:val="000000"/>
                <w:sz w:val="26"/>
                <w:szCs w:val="26"/>
                <w:lang w:val="vi-VN"/>
              </w:rPr>
              <w:t xml:space="preserve"> </w:t>
            </w:r>
            <w:r w:rsidRPr="00777CFF">
              <w:rPr>
                <w:sz w:val="26"/>
                <w:szCs w:val="26"/>
                <w:lang w:val="vi-VN"/>
              </w:rPr>
              <w:t>Nghị quyết số 05/2026/NQ-HĐND ngày 20/4/2026 Quy định nội dung chi, mức chi kinh phí bảo đảm cho công tác xây dựng văn bản quy phạm pháp luật trên địa bàn thành phố Hải Phòng</w:t>
            </w:r>
          </w:p>
        </w:tc>
        <w:tc>
          <w:tcPr>
            <w:tcW w:w="1814" w:type="dxa"/>
            <w:vAlign w:val="center"/>
          </w:tcPr>
          <w:p w14:paraId="094CB605" w14:textId="77777777" w:rsidR="00134BBD" w:rsidRPr="00777CFF" w:rsidRDefault="00134BBD" w:rsidP="009439D1">
            <w:pPr>
              <w:tabs>
                <w:tab w:val="left" w:pos="2760"/>
                <w:tab w:val="left" w:pos="3840"/>
              </w:tabs>
              <w:jc w:val="center"/>
              <w:rPr>
                <w:sz w:val="26"/>
                <w:szCs w:val="26"/>
                <w:lang w:val="vi-VN"/>
              </w:rPr>
            </w:pPr>
            <w:r w:rsidRPr="00777CFF">
              <w:rPr>
                <w:sz w:val="26"/>
                <w:szCs w:val="26"/>
                <w:lang w:val="vi-VN"/>
              </w:rPr>
              <w:t>Văn phòng HĐND-UBND phường</w:t>
            </w:r>
          </w:p>
        </w:tc>
      </w:tr>
    </w:tbl>
    <w:p w14:paraId="28077786" w14:textId="77777777" w:rsidR="00134BBD" w:rsidRPr="00777CFF" w:rsidRDefault="00134BBD" w:rsidP="00134BBD">
      <w:pPr>
        <w:rPr>
          <w:sz w:val="26"/>
          <w:szCs w:val="26"/>
          <w:lang w:val="vi-VN"/>
        </w:rPr>
      </w:pPr>
    </w:p>
    <w:p w14:paraId="0CFB89DA" w14:textId="77777777" w:rsidR="00507606" w:rsidRDefault="00507606"/>
    <w:sectPr w:rsidR="00507606" w:rsidSect="002D79F0">
      <w:headerReference w:type="default" r:id="rId4"/>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440751"/>
      <w:docPartObj>
        <w:docPartGallery w:val="Page Numbers (Top of Page)"/>
        <w:docPartUnique/>
      </w:docPartObj>
    </w:sdtPr>
    <w:sdtEndPr>
      <w:rPr>
        <w:noProof/>
      </w:rPr>
    </w:sdtEndPr>
    <w:sdtContent>
      <w:p w14:paraId="3D9BB47A" w14:textId="77777777" w:rsidR="00530DDF" w:rsidRDefault="00876768">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19676E43" w14:textId="77777777" w:rsidR="00530DDF" w:rsidRDefault="00876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BD"/>
    <w:rsid w:val="00134BBD"/>
    <w:rsid w:val="00507606"/>
    <w:rsid w:val="007C5357"/>
    <w:rsid w:val="0087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BC04"/>
  <w15:chartTrackingRefBased/>
  <w15:docId w15:val="{434A5EEF-7E51-498B-9725-0B433DD9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B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BBD"/>
    <w:pPr>
      <w:tabs>
        <w:tab w:val="center" w:pos="4680"/>
        <w:tab w:val="right" w:pos="9360"/>
      </w:tabs>
    </w:pPr>
  </w:style>
  <w:style w:type="character" w:customStyle="1" w:styleId="HeaderChar">
    <w:name w:val="Header Char"/>
    <w:basedOn w:val="DefaultParagraphFont"/>
    <w:link w:val="Header"/>
    <w:uiPriority w:val="99"/>
    <w:rsid w:val="00134BBD"/>
    <w:rPr>
      <w:rFonts w:ascii="Times New Roman" w:eastAsia="Times New Roman" w:hAnsi="Times New Roman" w:cs="Times New Roman"/>
      <w:sz w:val="28"/>
      <w:szCs w:val="28"/>
    </w:rPr>
  </w:style>
  <w:style w:type="paragraph" w:styleId="NormalWeb">
    <w:name w:val="Normal (Web)"/>
    <w:basedOn w:val="Normal"/>
    <w:uiPriority w:val="99"/>
    <w:unhideWhenUsed/>
    <w:rsid w:val="00134B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2026-06-11T07:42:00Z</dcterms:created>
  <dcterms:modified xsi:type="dcterms:W3CDTF">2026-06-11T07:43:00Z</dcterms:modified>
</cp:coreProperties>
</file>