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758E1" w14:textId="2F598077" w:rsidR="00A8785E" w:rsidRPr="00A8785E" w:rsidRDefault="00A8785E" w:rsidP="00A8785E">
      <w:pPr>
        <w:jc w:val="center"/>
        <w:rPr>
          <w:rFonts w:ascii="Times New Roman" w:hAnsi="Times New Roman"/>
          <w:b/>
          <w:sz w:val="28"/>
          <w:szCs w:val="28"/>
        </w:rPr>
      </w:pPr>
      <w:r w:rsidRPr="00A8785E">
        <w:rPr>
          <w:rFonts w:ascii="Times New Roman" w:hAnsi="Times New Roman"/>
          <w:b/>
          <w:sz w:val="28"/>
          <w:szCs w:val="28"/>
        </w:rPr>
        <w:t>Phụ lục</w:t>
      </w:r>
    </w:p>
    <w:p w14:paraId="74096C47" w14:textId="77777777" w:rsidR="00A8785E" w:rsidRPr="00A8785E" w:rsidRDefault="00A8785E" w:rsidP="00A8785E">
      <w:pPr>
        <w:jc w:val="center"/>
        <w:rPr>
          <w:rFonts w:ascii="Times New Roman" w:hAnsi="Times New Roman"/>
          <w:b/>
          <w:sz w:val="28"/>
          <w:szCs w:val="28"/>
          <w:lang w:val="vi"/>
        </w:rPr>
      </w:pPr>
      <w:r w:rsidRPr="00A8785E">
        <w:rPr>
          <w:rFonts w:ascii="Times New Roman" w:hAnsi="Times New Roman"/>
          <w:b/>
          <w:sz w:val="28"/>
          <w:szCs w:val="28"/>
          <w:lang w:val="vi"/>
        </w:rPr>
        <w:t>Phương pháp đối chiếu, kiểm chứng Phiếu thu thập thông tin về kết quả hoạt động của cơ sở hành chính (Phiếu 2A.HC.ĐTHCSN) và Phiếu thu thập thông tin về kết quả hoạt động của đơn vị sự nghiệp công lập (Phiếu 2B.SN.ĐTHCSN) của Điều tra cơ sở hành chính, sự nghiệp năm 2026</w:t>
      </w:r>
    </w:p>
    <w:p w14:paraId="288BD701" w14:textId="77777777" w:rsidR="00A8785E" w:rsidRPr="00A8785E" w:rsidRDefault="00A8785E" w:rsidP="00A8785E">
      <w:pPr>
        <w:jc w:val="center"/>
        <w:rPr>
          <w:rFonts w:ascii="Times New Roman" w:hAnsi="Times New Roman"/>
          <w:i/>
          <w:sz w:val="28"/>
          <w:szCs w:val="28"/>
          <w:lang w:val="vi"/>
        </w:rPr>
      </w:pPr>
      <w:r w:rsidRPr="00A8785E">
        <w:rPr>
          <w:rFonts w:ascii="Times New Roman" w:hAnsi="Times New Roman"/>
          <w:i/>
          <w:sz w:val="28"/>
          <w:szCs w:val="28"/>
          <w:lang w:val="vi"/>
        </w:rPr>
        <w:t>(Kèm theo Công văn số        /</w:t>
      </w:r>
      <w:r w:rsidRPr="00A8785E">
        <w:rPr>
          <w:rFonts w:ascii="Times New Roman" w:hAnsi="Times New Roman"/>
          <w:i/>
          <w:sz w:val="28"/>
          <w:szCs w:val="28"/>
        </w:rPr>
        <w:t>S</w:t>
      </w:r>
      <w:r w:rsidRPr="00A8785E">
        <w:rPr>
          <w:rFonts w:ascii="Times New Roman" w:hAnsi="Times New Roman"/>
          <w:i/>
          <w:sz w:val="28"/>
          <w:szCs w:val="28"/>
          <w:lang w:val="vi"/>
        </w:rPr>
        <w:t>NV-</w:t>
      </w:r>
      <w:r w:rsidRPr="00A8785E">
        <w:rPr>
          <w:rFonts w:ascii="Times New Roman" w:hAnsi="Times New Roman"/>
          <w:i/>
          <w:sz w:val="28"/>
          <w:szCs w:val="28"/>
        </w:rPr>
        <w:t>KHTC</w:t>
      </w:r>
      <w:r w:rsidRPr="00A8785E">
        <w:rPr>
          <w:rFonts w:ascii="Times New Roman" w:hAnsi="Times New Roman"/>
          <w:i/>
          <w:sz w:val="28"/>
          <w:szCs w:val="28"/>
          <w:lang w:val="vi"/>
        </w:rPr>
        <w:t xml:space="preserve"> ngày       tháng       năm 2026 của </w:t>
      </w:r>
      <w:r w:rsidRPr="00A8785E">
        <w:rPr>
          <w:rFonts w:ascii="Times New Roman" w:hAnsi="Times New Roman"/>
          <w:i/>
          <w:sz w:val="28"/>
          <w:szCs w:val="28"/>
        </w:rPr>
        <w:t>Sở Nội vụ</w:t>
      </w:r>
      <w:r w:rsidRPr="00A8785E">
        <w:rPr>
          <w:rFonts w:ascii="Times New Roman" w:hAnsi="Times New Roman"/>
          <w:i/>
          <w:sz w:val="28"/>
          <w:szCs w:val="28"/>
          <w:lang w:val="vi"/>
        </w:rPr>
        <w:t>)</w:t>
      </w:r>
    </w:p>
    <w:tbl>
      <w:tblPr>
        <w:tblStyle w:val="TableGrid"/>
        <w:tblW w:w="9209" w:type="dxa"/>
        <w:tblLook w:val="04A0" w:firstRow="1" w:lastRow="0" w:firstColumn="1" w:lastColumn="0" w:noHBand="0" w:noVBand="1"/>
      </w:tblPr>
      <w:tblGrid>
        <w:gridCol w:w="746"/>
        <w:gridCol w:w="3927"/>
        <w:gridCol w:w="4536"/>
      </w:tblGrid>
      <w:tr w:rsidR="00A8785E" w:rsidRPr="00A8785E" w14:paraId="345D12AD" w14:textId="77777777" w:rsidTr="00757C04">
        <w:tc>
          <w:tcPr>
            <w:tcW w:w="746" w:type="dxa"/>
          </w:tcPr>
          <w:p w14:paraId="5948EC14" w14:textId="77777777" w:rsidR="00A8785E" w:rsidRPr="00A8785E" w:rsidRDefault="00A8785E" w:rsidP="00757C04">
            <w:pPr>
              <w:spacing w:before="120" w:after="120" w:line="240" w:lineRule="auto"/>
              <w:jc w:val="both"/>
              <w:rPr>
                <w:rFonts w:ascii="Times New Roman" w:hAnsi="Times New Roman"/>
                <w:b/>
                <w:sz w:val="28"/>
                <w:szCs w:val="28"/>
                <w:lang w:val="vi"/>
              </w:rPr>
            </w:pPr>
            <w:r w:rsidRPr="00A8785E">
              <w:rPr>
                <w:rFonts w:ascii="Times New Roman" w:hAnsi="Times New Roman"/>
                <w:b/>
                <w:sz w:val="28"/>
                <w:szCs w:val="28"/>
                <w:lang w:val="vi"/>
              </w:rPr>
              <w:t>STT</w:t>
            </w:r>
          </w:p>
        </w:tc>
        <w:tc>
          <w:tcPr>
            <w:tcW w:w="3927" w:type="dxa"/>
          </w:tcPr>
          <w:p w14:paraId="5D95A523" w14:textId="77777777" w:rsidR="00A8785E" w:rsidRPr="00A8785E" w:rsidRDefault="00A8785E" w:rsidP="00757C04">
            <w:pPr>
              <w:spacing w:before="120" w:after="120" w:line="240" w:lineRule="auto"/>
              <w:jc w:val="both"/>
              <w:rPr>
                <w:rFonts w:ascii="Times New Roman" w:hAnsi="Times New Roman"/>
                <w:b/>
                <w:sz w:val="28"/>
                <w:szCs w:val="28"/>
                <w:lang w:val="vi"/>
              </w:rPr>
            </w:pPr>
            <w:r w:rsidRPr="00A8785E">
              <w:rPr>
                <w:rFonts w:ascii="Times New Roman" w:hAnsi="Times New Roman"/>
                <w:b/>
                <w:sz w:val="28"/>
                <w:szCs w:val="28"/>
                <w:lang w:val="vi"/>
              </w:rPr>
              <w:t>Chỉ tiêu Phiếu thu thập thông tin</w:t>
            </w:r>
          </w:p>
        </w:tc>
        <w:tc>
          <w:tcPr>
            <w:tcW w:w="4536" w:type="dxa"/>
          </w:tcPr>
          <w:p w14:paraId="50ED22CE" w14:textId="77777777" w:rsidR="00A8785E" w:rsidRPr="00A8785E" w:rsidRDefault="00A8785E" w:rsidP="00757C04">
            <w:pPr>
              <w:spacing w:before="120" w:after="120" w:line="240" w:lineRule="auto"/>
              <w:jc w:val="both"/>
              <w:rPr>
                <w:rFonts w:ascii="Times New Roman" w:hAnsi="Times New Roman"/>
                <w:b/>
                <w:sz w:val="28"/>
                <w:szCs w:val="28"/>
                <w:lang w:val="vi"/>
              </w:rPr>
            </w:pPr>
            <w:r w:rsidRPr="00A8785E">
              <w:rPr>
                <w:rFonts w:ascii="Times New Roman" w:hAnsi="Times New Roman"/>
                <w:b/>
                <w:sz w:val="28"/>
                <w:szCs w:val="28"/>
                <w:lang w:val="vi"/>
              </w:rPr>
              <w:t xml:space="preserve">Chỉ tiêu trên báo cáo tài chính, hồ sơ </w:t>
            </w:r>
            <w:r w:rsidRPr="00A8785E">
              <w:rPr>
                <w:rFonts w:ascii="Times New Roman" w:hAnsi="Times New Roman"/>
                <w:b/>
                <w:sz w:val="28"/>
                <w:szCs w:val="28"/>
              </w:rPr>
              <w:t xml:space="preserve">tài liệu kiểm chứng </w:t>
            </w:r>
            <w:r w:rsidRPr="00A8785E">
              <w:rPr>
                <w:rFonts w:ascii="Times New Roman" w:hAnsi="Times New Roman"/>
                <w:b/>
                <w:sz w:val="28"/>
                <w:szCs w:val="28"/>
                <w:lang w:val="vi"/>
              </w:rPr>
              <w:t>có liên quan</w:t>
            </w:r>
          </w:p>
        </w:tc>
      </w:tr>
      <w:tr w:rsidR="00A8785E" w:rsidRPr="00A8785E" w14:paraId="132CC10F" w14:textId="77777777" w:rsidTr="005D29D7">
        <w:tc>
          <w:tcPr>
            <w:tcW w:w="746" w:type="dxa"/>
          </w:tcPr>
          <w:p w14:paraId="71A24884" w14:textId="77777777" w:rsidR="00A8785E" w:rsidRPr="00A8785E" w:rsidRDefault="00A8785E" w:rsidP="00757C04">
            <w:pPr>
              <w:spacing w:before="120" w:after="120" w:line="240" w:lineRule="auto"/>
              <w:jc w:val="both"/>
              <w:rPr>
                <w:rFonts w:ascii="Times New Roman" w:hAnsi="Times New Roman"/>
                <w:b/>
                <w:sz w:val="28"/>
                <w:szCs w:val="28"/>
                <w:lang w:val="vi"/>
              </w:rPr>
            </w:pPr>
            <w:r w:rsidRPr="00A8785E">
              <w:rPr>
                <w:rFonts w:ascii="Times New Roman" w:hAnsi="Times New Roman"/>
                <w:b/>
                <w:sz w:val="28"/>
                <w:szCs w:val="28"/>
                <w:lang w:val="vi"/>
              </w:rPr>
              <w:t>A</w:t>
            </w:r>
          </w:p>
        </w:tc>
        <w:tc>
          <w:tcPr>
            <w:tcW w:w="8463" w:type="dxa"/>
            <w:gridSpan w:val="2"/>
          </w:tcPr>
          <w:p w14:paraId="79C4EFB4" w14:textId="77777777" w:rsidR="00A8785E" w:rsidRPr="00A8785E" w:rsidRDefault="00A8785E" w:rsidP="00757C04">
            <w:pPr>
              <w:spacing w:before="120" w:after="120" w:line="240" w:lineRule="auto"/>
              <w:jc w:val="both"/>
              <w:rPr>
                <w:rFonts w:ascii="Times New Roman" w:hAnsi="Times New Roman"/>
                <w:b/>
                <w:sz w:val="28"/>
                <w:szCs w:val="28"/>
                <w:lang w:val="vi"/>
              </w:rPr>
            </w:pPr>
            <w:r w:rsidRPr="00A8785E">
              <w:rPr>
                <w:rFonts w:ascii="Times New Roman" w:hAnsi="Times New Roman"/>
                <w:b/>
                <w:sz w:val="28"/>
                <w:szCs w:val="28"/>
                <w:lang w:val="vi"/>
              </w:rPr>
              <w:t>Phiếu thu thập thông tin kết quả hoạt động của cơ sở hành chính (Phiếu 2A.HC.ĐTHCSN)</w:t>
            </w:r>
          </w:p>
        </w:tc>
      </w:tr>
      <w:tr w:rsidR="00A8785E" w:rsidRPr="00A8785E" w14:paraId="73C3402B" w14:textId="77777777" w:rsidTr="00757C04">
        <w:tc>
          <w:tcPr>
            <w:tcW w:w="746" w:type="dxa"/>
          </w:tcPr>
          <w:p w14:paraId="36F708E2" w14:textId="77777777" w:rsidR="00A8785E" w:rsidRPr="00A8785E" w:rsidRDefault="00A8785E" w:rsidP="00757C04">
            <w:pPr>
              <w:spacing w:before="120" w:after="120" w:line="240" w:lineRule="auto"/>
              <w:jc w:val="both"/>
              <w:rPr>
                <w:rFonts w:ascii="Times New Roman" w:hAnsi="Times New Roman"/>
                <w:b/>
                <w:bCs/>
                <w:sz w:val="28"/>
                <w:szCs w:val="28"/>
                <w:lang w:val="vi"/>
              </w:rPr>
            </w:pPr>
            <w:r w:rsidRPr="00A8785E">
              <w:rPr>
                <w:rFonts w:ascii="Times New Roman" w:hAnsi="Times New Roman"/>
                <w:b/>
                <w:bCs/>
                <w:sz w:val="28"/>
                <w:szCs w:val="28"/>
                <w:lang w:val="vi"/>
              </w:rPr>
              <w:t>I</w:t>
            </w:r>
          </w:p>
        </w:tc>
        <w:tc>
          <w:tcPr>
            <w:tcW w:w="3927" w:type="dxa"/>
          </w:tcPr>
          <w:p w14:paraId="3E1C94ED" w14:textId="77777777" w:rsidR="00A8785E" w:rsidRPr="00A8785E" w:rsidRDefault="00A8785E" w:rsidP="00757C04">
            <w:pPr>
              <w:spacing w:before="120" w:after="120" w:line="240" w:lineRule="auto"/>
              <w:jc w:val="both"/>
              <w:rPr>
                <w:rFonts w:ascii="Times New Roman" w:hAnsi="Times New Roman"/>
                <w:sz w:val="28"/>
                <w:szCs w:val="28"/>
                <w:lang w:val="vi"/>
              </w:rPr>
            </w:pPr>
            <w:r w:rsidRPr="00A8785E">
              <w:rPr>
                <w:rFonts w:ascii="Times New Roman" w:hAnsi="Times New Roman"/>
                <w:b/>
                <w:bCs/>
                <w:sz w:val="28"/>
                <w:szCs w:val="28"/>
                <w:lang w:val="vi"/>
              </w:rPr>
              <w:t>A. Thông tin chung của đơn vị</w:t>
            </w:r>
          </w:p>
        </w:tc>
        <w:tc>
          <w:tcPr>
            <w:tcW w:w="4536" w:type="dxa"/>
          </w:tcPr>
          <w:p w14:paraId="698A253B" w14:textId="77777777" w:rsidR="00A8785E" w:rsidRPr="00A8785E" w:rsidRDefault="00A8785E" w:rsidP="00757C04">
            <w:pPr>
              <w:spacing w:before="120" w:after="120" w:line="240" w:lineRule="auto"/>
              <w:jc w:val="both"/>
              <w:rPr>
                <w:rFonts w:ascii="Times New Roman" w:hAnsi="Times New Roman"/>
                <w:sz w:val="28"/>
                <w:szCs w:val="28"/>
                <w:lang w:val="vi"/>
              </w:rPr>
            </w:pPr>
          </w:p>
        </w:tc>
      </w:tr>
      <w:tr w:rsidR="00A8785E" w:rsidRPr="00A8785E" w14:paraId="642389F7" w14:textId="77777777" w:rsidTr="00757C04">
        <w:tc>
          <w:tcPr>
            <w:tcW w:w="746" w:type="dxa"/>
          </w:tcPr>
          <w:p w14:paraId="24819581" w14:textId="77777777" w:rsidR="00A8785E" w:rsidRPr="00A8785E" w:rsidRDefault="00A8785E" w:rsidP="00757C04">
            <w:pPr>
              <w:spacing w:before="120" w:after="120" w:line="240" w:lineRule="auto"/>
              <w:jc w:val="both"/>
              <w:rPr>
                <w:rFonts w:ascii="Times New Roman" w:hAnsi="Times New Roman"/>
                <w:sz w:val="28"/>
                <w:szCs w:val="28"/>
                <w:lang w:val="vi"/>
              </w:rPr>
            </w:pPr>
            <w:r w:rsidRPr="00A8785E">
              <w:rPr>
                <w:rFonts w:ascii="Times New Roman" w:hAnsi="Times New Roman"/>
                <w:sz w:val="28"/>
                <w:szCs w:val="28"/>
                <w:lang w:val="vi"/>
              </w:rPr>
              <w:t>1</w:t>
            </w:r>
          </w:p>
        </w:tc>
        <w:tc>
          <w:tcPr>
            <w:tcW w:w="3927" w:type="dxa"/>
          </w:tcPr>
          <w:p w14:paraId="1A512E49" w14:textId="77777777" w:rsidR="00A8785E" w:rsidRPr="00A8785E" w:rsidRDefault="00A8785E" w:rsidP="00757C04">
            <w:pPr>
              <w:spacing w:before="120" w:after="120" w:line="240" w:lineRule="auto"/>
              <w:jc w:val="both"/>
              <w:rPr>
                <w:rFonts w:ascii="Times New Roman" w:hAnsi="Times New Roman"/>
                <w:sz w:val="28"/>
                <w:szCs w:val="28"/>
                <w:lang w:val="vi"/>
              </w:rPr>
            </w:pPr>
            <w:r w:rsidRPr="00A8785E">
              <w:rPr>
                <w:rFonts w:ascii="Times New Roman" w:hAnsi="Times New Roman"/>
                <w:sz w:val="28"/>
                <w:szCs w:val="28"/>
                <w:lang w:val="vi"/>
              </w:rPr>
              <w:t>A1. Thông tin định danh</w:t>
            </w:r>
          </w:p>
        </w:tc>
        <w:tc>
          <w:tcPr>
            <w:tcW w:w="4536" w:type="dxa"/>
          </w:tcPr>
          <w:p w14:paraId="376977BE" w14:textId="0779B261" w:rsidR="00A8785E" w:rsidRPr="00A8785E" w:rsidRDefault="00A8785E" w:rsidP="00757C04">
            <w:pPr>
              <w:spacing w:before="120" w:after="120" w:line="240" w:lineRule="auto"/>
              <w:jc w:val="both"/>
              <w:rPr>
                <w:rFonts w:ascii="Times New Roman" w:hAnsi="Times New Roman"/>
                <w:sz w:val="28"/>
                <w:szCs w:val="28"/>
                <w:lang w:val="vi"/>
              </w:rPr>
            </w:pPr>
            <w:r w:rsidRPr="00A8785E">
              <w:rPr>
                <w:rFonts w:ascii="Times New Roman" w:hAnsi="Times New Roman"/>
                <w:sz w:val="28"/>
                <w:szCs w:val="28"/>
                <w:lang w:val="vi"/>
              </w:rPr>
              <w:t>Phần II, Phụ lục I Giải thích, hướng dẫn cách ghi Phiếu thu thập thông tin về kết quả hoạt động của cơ sở hành chính (Ban hành kèm theo Quyết định số 200/QĐ-BNV ngày 02/03/2026 của Bộ trưởng Bộ Nội vụ) (sau đây gọi là Phần II, Phụ lục I QĐ</w:t>
            </w:r>
            <w:r w:rsidRPr="00A8785E">
              <w:rPr>
                <w:rFonts w:ascii="Times New Roman" w:hAnsi="Times New Roman"/>
                <w:sz w:val="28"/>
                <w:szCs w:val="28"/>
              </w:rPr>
              <w:t xml:space="preserve"> </w:t>
            </w:r>
            <w:r w:rsidRPr="00A8785E">
              <w:rPr>
                <w:rFonts w:ascii="Times New Roman" w:hAnsi="Times New Roman"/>
                <w:sz w:val="28"/>
                <w:szCs w:val="28"/>
                <w:lang w:val="vi"/>
              </w:rPr>
              <w:t>200)</w:t>
            </w:r>
          </w:p>
        </w:tc>
      </w:tr>
      <w:tr w:rsidR="00A8785E" w:rsidRPr="00A8785E" w14:paraId="02E4FF79" w14:textId="77777777" w:rsidTr="00757C04">
        <w:tc>
          <w:tcPr>
            <w:tcW w:w="746" w:type="dxa"/>
          </w:tcPr>
          <w:p w14:paraId="4270AFAF" w14:textId="77777777" w:rsidR="00A8785E" w:rsidRPr="00A8785E" w:rsidRDefault="00A8785E" w:rsidP="00757C04">
            <w:pPr>
              <w:spacing w:before="120" w:after="120" w:line="240" w:lineRule="auto"/>
              <w:jc w:val="both"/>
              <w:rPr>
                <w:rFonts w:ascii="Times New Roman" w:hAnsi="Times New Roman"/>
                <w:sz w:val="28"/>
                <w:szCs w:val="28"/>
                <w:lang w:val="vi"/>
              </w:rPr>
            </w:pPr>
            <w:r w:rsidRPr="00A8785E">
              <w:rPr>
                <w:rFonts w:ascii="Times New Roman" w:hAnsi="Times New Roman"/>
                <w:sz w:val="28"/>
                <w:szCs w:val="28"/>
                <w:lang w:val="vi"/>
              </w:rPr>
              <w:t>2</w:t>
            </w:r>
          </w:p>
        </w:tc>
        <w:tc>
          <w:tcPr>
            <w:tcW w:w="3927" w:type="dxa"/>
          </w:tcPr>
          <w:p w14:paraId="78109613" w14:textId="77777777" w:rsidR="00A8785E" w:rsidRPr="00A8785E" w:rsidRDefault="00A8785E" w:rsidP="00757C04">
            <w:pPr>
              <w:spacing w:before="120" w:after="120" w:line="240" w:lineRule="auto"/>
              <w:jc w:val="both"/>
              <w:rPr>
                <w:rFonts w:ascii="Times New Roman" w:hAnsi="Times New Roman"/>
                <w:sz w:val="28"/>
                <w:szCs w:val="28"/>
                <w:lang w:val="vi"/>
              </w:rPr>
            </w:pPr>
            <w:r w:rsidRPr="00A8785E">
              <w:rPr>
                <w:rFonts w:ascii="Times New Roman" w:hAnsi="Times New Roman"/>
                <w:sz w:val="28"/>
                <w:szCs w:val="28"/>
                <w:lang w:val="vi"/>
              </w:rPr>
              <w:t>A2. Thông tin về hoạt động của đơn vị</w:t>
            </w:r>
          </w:p>
        </w:tc>
        <w:tc>
          <w:tcPr>
            <w:tcW w:w="4536" w:type="dxa"/>
          </w:tcPr>
          <w:p w14:paraId="2F5A5E60" w14:textId="77777777" w:rsidR="00A8785E" w:rsidRPr="00A8785E" w:rsidRDefault="00A8785E" w:rsidP="00757C04">
            <w:pPr>
              <w:spacing w:before="120" w:after="120" w:line="240" w:lineRule="auto"/>
              <w:jc w:val="both"/>
              <w:rPr>
                <w:rFonts w:ascii="Times New Roman" w:hAnsi="Times New Roman"/>
                <w:sz w:val="28"/>
                <w:szCs w:val="28"/>
                <w:lang w:val="vi"/>
              </w:rPr>
            </w:pPr>
            <w:r w:rsidRPr="00A8785E">
              <w:rPr>
                <w:rFonts w:ascii="Times New Roman" w:hAnsi="Times New Roman"/>
                <w:sz w:val="28"/>
                <w:szCs w:val="28"/>
                <w:lang w:val="vi"/>
              </w:rPr>
              <w:t>- Phần II, Phụ lục I QĐ</w:t>
            </w:r>
            <w:r w:rsidRPr="00A8785E">
              <w:rPr>
                <w:rFonts w:ascii="Times New Roman" w:hAnsi="Times New Roman"/>
                <w:sz w:val="28"/>
                <w:szCs w:val="28"/>
              </w:rPr>
              <w:t xml:space="preserve"> </w:t>
            </w:r>
            <w:r w:rsidRPr="00A8785E">
              <w:rPr>
                <w:rFonts w:ascii="Times New Roman" w:hAnsi="Times New Roman"/>
                <w:sz w:val="28"/>
                <w:szCs w:val="28"/>
                <w:lang w:val="vi"/>
              </w:rPr>
              <w:t>200;</w:t>
            </w:r>
          </w:p>
          <w:p w14:paraId="38E34BF0" w14:textId="77777777" w:rsidR="00A8785E" w:rsidRPr="00A8785E" w:rsidRDefault="00A8785E" w:rsidP="00757C04">
            <w:pPr>
              <w:spacing w:before="120" w:after="120" w:line="240" w:lineRule="auto"/>
              <w:jc w:val="both"/>
              <w:rPr>
                <w:rFonts w:ascii="Times New Roman" w:hAnsi="Times New Roman"/>
                <w:sz w:val="28"/>
                <w:szCs w:val="28"/>
                <w:lang w:val="vi"/>
              </w:rPr>
            </w:pPr>
            <w:r w:rsidRPr="00A8785E">
              <w:rPr>
                <w:rFonts w:ascii="Times New Roman" w:hAnsi="Times New Roman"/>
                <w:sz w:val="28"/>
                <w:szCs w:val="28"/>
                <w:lang w:val="vi"/>
              </w:rPr>
              <w:t>- Quyết định quy định chức năng, nhiệm vụ</w:t>
            </w:r>
          </w:p>
        </w:tc>
      </w:tr>
      <w:tr w:rsidR="00A8785E" w:rsidRPr="00A8785E" w14:paraId="2C74950C" w14:textId="77777777" w:rsidTr="00757C04">
        <w:tc>
          <w:tcPr>
            <w:tcW w:w="746" w:type="dxa"/>
          </w:tcPr>
          <w:p w14:paraId="26296ACC" w14:textId="77777777" w:rsidR="00A8785E" w:rsidRPr="00A8785E" w:rsidRDefault="00A8785E" w:rsidP="00757C04">
            <w:pPr>
              <w:spacing w:before="120" w:after="120" w:line="240" w:lineRule="auto"/>
              <w:jc w:val="both"/>
              <w:rPr>
                <w:rFonts w:ascii="Times New Roman" w:hAnsi="Times New Roman"/>
                <w:sz w:val="28"/>
                <w:szCs w:val="28"/>
                <w:lang w:val="vi"/>
              </w:rPr>
            </w:pPr>
            <w:r w:rsidRPr="00A8785E">
              <w:rPr>
                <w:rFonts w:ascii="Times New Roman" w:hAnsi="Times New Roman"/>
                <w:sz w:val="28"/>
                <w:szCs w:val="28"/>
                <w:lang w:val="vi"/>
              </w:rPr>
              <w:t>3</w:t>
            </w:r>
          </w:p>
        </w:tc>
        <w:tc>
          <w:tcPr>
            <w:tcW w:w="3927" w:type="dxa"/>
          </w:tcPr>
          <w:p w14:paraId="1DF2E38A" w14:textId="77777777" w:rsidR="00A8785E" w:rsidRPr="00A8785E" w:rsidRDefault="00A8785E" w:rsidP="00757C04">
            <w:pPr>
              <w:spacing w:before="120" w:after="120" w:line="240" w:lineRule="auto"/>
              <w:jc w:val="both"/>
              <w:rPr>
                <w:rFonts w:ascii="Times New Roman" w:hAnsi="Times New Roman"/>
                <w:sz w:val="28"/>
                <w:szCs w:val="28"/>
                <w:lang w:val="vi"/>
              </w:rPr>
            </w:pPr>
            <w:r w:rsidRPr="00A8785E">
              <w:rPr>
                <w:rFonts w:ascii="Times New Roman" w:hAnsi="Times New Roman"/>
                <w:sz w:val="28"/>
                <w:szCs w:val="28"/>
                <w:lang w:val="vi"/>
              </w:rPr>
              <w:t>A3. Thông tin về lao động của đơn vị</w:t>
            </w:r>
          </w:p>
        </w:tc>
        <w:tc>
          <w:tcPr>
            <w:tcW w:w="4536" w:type="dxa"/>
          </w:tcPr>
          <w:p w14:paraId="0A0FDDEF" w14:textId="77777777" w:rsidR="00A8785E" w:rsidRPr="00A8785E" w:rsidRDefault="00A8785E" w:rsidP="00757C04">
            <w:pPr>
              <w:spacing w:before="120" w:after="120" w:line="240" w:lineRule="auto"/>
              <w:jc w:val="both"/>
              <w:rPr>
                <w:rFonts w:ascii="Times New Roman" w:hAnsi="Times New Roman"/>
                <w:sz w:val="28"/>
                <w:szCs w:val="28"/>
                <w:lang w:val="vi"/>
              </w:rPr>
            </w:pPr>
            <w:r w:rsidRPr="00A8785E">
              <w:rPr>
                <w:rFonts w:ascii="Times New Roman" w:hAnsi="Times New Roman"/>
                <w:sz w:val="28"/>
                <w:szCs w:val="28"/>
                <w:lang w:val="vi"/>
              </w:rPr>
              <w:t>- Phần II, Phụ lục I QĐ</w:t>
            </w:r>
            <w:r w:rsidRPr="00A8785E">
              <w:rPr>
                <w:rFonts w:ascii="Times New Roman" w:hAnsi="Times New Roman"/>
                <w:sz w:val="28"/>
                <w:szCs w:val="28"/>
              </w:rPr>
              <w:t xml:space="preserve"> </w:t>
            </w:r>
            <w:r w:rsidRPr="00A8785E">
              <w:rPr>
                <w:rFonts w:ascii="Times New Roman" w:hAnsi="Times New Roman"/>
                <w:sz w:val="28"/>
                <w:szCs w:val="28"/>
                <w:lang w:val="vi"/>
              </w:rPr>
              <w:t>200;</w:t>
            </w:r>
          </w:p>
          <w:p w14:paraId="1DC1C12A" w14:textId="77777777" w:rsidR="00A8785E" w:rsidRPr="00A8785E" w:rsidRDefault="00A8785E" w:rsidP="00757C04">
            <w:pPr>
              <w:spacing w:before="120" w:after="120" w:line="240" w:lineRule="auto"/>
              <w:jc w:val="both"/>
              <w:rPr>
                <w:rFonts w:ascii="Times New Roman" w:hAnsi="Times New Roman"/>
                <w:sz w:val="28"/>
                <w:szCs w:val="28"/>
                <w:lang w:val="vi"/>
              </w:rPr>
            </w:pPr>
            <w:r w:rsidRPr="00A8785E">
              <w:rPr>
                <w:rFonts w:ascii="Times New Roman" w:hAnsi="Times New Roman"/>
                <w:sz w:val="28"/>
                <w:szCs w:val="28"/>
                <w:lang w:val="vi"/>
              </w:rPr>
              <w:t>- Bảng lương tháng 1, tháng 12/2025. Đối với cấp xã</w:t>
            </w:r>
            <w:r w:rsidRPr="00A8785E">
              <w:rPr>
                <w:rFonts w:ascii="Times New Roman" w:hAnsi="Times New Roman"/>
                <w:sz w:val="28"/>
                <w:szCs w:val="28"/>
              </w:rPr>
              <w:t>:</w:t>
            </w:r>
            <w:r w:rsidRPr="00A8785E">
              <w:rPr>
                <w:rFonts w:ascii="Times New Roman" w:hAnsi="Times New Roman"/>
                <w:sz w:val="28"/>
                <w:szCs w:val="28"/>
                <w:lang w:val="vi"/>
              </w:rPr>
              <w:t xml:space="preserve"> bảng lương tháng 7, tháng 12/2025;</w:t>
            </w:r>
          </w:p>
          <w:p w14:paraId="2D1C2999" w14:textId="77777777" w:rsidR="00A8785E" w:rsidRPr="00A8785E" w:rsidRDefault="00A8785E" w:rsidP="00757C04">
            <w:pPr>
              <w:spacing w:before="120" w:after="120" w:line="240" w:lineRule="auto"/>
              <w:jc w:val="both"/>
              <w:rPr>
                <w:rFonts w:ascii="Times New Roman" w:hAnsi="Times New Roman"/>
                <w:sz w:val="28"/>
                <w:szCs w:val="28"/>
                <w:lang w:val="vi"/>
              </w:rPr>
            </w:pPr>
            <w:r w:rsidRPr="00A8785E">
              <w:rPr>
                <w:rFonts w:ascii="Times New Roman" w:hAnsi="Times New Roman"/>
                <w:sz w:val="28"/>
                <w:szCs w:val="28"/>
                <w:lang w:val="vi"/>
              </w:rPr>
              <w:t>- Quyết định, các văn bản giao biên chế giai đoạn 2022-2026, giao biên chế năm 2025 và các quyết định giao biên chế có liên quan khác.</w:t>
            </w:r>
          </w:p>
        </w:tc>
      </w:tr>
      <w:tr w:rsidR="00A8785E" w:rsidRPr="00A8785E" w14:paraId="2C6E0BBF" w14:textId="77777777" w:rsidTr="00757C04">
        <w:tc>
          <w:tcPr>
            <w:tcW w:w="746" w:type="dxa"/>
          </w:tcPr>
          <w:p w14:paraId="0F86A542" w14:textId="77777777" w:rsidR="00A8785E" w:rsidRPr="00A8785E" w:rsidRDefault="00A8785E" w:rsidP="00757C04">
            <w:pPr>
              <w:spacing w:before="120" w:after="120" w:line="240" w:lineRule="auto"/>
              <w:jc w:val="both"/>
              <w:rPr>
                <w:rFonts w:ascii="Times New Roman" w:hAnsi="Times New Roman"/>
                <w:sz w:val="28"/>
                <w:szCs w:val="28"/>
                <w:lang w:val="vi"/>
              </w:rPr>
            </w:pPr>
            <w:r w:rsidRPr="00A8785E">
              <w:rPr>
                <w:rFonts w:ascii="Times New Roman" w:hAnsi="Times New Roman"/>
                <w:sz w:val="28"/>
                <w:szCs w:val="28"/>
                <w:lang w:val="vi"/>
              </w:rPr>
              <w:t>4</w:t>
            </w:r>
          </w:p>
        </w:tc>
        <w:tc>
          <w:tcPr>
            <w:tcW w:w="3927" w:type="dxa"/>
          </w:tcPr>
          <w:p w14:paraId="3B7E9BC9" w14:textId="77777777" w:rsidR="00A8785E" w:rsidRPr="00A8785E" w:rsidRDefault="00A8785E" w:rsidP="00757C04">
            <w:pPr>
              <w:spacing w:before="120" w:after="120" w:line="240" w:lineRule="auto"/>
              <w:jc w:val="both"/>
              <w:rPr>
                <w:rFonts w:ascii="Times New Roman" w:hAnsi="Times New Roman"/>
                <w:sz w:val="28"/>
                <w:szCs w:val="28"/>
                <w:lang w:val="vi"/>
              </w:rPr>
            </w:pPr>
            <w:r w:rsidRPr="00A8785E">
              <w:rPr>
                <w:rFonts w:ascii="Times New Roman" w:hAnsi="Times New Roman"/>
                <w:sz w:val="28"/>
                <w:szCs w:val="28"/>
                <w:lang w:val="vi"/>
              </w:rPr>
              <w:t>A4. Thông tin về tài sản và kết quả hoạt động của đơn vị</w:t>
            </w:r>
          </w:p>
        </w:tc>
        <w:tc>
          <w:tcPr>
            <w:tcW w:w="4536" w:type="dxa"/>
          </w:tcPr>
          <w:p w14:paraId="032B3A73" w14:textId="77777777" w:rsidR="00A8785E" w:rsidRPr="00A8785E" w:rsidRDefault="00A8785E" w:rsidP="00757C04">
            <w:pPr>
              <w:spacing w:before="120" w:after="120" w:line="240" w:lineRule="auto"/>
              <w:jc w:val="both"/>
              <w:rPr>
                <w:rFonts w:ascii="Times New Roman" w:hAnsi="Times New Roman"/>
                <w:sz w:val="28"/>
                <w:szCs w:val="28"/>
                <w:lang w:val="vi"/>
              </w:rPr>
            </w:pPr>
          </w:p>
        </w:tc>
      </w:tr>
      <w:tr w:rsidR="00A8785E" w:rsidRPr="00A8785E" w14:paraId="5D5A7473" w14:textId="77777777" w:rsidTr="00757C04">
        <w:tc>
          <w:tcPr>
            <w:tcW w:w="746" w:type="dxa"/>
          </w:tcPr>
          <w:p w14:paraId="14C55A2F" w14:textId="77777777" w:rsidR="00A8785E" w:rsidRPr="00A8785E" w:rsidRDefault="00A8785E" w:rsidP="00757C04">
            <w:pPr>
              <w:spacing w:before="120" w:after="120" w:line="240" w:lineRule="auto"/>
              <w:jc w:val="both"/>
              <w:rPr>
                <w:rFonts w:ascii="Times New Roman" w:hAnsi="Times New Roman"/>
                <w:sz w:val="28"/>
                <w:szCs w:val="28"/>
                <w:lang w:val="vi"/>
              </w:rPr>
            </w:pPr>
            <w:r w:rsidRPr="00A8785E">
              <w:rPr>
                <w:rFonts w:ascii="Times New Roman" w:hAnsi="Times New Roman"/>
                <w:sz w:val="28"/>
                <w:szCs w:val="28"/>
                <w:lang w:val="vi"/>
              </w:rPr>
              <w:t>4.1</w:t>
            </w:r>
          </w:p>
        </w:tc>
        <w:tc>
          <w:tcPr>
            <w:tcW w:w="3927" w:type="dxa"/>
          </w:tcPr>
          <w:p w14:paraId="7221859A" w14:textId="77777777" w:rsidR="00A8785E" w:rsidRPr="00A8785E" w:rsidRDefault="00A8785E" w:rsidP="00757C04">
            <w:pPr>
              <w:spacing w:before="120" w:after="120" w:line="240" w:lineRule="auto"/>
              <w:jc w:val="both"/>
              <w:rPr>
                <w:rFonts w:ascii="Times New Roman" w:hAnsi="Times New Roman"/>
                <w:sz w:val="28"/>
                <w:szCs w:val="28"/>
                <w:lang w:val="vi"/>
              </w:rPr>
            </w:pPr>
            <w:r w:rsidRPr="00A8785E">
              <w:rPr>
                <w:rFonts w:ascii="Times New Roman" w:hAnsi="Times New Roman"/>
                <w:sz w:val="28"/>
                <w:szCs w:val="28"/>
                <w:lang w:val="vi"/>
              </w:rPr>
              <w:t>Thông tin về tài sản của đơn vị</w:t>
            </w:r>
          </w:p>
        </w:tc>
        <w:tc>
          <w:tcPr>
            <w:tcW w:w="4536" w:type="dxa"/>
          </w:tcPr>
          <w:p w14:paraId="0B0F5E8F" w14:textId="77777777" w:rsidR="00A8785E" w:rsidRPr="00A8785E" w:rsidRDefault="00A8785E" w:rsidP="00757C04">
            <w:pPr>
              <w:spacing w:before="120" w:after="120" w:line="240" w:lineRule="auto"/>
              <w:jc w:val="both"/>
              <w:rPr>
                <w:rFonts w:ascii="Times New Roman" w:hAnsi="Times New Roman"/>
                <w:sz w:val="28"/>
                <w:szCs w:val="28"/>
                <w:lang w:val="vi"/>
              </w:rPr>
            </w:pPr>
            <w:r w:rsidRPr="00A8785E">
              <w:rPr>
                <w:rFonts w:ascii="Times New Roman" w:hAnsi="Times New Roman"/>
                <w:sz w:val="28"/>
                <w:szCs w:val="28"/>
                <w:lang w:val="vi"/>
              </w:rPr>
              <w:t>- Phần II, Phụ lục I QĐ</w:t>
            </w:r>
            <w:r w:rsidRPr="00A8785E">
              <w:rPr>
                <w:rFonts w:ascii="Times New Roman" w:hAnsi="Times New Roman"/>
                <w:sz w:val="28"/>
                <w:szCs w:val="28"/>
              </w:rPr>
              <w:t xml:space="preserve"> </w:t>
            </w:r>
            <w:r w:rsidRPr="00A8785E">
              <w:rPr>
                <w:rFonts w:ascii="Times New Roman" w:hAnsi="Times New Roman"/>
                <w:sz w:val="28"/>
                <w:szCs w:val="28"/>
                <w:lang w:val="vi"/>
              </w:rPr>
              <w:t>200;</w:t>
            </w:r>
          </w:p>
          <w:p w14:paraId="67AB3FEE" w14:textId="77777777" w:rsidR="00A8785E" w:rsidRPr="00A8785E" w:rsidRDefault="00A8785E" w:rsidP="00757C04">
            <w:pPr>
              <w:spacing w:before="120" w:after="120" w:line="240" w:lineRule="auto"/>
              <w:jc w:val="both"/>
              <w:rPr>
                <w:rFonts w:ascii="Times New Roman" w:hAnsi="Times New Roman"/>
                <w:sz w:val="28"/>
                <w:szCs w:val="28"/>
                <w:lang w:val="vi"/>
              </w:rPr>
            </w:pPr>
            <w:r w:rsidRPr="00A8785E">
              <w:rPr>
                <w:rFonts w:ascii="Times New Roman" w:hAnsi="Times New Roman"/>
                <w:sz w:val="28"/>
                <w:szCs w:val="28"/>
                <w:lang w:val="vi"/>
              </w:rPr>
              <w:lastRenderedPageBreak/>
              <w:t>- Sổ sách kế toán theo dõi tài sản của đơn vị;</w:t>
            </w:r>
          </w:p>
          <w:p w14:paraId="06DCBD65" w14:textId="03F74BA4" w:rsidR="00A8785E" w:rsidRPr="00A8785E" w:rsidRDefault="00A8785E" w:rsidP="00757C04">
            <w:pPr>
              <w:spacing w:before="120" w:after="120" w:line="240" w:lineRule="auto"/>
              <w:jc w:val="both"/>
              <w:rPr>
                <w:rFonts w:ascii="Times New Roman" w:hAnsi="Times New Roman"/>
                <w:sz w:val="28"/>
                <w:szCs w:val="28"/>
                <w:lang w:val="vi"/>
              </w:rPr>
            </w:pPr>
            <w:r w:rsidRPr="00A8785E">
              <w:rPr>
                <w:rFonts w:ascii="Times New Roman" w:hAnsi="Times New Roman"/>
                <w:sz w:val="28"/>
                <w:szCs w:val="28"/>
                <w:lang w:val="vi"/>
              </w:rPr>
              <w:t>- Thuyết minh chi tiết số liệu tài sản kết cấu hạ tầng đơn vị được giao quản lý nhưng không trực tiếp khai thác, sử dụng theo Mẫu số B04a/BCTC được quy định trong Thông tư số 24/2024/TT-BTC ngày 17/04/2024 của Bộ trưởng Bộ Tài chính</w:t>
            </w:r>
            <w:r w:rsidRPr="00A8785E">
              <w:rPr>
                <w:rFonts w:ascii="Times New Roman" w:hAnsi="Times New Roman"/>
                <w:sz w:val="28"/>
                <w:szCs w:val="28"/>
              </w:rPr>
              <w:t xml:space="preserve"> (nếu có)</w:t>
            </w:r>
          </w:p>
        </w:tc>
      </w:tr>
      <w:tr w:rsidR="00A8785E" w:rsidRPr="00A8785E" w14:paraId="052EB7FA" w14:textId="77777777" w:rsidTr="00757C04">
        <w:tc>
          <w:tcPr>
            <w:tcW w:w="746" w:type="dxa"/>
          </w:tcPr>
          <w:p w14:paraId="723258C9" w14:textId="77777777" w:rsidR="00A8785E" w:rsidRPr="00A8785E" w:rsidRDefault="00A8785E" w:rsidP="00757C04">
            <w:pPr>
              <w:spacing w:before="120" w:after="120" w:line="240" w:lineRule="auto"/>
              <w:jc w:val="both"/>
              <w:rPr>
                <w:rFonts w:ascii="Times New Roman" w:hAnsi="Times New Roman"/>
                <w:sz w:val="28"/>
                <w:szCs w:val="28"/>
                <w:lang w:val="vi"/>
              </w:rPr>
            </w:pPr>
            <w:r w:rsidRPr="00A8785E">
              <w:rPr>
                <w:rFonts w:ascii="Times New Roman" w:hAnsi="Times New Roman"/>
                <w:sz w:val="28"/>
                <w:szCs w:val="28"/>
                <w:lang w:val="vi"/>
              </w:rPr>
              <w:lastRenderedPageBreak/>
              <w:t>4.2</w:t>
            </w:r>
          </w:p>
        </w:tc>
        <w:tc>
          <w:tcPr>
            <w:tcW w:w="3927" w:type="dxa"/>
          </w:tcPr>
          <w:p w14:paraId="1084FE46" w14:textId="77777777" w:rsidR="00A8785E" w:rsidRPr="00A8785E" w:rsidRDefault="00A8785E" w:rsidP="00757C04">
            <w:pPr>
              <w:spacing w:before="120" w:after="120" w:line="240" w:lineRule="auto"/>
              <w:jc w:val="both"/>
              <w:rPr>
                <w:rFonts w:ascii="Times New Roman" w:hAnsi="Times New Roman"/>
                <w:sz w:val="28"/>
                <w:szCs w:val="28"/>
                <w:lang w:val="vi"/>
              </w:rPr>
            </w:pPr>
            <w:r w:rsidRPr="00A8785E">
              <w:rPr>
                <w:rFonts w:ascii="Times New Roman" w:hAnsi="Times New Roman"/>
                <w:sz w:val="28"/>
                <w:szCs w:val="28"/>
                <w:lang w:val="vi"/>
              </w:rPr>
              <w:t>Chi phí đầu tư XDCB, mua sắm TSCĐ, nâng cấp, sửa chữa lớn</w:t>
            </w:r>
          </w:p>
        </w:tc>
        <w:tc>
          <w:tcPr>
            <w:tcW w:w="4536" w:type="dxa"/>
          </w:tcPr>
          <w:p w14:paraId="591B8298" w14:textId="77777777" w:rsidR="00A8785E" w:rsidRPr="00A8785E" w:rsidRDefault="00A8785E" w:rsidP="00757C04">
            <w:pPr>
              <w:spacing w:before="120" w:after="120" w:line="240" w:lineRule="auto"/>
              <w:jc w:val="both"/>
              <w:rPr>
                <w:rFonts w:ascii="Times New Roman" w:hAnsi="Times New Roman"/>
                <w:sz w:val="28"/>
                <w:szCs w:val="28"/>
                <w:lang w:val="vi"/>
              </w:rPr>
            </w:pPr>
            <w:r w:rsidRPr="00A8785E">
              <w:rPr>
                <w:rFonts w:ascii="Times New Roman" w:hAnsi="Times New Roman"/>
                <w:sz w:val="28"/>
                <w:szCs w:val="28"/>
                <w:lang w:val="vi"/>
              </w:rPr>
              <w:t>- Phần II, Phụ lục I QĐ</w:t>
            </w:r>
            <w:r w:rsidRPr="00A8785E">
              <w:rPr>
                <w:rFonts w:ascii="Times New Roman" w:hAnsi="Times New Roman"/>
                <w:sz w:val="28"/>
                <w:szCs w:val="28"/>
              </w:rPr>
              <w:t xml:space="preserve"> </w:t>
            </w:r>
            <w:r w:rsidRPr="00A8785E">
              <w:rPr>
                <w:rFonts w:ascii="Times New Roman" w:hAnsi="Times New Roman"/>
                <w:sz w:val="28"/>
                <w:szCs w:val="28"/>
                <w:lang w:val="vi"/>
              </w:rPr>
              <w:t>200;</w:t>
            </w:r>
          </w:p>
          <w:p w14:paraId="0F6DDFC8" w14:textId="77777777" w:rsidR="00A8785E" w:rsidRPr="00A8785E" w:rsidRDefault="00A8785E" w:rsidP="00757C04">
            <w:pPr>
              <w:spacing w:before="120" w:after="120" w:line="240" w:lineRule="auto"/>
              <w:jc w:val="both"/>
              <w:rPr>
                <w:rFonts w:ascii="Times New Roman" w:hAnsi="Times New Roman"/>
                <w:sz w:val="28"/>
                <w:szCs w:val="28"/>
                <w:lang w:val="vi"/>
              </w:rPr>
            </w:pPr>
            <w:r w:rsidRPr="00A8785E">
              <w:rPr>
                <w:rFonts w:ascii="Times New Roman" w:hAnsi="Times New Roman"/>
                <w:sz w:val="28"/>
                <w:szCs w:val="28"/>
                <w:lang w:val="vi"/>
              </w:rPr>
              <w:t>- Chỉ ghi chi phí đơn vị trực tiếp chi ra.</w:t>
            </w:r>
          </w:p>
        </w:tc>
      </w:tr>
      <w:tr w:rsidR="00A8785E" w:rsidRPr="00A8785E" w14:paraId="6F34A4FE" w14:textId="77777777" w:rsidTr="00757C04">
        <w:tc>
          <w:tcPr>
            <w:tcW w:w="746" w:type="dxa"/>
          </w:tcPr>
          <w:p w14:paraId="6C54ADC3" w14:textId="77777777" w:rsidR="00A8785E" w:rsidRPr="00A8785E" w:rsidRDefault="00A8785E" w:rsidP="00757C04">
            <w:pPr>
              <w:spacing w:before="120" w:after="120" w:line="240" w:lineRule="auto"/>
              <w:jc w:val="both"/>
              <w:rPr>
                <w:rFonts w:ascii="Times New Roman" w:hAnsi="Times New Roman"/>
                <w:sz w:val="28"/>
                <w:szCs w:val="28"/>
                <w:lang w:val="vi"/>
              </w:rPr>
            </w:pPr>
            <w:r w:rsidRPr="00A8785E">
              <w:rPr>
                <w:rFonts w:ascii="Times New Roman" w:hAnsi="Times New Roman"/>
                <w:sz w:val="28"/>
                <w:szCs w:val="28"/>
                <w:lang w:val="vi"/>
              </w:rPr>
              <w:t>4.3</w:t>
            </w:r>
          </w:p>
        </w:tc>
        <w:tc>
          <w:tcPr>
            <w:tcW w:w="3927" w:type="dxa"/>
          </w:tcPr>
          <w:p w14:paraId="079AF7AC" w14:textId="77777777" w:rsidR="00A8785E" w:rsidRPr="00A8785E" w:rsidRDefault="00A8785E" w:rsidP="00757C04">
            <w:pPr>
              <w:spacing w:before="120" w:after="120" w:line="240" w:lineRule="auto"/>
              <w:jc w:val="both"/>
              <w:rPr>
                <w:rFonts w:ascii="Times New Roman" w:hAnsi="Times New Roman"/>
                <w:sz w:val="28"/>
                <w:szCs w:val="28"/>
                <w:lang w:val="vi"/>
              </w:rPr>
            </w:pPr>
            <w:r w:rsidRPr="00A8785E">
              <w:rPr>
                <w:rFonts w:ascii="Times New Roman" w:hAnsi="Times New Roman"/>
                <w:sz w:val="28"/>
                <w:szCs w:val="28"/>
                <w:lang w:val="vi"/>
              </w:rPr>
              <w:t>Kết quả hoạt động của đơn vị trong năm 2025</w:t>
            </w:r>
          </w:p>
        </w:tc>
        <w:tc>
          <w:tcPr>
            <w:tcW w:w="4536" w:type="dxa"/>
          </w:tcPr>
          <w:p w14:paraId="5F1C2F44" w14:textId="77777777" w:rsidR="00A8785E" w:rsidRPr="00A8785E" w:rsidRDefault="00A8785E" w:rsidP="00757C04">
            <w:pPr>
              <w:spacing w:before="120" w:after="120" w:line="240" w:lineRule="auto"/>
              <w:jc w:val="both"/>
              <w:rPr>
                <w:rFonts w:ascii="Times New Roman" w:hAnsi="Times New Roman"/>
                <w:sz w:val="28"/>
                <w:szCs w:val="28"/>
                <w:lang w:val="vi"/>
              </w:rPr>
            </w:pPr>
            <w:r w:rsidRPr="00A8785E">
              <w:rPr>
                <w:rFonts w:ascii="Times New Roman" w:hAnsi="Times New Roman"/>
                <w:sz w:val="28"/>
                <w:szCs w:val="28"/>
                <w:lang w:val="vi"/>
              </w:rPr>
              <w:t>- Phần II, Phụ lục I QĐ</w:t>
            </w:r>
            <w:r w:rsidRPr="00A8785E">
              <w:rPr>
                <w:rFonts w:ascii="Times New Roman" w:hAnsi="Times New Roman"/>
                <w:sz w:val="28"/>
                <w:szCs w:val="28"/>
              </w:rPr>
              <w:t xml:space="preserve"> </w:t>
            </w:r>
            <w:r w:rsidRPr="00A8785E">
              <w:rPr>
                <w:rFonts w:ascii="Times New Roman" w:hAnsi="Times New Roman"/>
                <w:sz w:val="28"/>
                <w:szCs w:val="28"/>
                <w:lang w:val="vi"/>
              </w:rPr>
              <w:t>200;</w:t>
            </w:r>
          </w:p>
          <w:p w14:paraId="574E1CDE" w14:textId="77777777" w:rsidR="00A8785E" w:rsidRPr="00A8785E" w:rsidRDefault="00A8785E" w:rsidP="00757C04">
            <w:pPr>
              <w:spacing w:before="120" w:after="120" w:line="240" w:lineRule="auto"/>
              <w:jc w:val="both"/>
              <w:rPr>
                <w:rFonts w:ascii="Times New Roman" w:hAnsi="Times New Roman"/>
                <w:sz w:val="28"/>
                <w:szCs w:val="28"/>
                <w:lang w:val="vi"/>
              </w:rPr>
            </w:pPr>
            <w:r w:rsidRPr="00A8785E">
              <w:rPr>
                <w:rFonts w:ascii="Times New Roman" w:hAnsi="Times New Roman"/>
                <w:sz w:val="28"/>
                <w:szCs w:val="28"/>
                <w:lang w:val="vi"/>
              </w:rPr>
              <w:t>- Báo cáo kết quả hoạt động (Mẫu số B02/BCTC) và Thuyết minh Báo cáo tài chính (Mẫu số B03/BCTC) được quy định tại Thông tư số 24/2024/TT-BTC ngày 17/04/2024 của Bộ Tài chính);</w:t>
            </w:r>
          </w:p>
          <w:p w14:paraId="6AB65054" w14:textId="77777777" w:rsidR="00A8785E" w:rsidRPr="00A8785E" w:rsidRDefault="00A8785E" w:rsidP="00757C04">
            <w:pPr>
              <w:spacing w:before="120" w:after="120" w:line="240" w:lineRule="auto"/>
              <w:jc w:val="both"/>
              <w:rPr>
                <w:rFonts w:ascii="Times New Roman" w:hAnsi="Times New Roman"/>
                <w:sz w:val="28"/>
                <w:szCs w:val="28"/>
                <w:lang w:val="vi"/>
              </w:rPr>
            </w:pPr>
            <w:r w:rsidRPr="00A8785E">
              <w:rPr>
                <w:rFonts w:ascii="Times New Roman" w:hAnsi="Times New Roman"/>
                <w:sz w:val="28"/>
                <w:szCs w:val="28"/>
                <w:lang w:val="vi"/>
              </w:rPr>
              <w:t>- Các báo cáo tài chính của đơn vị áp dụng chế độ kế toán đặc thù.</w:t>
            </w:r>
          </w:p>
        </w:tc>
      </w:tr>
      <w:tr w:rsidR="00A8785E" w:rsidRPr="00A8785E" w14:paraId="06B5BAB5" w14:textId="77777777" w:rsidTr="00757C04">
        <w:tc>
          <w:tcPr>
            <w:tcW w:w="746" w:type="dxa"/>
          </w:tcPr>
          <w:p w14:paraId="51AA957D" w14:textId="77777777" w:rsidR="00A8785E" w:rsidRPr="00A8785E" w:rsidRDefault="00A8785E" w:rsidP="00757C04">
            <w:pPr>
              <w:spacing w:before="120" w:after="120" w:line="240" w:lineRule="auto"/>
              <w:jc w:val="both"/>
              <w:rPr>
                <w:rFonts w:ascii="Times New Roman" w:hAnsi="Times New Roman"/>
                <w:sz w:val="28"/>
                <w:szCs w:val="28"/>
                <w:lang w:val="vi"/>
              </w:rPr>
            </w:pPr>
            <w:r w:rsidRPr="00A8785E">
              <w:rPr>
                <w:rFonts w:ascii="Times New Roman" w:hAnsi="Times New Roman"/>
                <w:sz w:val="28"/>
                <w:szCs w:val="28"/>
                <w:lang w:val="vi"/>
              </w:rPr>
              <w:t>5</w:t>
            </w:r>
          </w:p>
        </w:tc>
        <w:tc>
          <w:tcPr>
            <w:tcW w:w="3927" w:type="dxa"/>
          </w:tcPr>
          <w:p w14:paraId="1835C7EF" w14:textId="77777777" w:rsidR="00A8785E" w:rsidRPr="00A8785E" w:rsidRDefault="00A8785E" w:rsidP="00757C04">
            <w:pPr>
              <w:spacing w:before="120" w:after="120" w:line="240" w:lineRule="auto"/>
              <w:jc w:val="both"/>
              <w:rPr>
                <w:rFonts w:ascii="Times New Roman" w:hAnsi="Times New Roman"/>
                <w:sz w:val="28"/>
                <w:szCs w:val="28"/>
                <w:lang w:val="vi"/>
              </w:rPr>
            </w:pPr>
            <w:r w:rsidRPr="00A8785E">
              <w:rPr>
                <w:rFonts w:ascii="Times New Roman" w:hAnsi="Times New Roman"/>
                <w:sz w:val="28"/>
                <w:szCs w:val="28"/>
                <w:lang w:val="vi"/>
              </w:rPr>
              <w:t>A5. Thông tin về sản phẩm (vật chất và dịch vụ) của đơn vị trong năm 2025</w:t>
            </w:r>
          </w:p>
        </w:tc>
        <w:tc>
          <w:tcPr>
            <w:tcW w:w="4536" w:type="dxa"/>
          </w:tcPr>
          <w:p w14:paraId="6243E866" w14:textId="77777777" w:rsidR="00A8785E" w:rsidRPr="00A8785E" w:rsidRDefault="00A8785E" w:rsidP="00757C04">
            <w:pPr>
              <w:spacing w:before="120" w:after="120" w:line="240" w:lineRule="auto"/>
              <w:jc w:val="both"/>
              <w:rPr>
                <w:rFonts w:ascii="Times New Roman" w:hAnsi="Times New Roman"/>
                <w:sz w:val="28"/>
                <w:szCs w:val="28"/>
                <w:lang w:val="vi"/>
              </w:rPr>
            </w:pPr>
            <w:r w:rsidRPr="00A8785E">
              <w:rPr>
                <w:rFonts w:ascii="Times New Roman" w:hAnsi="Times New Roman"/>
                <w:sz w:val="28"/>
                <w:szCs w:val="28"/>
                <w:lang w:val="vi"/>
              </w:rPr>
              <w:t>- Phần II, Phụ lục I QĐ</w:t>
            </w:r>
            <w:r w:rsidRPr="00A8785E">
              <w:rPr>
                <w:rFonts w:ascii="Times New Roman" w:hAnsi="Times New Roman"/>
                <w:sz w:val="28"/>
                <w:szCs w:val="28"/>
              </w:rPr>
              <w:t xml:space="preserve"> </w:t>
            </w:r>
            <w:r w:rsidRPr="00A8785E">
              <w:rPr>
                <w:rFonts w:ascii="Times New Roman" w:hAnsi="Times New Roman"/>
                <w:sz w:val="28"/>
                <w:szCs w:val="28"/>
                <w:lang w:val="vi"/>
              </w:rPr>
              <w:t>200;</w:t>
            </w:r>
          </w:p>
          <w:p w14:paraId="62378352" w14:textId="77777777" w:rsidR="00A8785E" w:rsidRPr="00A8785E" w:rsidRDefault="00A8785E" w:rsidP="00757C04">
            <w:pPr>
              <w:spacing w:before="120" w:after="120" w:line="240" w:lineRule="auto"/>
              <w:jc w:val="both"/>
              <w:rPr>
                <w:rFonts w:ascii="Times New Roman" w:hAnsi="Times New Roman"/>
                <w:sz w:val="28"/>
                <w:szCs w:val="28"/>
                <w:lang w:val="vi"/>
              </w:rPr>
            </w:pPr>
            <w:r w:rsidRPr="00A8785E">
              <w:rPr>
                <w:rFonts w:ascii="Times New Roman" w:hAnsi="Times New Roman"/>
                <w:sz w:val="28"/>
                <w:szCs w:val="28"/>
                <w:lang w:val="vi"/>
              </w:rPr>
              <w:t>- Hệ thống ngành kinh tế Việt Nam ban hành theo QĐ số 36/2025/QĐ-TTg ngày 29/9/2025 của Thủ tướng Chính phủ.</w:t>
            </w:r>
          </w:p>
        </w:tc>
      </w:tr>
      <w:tr w:rsidR="00A8785E" w:rsidRPr="00A8785E" w14:paraId="37EED233" w14:textId="77777777" w:rsidTr="00757C04">
        <w:tc>
          <w:tcPr>
            <w:tcW w:w="746" w:type="dxa"/>
          </w:tcPr>
          <w:p w14:paraId="04C86409" w14:textId="77777777" w:rsidR="00A8785E" w:rsidRPr="00A8785E" w:rsidRDefault="00A8785E" w:rsidP="00757C04">
            <w:pPr>
              <w:spacing w:before="120" w:after="120" w:line="240" w:lineRule="auto"/>
              <w:jc w:val="both"/>
              <w:rPr>
                <w:rFonts w:ascii="Times New Roman" w:hAnsi="Times New Roman"/>
                <w:sz w:val="28"/>
                <w:szCs w:val="28"/>
                <w:lang w:val="vi"/>
              </w:rPr>
            </w:pPr>
            <w:r w:rsidRPr="00A8785E">
              <w:rPr>
                <w:rFonts w:ascii="Times New Roman" w:hAnsi="Times New Roman"/>
                <w:sz w:val="28"/>
                <w:szCs w:val="28"/>
                <w:lang w:val="vi"/>
              </w:rPr>
              <w:t>6</w:t>
            </w:r>
          </w:p>
        </w:tc>
        <w:tc>
          <w:tcPr>
            <w:tcW w:w="3927" w:type="dxa"/>
          </w:tcPr>
          <w:p w14:paraId="16B25C2D" w14:textId="77777777" w:rsidR="00A8785E" w:rsidRPr="00A8785E" w:rsidRDefault="00A8785E" w:rsidP="00757C04">
            <w:pPr>
              <w:spacing w:before="120" w:after="120" w:line="240" w:lineRule="auto"/>
              <w:jc w:val="both"/>
              <w:rPr>
                <w:rFonts w:ascii="Times New Roman" w:hAnsi="Times New Roman"/>
                <w:sz w:val="28"/>
                <w:szCs w:val="28"/>
                <w:lang w:val="vi"/>
              </w:rPr>
            </w:pPr>
            <w:r w:rsidRPr="00A8785E">
              <w:rPr>
                <w:rFonts w:ascii="Times New Roman" w:hAnsi="Times New Roman"/>
                <w:sz w:val="28"/>
                <w:szCs w:val="28"/>
                <w:lang w:val="vi"/>
              </w:rPr>
              <w:t>A6. Ứng dụng công nghệ thông tin và đổi mới, sáng tạo của đơn vị trong năm 2025</w:t>
            </w:r>
          </w:p>
        </w:tc>
        <w:tc>
          <w:tcPr>
            <w:tcW w:w="4536" w:type="dxa"/>
          </w:tcPr>
          <w:p w14:paraId="5386F8F2" w14:textId="77777777" w:rsidR="00A8785E" w:rsidRPr="00A8785E" w:rsidRDefault="00A8785E" w:rsidP="00757C04">
            <w:pPr>
              <w:spacing w:before="120" w:after="120" w:line="240" w:lineRule="auto"/>
              <w:jc w:val="both"/>
              <w:rPr>
                <w:rFonts w:ascii="Times New Roman" w:hAnsi="Times New Roman"/>
                <w:sz w:val="28"/>
                <w:szCs w:val="28"/>
                <w:lang w:val="vi"/>
              </w:rPr>
            </w:pPr>
            <w:r w:rsidRPr="00A8785E">
              <w:rPr>
                <w:rFonts w:ascii="Times New Roman" w:hAnsi="Times New Roman"/>
                <w:sz w:val="28"/>
                <w:szCs w:val="28"/>
                <w:lang w:val="vi"/>
              </w:rPr>
              <w:t>- Phần II, Phụ lục I QĐ</w:t>
            </w:r>
            <w:r w:rsidRPr="00A8785E">
              <w:rPr>
                <w:rFonts w:ascii="Times New Roman" w:hAnsi="Times New Roman"/>
                <w:sz w:val="28"/>
                <w:szCs w:val="28"/>
              </w:rPr>
              <w:t xml:space="preserve"> </w:t>
            </w:r>
            <w:r w:rsidRPr="00A8785E">
              <w:rPr>
                <w:rFonts w:ascii="Times New Roman" w:hAnsi="Times New Roman"/>
                <w:sz w:val="28"/>
                <w:szCs w:val="28"/>
                <w:lang w:val="vi"/>
              </w:rPr>
              <w:t>200;</w:t>
            </w:r>
          </w:p>
          <w:p w14:paraId="7C094A81" w14:textId="77777777" w:rsidR="00A8785E" w:rsidRPr="00A8785E" w:rsidRDefault="00A8785E" w:rsidP="00757C04">
            <w:pPr>
              <w:spacing w:before="120" w:after="120" w:line="240" w:lineRule="auto"/>
              <w:jc w:val="both"/>
              <w:rPr>
                <w:rFonts w:ascii="Times New Roman" w:hAnsi="Times New Roman"/>
                <w:sz w:val="28"/>
                <w:szCs w:val="28"/>
                <w:lang w:val="vi"/>
              </w:rPr>
            </w:pPr>
            <w:r w:rsidRPr="00A8785E">
              <w:rPr>
                <w:rFonts w:ascii="Times New Roman" w:hAnsi="Times New Roman"/>
                <w:sz w:val="28"/>
                <w:szCs w:val="28"/>
                <w:lang w:val="vi"/>
              </w:rPr>
              <w:t>- Kế hoạch, đề án về công nghệ thông tin, đổi mới sáng tạo đã được áp dụng thực tế tại đơn vị;</w:t>
            </w:r>
          </w:p>
          <w:p w14:paraId="0B7C3AF7" w14:textId="77777777" w:rsidR="00A8785E" w:rsidRPr="00A8785E" w:rsidRDefault="00A8785E" w:rsidP="00757C04">
            <w:pPr>
              <w:spacing w:before="120" w:after="120" w:line="240" w:lineRule="auto"/>
              <w:jc w:val="both"/>
              <w:rPr>
                <w:rFonts w:ascii="Times New Roman" w:hAnsi="Times New Roman"/>
                <w:sz w:val="28"/>
                <w:szCs w:val="28"/>
                <w:lang w:val="vi"/>
              </w:rPr>
            </w:pPr>
            <w:r w:rsidRPr="00A8785E">
              <w:rPr>
                <w:rFonts w:ascii="Times New Roman" w:hAnsi="Times New Roman"/>
                <w:sz w:val="28"/>
                <w:szCs w:val="28"/>
                <w:lang w:val="vi"/>
              </w:rPr>
              <w:t>- Hóa đơn tiền điện, tiền xăng.</w:t>
            </w:r>
          </w:p>
        </w:tc>
      </w:tr>
      <w:tr w:rsidR="00A8785E" w:rsidRPr="00A8785E" w14:paraId="31BFDA3F" w14:textId="77777777" w:rsidTr="00757C04">
        <w:tc>
          <w:tcPr>
            <w:tcW w:w="746" w:type="dxa"/>
          </w:tcPr>
          <w:p w14:paraId="6002B868" w14:textId="77777777" w:rsidR="00A8785E" w:rsidRPr="00A8785E" w:rsidRDefault="00A8785E" w:rsidP="00757C04">
            <w:pPr>
              <w:spacing w:before="120" w:after="120" w:line="240" w:lineRule="auto"/>
              <w:jc w:val="both"/>
              <w:rPr>
                <w:rFonts w:ascii="Times New Roman" w:hAnsi="Times New Roman"/>
                <w:b/>
                <w:bCs/>
                <w:sz w:val="28"/>
                <w:szCs w:val="28"/>
                <w:lang w:val="vi"/>
              </w:rPr>
            </w:pPr>
            <w:r w:rsidRPr="00A8785E">
              <w:rPr>
                <w:rFonts w:ascii="Times New Roman" w:hAnsi="Times New Roman"/>
                <w:b/>
                <w:bCs/>
                <w:sz w:val="28"/>
                <w:szCs w:val="28"/>
                <w:lang w:val="vi"/>
              </w:rPr>
              <w:t>II</w:t>
            </w:r>
          </w:p>
        </w:tc>
        <w:tc>
          <w:tcPr>
            <w:tcW w:w="3927" w:type="dxa"/>
          </w:tcPr>
          <w:p w14:paraId="63694B5D" w14:textId="77777777" w:rsidR="00A8785E" w:rsidRPr="00A8785E" w:rsidRDefault="00A8785E" w:rsidP="00757C04">
            <w:pPr>
              <w:spacing w:before="120" w:after="120" w:line="240" w:lineRule="auto"/>
              <w:jc w:val="both"/>
              <w:rPr>
                <w:rFonts w:ascii="Times New Roman" w:hAnsi="Times New Roman"/>
                <w:sz w:val="28"/>
                <w:szCs w:val="28"/>
                <w:lang w:val="vi"/>
              </w:rPr>
            </w:pPr>
            <w:r w:rsidRPr="00A8785E">
              <w:rPr>
                <w:rFonts w:ascii="Times New Roman" w:hAnsi="Times New Roman"/>
                <w:sz w:val="28"/>
                <w:szCs w:val="28"/>
                <w:lang w:val="vi"/>
              </w:rPr>
              <w:t>Phần B. Thông tin về trụ sở chính và các địa điểm trực thuộc của đơn vị</w:t>
            </w:r>
          </w:p>
        </w:tc>
        <w:tc>
          <w:tcPr>
            <w:tcW w:w="4536" w:type="dxa"/>
          </w:tcPr>
          <w:p w14:paraId="597D29F7" w14:textId="77777777" w:rsidR="00A8785E" w:rsidRPr="00A8785E" w:rsidRDefault="00A8785E" w:rsidP="00757C04">
            <w:pPr>
              <w:spacing w:before="120" w:after="120" w:line="240" w:lineRule="auto"/>
              <w:jc w:val="both"/>
              <w:rPr>
                <w:rFonts w:ascii="Times New Roman" w:hAnsi="Times New Roman"/>
                <w:sz w:val="28"/>
                <w:szCs w:val="28"/>
                <w:lang w:val="vi"/>
              </w:rPr>
            </w:pPr>
            <w:r w:rsidRPr="00A8785E">
              <w:rPr>
                <w:rFonts w:ascii="Times New Roman" w:hAnsi="Times New Roman"/>
                <w:sz w:val="28"/>
                <w:szCs w:val="28"/>
                <w:lang w:val="vi"/>
              </w:rPr>
              <w:t>Phần II, Phụ lục I QĐ</w:t>
            </w:r>
            <w:r w:rsidRPr="00A8785E">
              <w:rPr>
                <w:rFonts w:ascii="Times New Roman" w:hAnsi="Times New Roman"/>
                <w:sz w:val="28"/>
                <w:szCs w:val="28"/>
              </w:rPr>
              <w:t xml:space="preserve"> </w:t>
            </w:r>
            <w:r w:rsidRPr="00A8785E">
              <w:rPr>
                <w:rFonts w:ascii="Times New Roman" w:hAnsi="Times New Roman"/>
                <w:sz w:val="28"/>
                <w:szCs w:val="28"/>
                <w:lang w:val="vi"/>
              </w:rPr>
              <w:t>200.</w:t>
            </w:r>
          </w:p>
        </w:tc>
      </w:tr>
      <w:tr w:rsidR="00A8785E" w:rsidRPr="00A8785E" w14:paraId="5EF4BE7F" w14:textId="77777777" w:rsidTr="00757C04">
        <w:tc>
          <w:tcPr>
            <w:tcW w:w="746" w:type="dxa"/>
          </w:tcPr>
          <w:p w14:paraId="282483D9" w14:textId="77777777" w:rsidR="00A8785E" w:rsidRPr="00A8785E" w:rsidRDefault="00A8785E" w:rsidP="00757C04">
            <w:pPr>
              <w:spacing w:before="120" w:after="120" w:line="240" w:lineRule="auto"/>
              <w:jc w:val="both"/>
              <w:rPr>
                <w:rFonts w:ascii="Times New Roman" w:hAnsi="Times New Roman"/>
                <w:b/>
                <w:bCs/>
                <w:sz w:val="28"/>
                <w:szCs w:val="28"/>
                <w:lang w:val="vi"/>
              </w:rPr>
            </w:pPr>
            <w:r w:rsidRPr="00A8785E">
              <w:rPr>
                <w:rFonts w:ascii="Times New Roman" w:hAnsi="Times New Roman"/>
                <w:b/>
                <w:bCs/>
                <w:sz w:val="28"/>
                <w:szCs w:val="28"/>
                <w:lang w:val="vi"/>
              </w:rPr>
              <w:t>III</w:t>
            </w:r>
          </w:p>
        </w:tc>
        <w:tc>
          <w:tcPr>
            <w:tcW w:w="3927" w:type="dxa"/>
          </w:tcPr>
          <w:p w14:paraId="1BE2D0F5" w14:textId="77777777" w:rsidR="00A8785E" w:rsidRPr="00A8785E" w:rsidRDefault="00A8785E" w:rsidP="00757C04">
            <w:pPr>
              <w:spacing w:before="120" w:after="120" w:line="240" w:lineRule="auto"/>
              <w:jc w:val="both"/>
              <w:rPr>
                <w:rFonts w:ascii="Times New Roman" w:hAnsi="Times New Roman"/>
                <w:sz w:val="28"/>
                <w:szCs w:val="28"/>
                <w:lang w:val="vi"/>
              </w:rPr>
            </w:pPr>
            <w:r w:rsidRPr="00A8785E">
              <w:rPr>
                <w:rFonts w:ascii="Times New Roman" w:hAnsi="Times New Roman"/>
                <w:sz w:val="28"/>
                <w:szCs w:val="28"/>
                <w:lang w:val="vi"/>
              </w:rPr>
              <w:t>Phần C. Thông tin về cơ sở SXKD trực thuộc đơn vị</w:t>
            </w:r>
          </w:p>
        </w:tc>
        <w:tc>
          <w:tcPr>
            <w:tcW w:w="4536" w:type="dxa"/>
          </w:tcPr>
          <w:p w14:paraId="67771886" w14:textId="77777777" w:rsidR="00A8785E" w:rsidRPr="00A8785E" w:rsidRDefault="00A8785E" w:rsidP="00757C04">
            <w:pPr>
              <w:spacing w:before="120" w:after="120" w:line="240" w:lineRule="auto"/>
              <w:jc w:val="both"/>
              <w:rPr>
                <w:rFonts w:ascii="Times New Roman" w:hAnsi="Times New Roman"/>
                <w:sz w:val="28"/>
                <w:szCs w:val="28"/>
                <w:lang w:val="vi"/>
              </w:rPr>
            </w:pPr>
            <w:r w:rsidRPr="00A8785E">
              <w:rPr>
                <w:rFonts w:ascii="Times New Roman" w:hAnsi="Times New Roman"/>
                <w:sz w:val="28"/>
                <w:szCs w:val="28"/>
                <w:lang w:val="vi"/>
              </w:rPr>
              <w:t>Phần II, Phụ lục I QĐ</w:t>
            </w:r>
            <w:r w:rsidRPr="00A8785E">
              <w:rPr>
                <w:rFonts w:ascii="Times New Roman" w:hAnsi="Times New Roman"/>
                <w:sz w:val="28"/>
                <w:szCs w:val="28"/>
              </w:rPr>
              <w:t xml:space="preserve"> </w:t>
            </w:r>
            <w:r w:rsidRPr="00A8785E">
              <w:rPr>
                <w:rFonts w:ascii="Times New Roman" w:hAnsi="Times New Roman"/>
                <w:sz w:val="28"/>
                <w:szCs w:val="28"/>
                <w:lang w:val="vi"/>
              </w:rPr>
              <w:t>200.</w:t>
            </w:r>
          </w:p>
        </w:tc>
      </w:tr>
      <w:tr w:rsidR="00A8785E" w:rsidRPr="00A8785E" w14:paraId="6E0FA528" w14:textId="77777777" w:rsidTr="005D29D7">
        <w:tc>
          <w:tcPr>
            <w:tcW w:w="746" w:type="dxa"/>
          </w:tcPr>
          <w:p w14:paraId="6E3CE49A" w14:textId="77777777" w:rsidR="00A8785E" w:rsidRPr="00A8785E" w:rsidRDefault="00A8785E" w:rsidP="00757C04">
            <w:pPr>
              <w:spacing w:before="120" w:after="120" w:line="240" w:lineRule="auto"/>
              <w:jc w:val="both"/>
              <w:rPr>
                <w:rFonts w:ascii="Times New Roman" w:hAnsi="Times New Roman"/>
                <w:b/>
                <w:bCs/>
                <w:sz w:val="28"/>
                <w:szCs w:val="28"/>
                <w:lang w:val="vi"/>
              </w:rPr>
            </w:pPr>
            <w:r w:rsidRPr="00A8785E">
              <w:rPr>
                <w:rFonts w:ascii="Times New Roman" w:hAnsi="Times New Roman"/>
                <w:b/>
                <w:bCs/>
                <w:sz w:val="28"/>
                <w:szCs w:val="28"/>
                <w:lang w:val="vi"/>
              </w:rPr>
              <w:lastRenderedPageBreak/>
              <w:t>B</w:t>
            </w:r>
          </w:p>
        </w:tc>
        <w:tc>
          <w:tcPr>
            <w:tcW w:w="8463" w:type="dxa"/>
            <w:gridSpan w:val="2"/>
          </w:tcPr>
          <w:p w14:paraId="311AD950" w14:textId="77777777" w:rsidR="00A8785E" w:rsidRPr="00A8785E" w:rsidRDefault="00A8785E" w:rsidP="00757C04">
            <w:pPr>
              <w:spacing w:before="120" w:after="120" w:line="240" w:lineRule="auto"/>
              <w:jc w:val="both"/>
              <w:rPr>
                <w:rFonts w:ascii="Times New Roman" w:hAnsi="Times New Roman"/>
                <w:sz w:val="28"/>
                <w:szCs w:val="28"/>
                <w:lang w:val="vi"/>
              </w:rPr>
            </w:pPr>
            <w:r w:rsidRPr="00A8785E">
              <w:rPr>
                <w:rFonts w:ascii="Times New Roman" w:hAnsi="Times New Roman"/>
                <w:b/>
                <w:sz w:val="28"/>
                <w:szCs w:val="28"/>
                <w:lang w:val="vi"/>
              </w:rPr>
              <w:t>Phiếu thu thập thông tin kết quả hoạt động của đơn vị sự nghiệp công lập  (Phiếu 2B.SN.ĐTHCSN)</w:t>
            </w:r>
          </w:p>
        </w:tc>
      </w:tr>
      <w:tr w:rsidR="00A8785E" w:rsidRPr="00A8785E" w14:paraId="0D1DE015" w14:textId="77777777" w:rsidTr="00757C04">
        <w:tc>
          <w:tcPr>
            <w:tcW w:w="746" w:type="dxa"/>
          </w:tcPr>
          <w:p w14:paraId="693FDA3A" w14:textId="77777777" w:rsidR="00A8785E" w:rsidRPr="00A8785E" w:rsidRDefault="00A8785E" w:rsidP="00757C04">
            <w:pPr>
              <w:spacing w:before="120" w:after="120" w:line="240" w:lineRule="auto"/>
              <w:jc w:val="both"/>
              <w:rPr>
                <w:rFonts w:ascii="Times New Roman" w:hAnsi="Times New Roman"/>
                <w:b/>
                <w:bCs/>
                <w:sz w:val="28"/>
                <w:szCs w:val="28"/>
                <w:lang w:val="vi"/>
              </w:rPr>
            </w:pPr>
            <w:r w:rsidRPr="00A8785E">
              <w:rPr>
                <w:rFonts w:ascii="Times New Roman" w:hAnsi="Times New Roman"/>
                <w:b/>
                <w:bCs/>
                <w:sz w:val="28"/>
                <w:szCs w:val="28"/>
                <w:lang w:val="vi"/>
              </w:rPr>
              <w:t>I</w:t>
            </w:r>
          </w:p>
        </w:tc>
        <w:tc>
          <w:tcPr>
            <w:tcW w:w="3927" w:type="dxa"/>
          </w:tcPr>
          <w:p w14:paraId="51A3D616" w14:textId="77777777" w:rsidR="00A8785E" w:rsidRPr="00A8785E" w:rsidRDefault="00A8785E" w:rsidP="00757C04">
            <w:pPr>
              <w:spacing w:before="120" w:after="120" w:line="240" w:lineRule="auto"/>
              <w:jc w:val="both"/>
              <w:rPr>
                <w:rFonts w:ascii="Times New Roman" w:hAnsi="Times New Roman"/>
                <w:sz w:val="28"/>
                <w:szCs w:val="28"/>
                <w:lang w:val="vi"/>
              </w:rPr>
            </w:pPr>
            <w:r w:rsidRPr="00A8785E">
              <w:rPr>
                <w:rFonts w:ascii="Times New Roman" w:hAnsi="Times New Roman"/>
                <w:b/>
                <w:bCs/>
                <w:sz w:val="28"/>
                <w:szCs w:val="28"/>
                <w:lang w:val="vi"/>
              </w:rPr>
              <w:t>A. Thông tin chung của đơn vị</w:t>
            </w:r>
          </w:p>
        </w:tc>
        <w:tc>
          <w:tcPr>
            <w:tcW w:w="4536" w:type="dxa"/>
          </w:tcPr>
          <w:p w14:paraId="1558DCDE" w14:textId="77777777" w:rsidR="00A8785E" w:rsidRPr="00A8785E" w:rsidRDefault="00A8785E" w:rsidP="00757C04">
            <w:pPr>
              <w:spacing w:before="120" w:after="120" w:line="240" w:lineRule="auto"/>
              <w:jc w:val="both"/>
              <w:rPr>
                <w:rFonts w:ascii="Times New Roman" w:hAnsi="Times New Roman"/>
                <w:sz w:val="28"/>
                <w:szCs w:val="28"/>
                <w:lang w:val="vi"/>
              </w:rPr>
            </w:pPr>
          </w:p>
        </w:tc>
      </w:tr>
      <w:tr w:rsidR="00A8785E" w:rsidRPr="00A8785E" w14:paraId="0A96FEE7" w14:textId="77777777" w:rsidTr="00757C04">
        <w:tc>
          <w:tcPr>
            <w:tcW w:w="746" w:type="dxa"/>
          </w:tcPr>
          <w:p w14:paraId="4E2A3848" w14:textId="77777777" w:rsidR="00A8785E" w:rsidRPr="00A8785E" w:rsidRDefault="00A8785E" w:rsidP="00757C04">
            <w:pPr>
              <w:spacing w:before="120" w:after="120" w:line="240" w:lineRule="auto"/>
              <w:jc w:val="both"/>
              <w:rPr>
                <w:rFonts w:ascii="Times New Roman" w:hAnsi="Times New Roman"/>
                <w:b/>
                <w:bCs/>
                <w:sz w:val="28"/>
                <w:szCs w:val="28"/>
                <w:lang w:val="vi"/>
              </w:rPr>
            </w:pPr>
            <w:r w:rsidRPr="00A8785E">
              <w:rPr>
                <w:rFonts w:ascii="Times New Roman" w:hAnsi="Times New Roman"/>
                <w:sz w:val="28"/>
                <w:szCs w:val="28"/>
                <w:lang w:val="vi"/>
              </w:rPr>
              <w:t>1</w:t>
            </w:r>
          </w:p>
        </w:tc>
        <w:tc>
          <w:tcPr>
            <w:tcW w:w="3927" w:type="dxa"/>
          </w:tcPr>
          <w:p w14:paraId="44BDF3E7" w14:textId="77777777" w:rsidR="00A8785E" w:rsidRPr="00A8785E" w:rsidRDefault="00A8785E" w:rsidP="00757C04">
            <w:pPr>
              <w:spacing w:before="120" w:after="120" w:line="240" w:lineRule="auto"/>
              <w:jc w:val="both"/>
              <w:rPr>
                <w:rFonts w:ascii="Times New Roman" w:hAnsi="Times New Roman"/>
                <w:b/>
                <w:bCs/>
                <w:sz w:val="28"/>
                <w:szCs w:val="28"/>
                <w:lang w:val="vi"/>
              </w:rPr>
            </w:pPr>
            <w:r w:rsidRPr="00A8785E">
              <w:rPr>
                <w:rFonts w:ascii="Times New Roman" w:hAnsi="Times New Roman"/>
                <w:sz w:val="28"/>
                <w:szCs w:val="28"/>
                <w:lang w:val="vi"/>
              </w:rPr>
              <w:t>A1. Thông tin định danh</w:t>
            </w:r>
          </w:p>
        </w:tc>
        <w:tc>
          <w:tcPr>
            <w:tcW w:w="4536" w:type="dxa"/>
          </w:tcPr>
          <w:p w14:paraId="4642C547" w14:textId="77777777" w:rsidR="00A8785E" w:rsidRPr="00A8785E" w:rsidRDefault="00A8785E" w:rsidP="00757C04">
            <w:pPr>
              <w:spacing w:before="120" w:after="120" w:line="240" w:lineRule="auto"/>
              <w:jc w:val="both"/>
              <w:rPr>
                <w:rFonts w:ascii="Times New Roman" w:hAnsi="Times New Roman"/>
                <w:sz w:val="28"/>
                <w:szCs w:val="28"/>
                <w:lang w:val="vi"/>
              </w:rPr>
            </w:pPr>
            <w:r w:rsidRPr="00A8785E">
              <w:rPr>
                <w:rFonts w:ascii="Times New Roman" w:hAnsi="Times New Roman"/>
                <w:sz w:val="28"/>
                <w:szCs w:val="28"/>
                <w:lang w:val="vi"/>
              </w:rPr>
              <w:t>Phần II, Phụ lục II Giải thích, hướng dẫn cách ghi Phiếu thu thập thông tin về kết quả hoạt động của đơn vị sự nghiệp công lập (Ban hành kèm theo Quyết định số 200/QĐ-BNV ngày 02/03/2026 của Bộ trưởng Bộ Nội vụ) (sau đây gọi là Phần II, Phụ lục II QĐ</w:t>
            </w:r>
            <w:r w:rsidRPr="00A8785E">
              <w:rPr>
                <w:rFonts w:ascii="Times New Roman" w:hAnsi="Times New Roman"/>
                <w:sz w:val="28"/>
                <w:szCs w:val="28"/>
              </w:rPr>
              <w:t xml:space="preserve"> </w:t>
            </w:r>
            <w:r w:rsidRPr="00A8785E">
              <w:rPr>
                <w:rFonts w:ascii="Times New Roman" w:hAnsi="Times New Roman"/>
                <w:sz w:val="28"/>
                <w:szCs w:val="28"/>
                <w:lang w:val="vi"/>
              </w:rPr>
              <w:t>200).</w:t>
            </w:r>
          </w:p>
        </w:tc>
      </w:tr>
      <w:tr w:rsidR="00A8785E" w:rsidRPr="00A8785E" w14:paraId="2B9B812C" w14:textId="77777777" w:rsidTr="00757C04">
        <w:tc>
          <w:tcPr>
            <w:tcW w:w="746" w:type="dxa"/>
          </w:tcPr>
          <w:p w14:paraId="5DBD89AE" w14:textId="77777777" w:rsidR="00A8785E" w:rsidRPr="00A8785E" w:rsidRDefault="00A8785E" w:rsidP="00757C04">
            <w:pPr>
              <w:spacing w:before="120" w:after="120" w:line="240" w:lineRule="auto"/>
              <w:jc w:val="both"/>
              <w:rPr>
                <w:rFonts w:ascii="Times New Roman" w:hAnsi="Times New Roman"/>
                <w:sz w:val="28"/>
                <w:szCs w:val="28"/>
                <w:lang w:val="vi"/>
              </w:rPr>
            </w:pPr>
            <w:r w:rsidRPr="00A8785E">
              <w:rPr>
                <w:rFonts w:ascii="Times New Roman" w:hAnsi="Times New Roman"/>
                <w:sz w:val="28"/>
                <w:szCs w:val="28"/>
                <w:lang w:val="vi"/>
              </w:rPr>
              <w:t>2</w:t>
            </w:r>
          </w:p>
        </w:tc>
        <w:tc>
          <w:tcPr>
            <w:tcW w:w="3927" w:type="dxa"/>
          </w:tcPr>
          <w:p w14:paraId="4B57C708" w14:textId="77777777" w:rsidR="00A8785E" w:rsidRPr="00A8785E" w:rsidRDefault="00A8785E" w:rsidP="00757C04">
            <w:pPr>
              <w:spacing w:before="120" w:after="120" w:line="240" w:lineRule="auto"/>
              <w:jc w:val="both"/>
              <w:rPr>
                <w:rFonts w:ascii="Times New Roman" w:hAnsi="Times New Roman"/>
                <w:sz w:val="28"/>
                <w:szCs w:val="28"/>
                <w:lang w:val="vi"/>
              </w:rPr>
            </w:pPr>
            <w:r w:rsidRPr="00A8785E">
              <w:rPr>
                <w:rFonts w:ascii="Times New Roman" w:hAnsi="Times New Roman"/>
                <w:sz w:val="28"/>
                <w:szCs w:val="28"/>
                <w:lang w:val="vi"/>
              </w:rPr>
              <w:t>A2. Thông tin về hoạt động của đơn vị</w:t>
            </w:r>
          </w:p>
        </w:tc>
        <w:tc>
          <w:tcPr>
            <w:tcW w:w="4536" w:type="dxa"/>
          </w:tcPr>
          <w:p w14:paraId="017B4A30" w14:textId="77777777" w:rsidR="00A8785E" w:rsidRPr="00A8785E" w:rsidRDefault="00A8785E" w:rsidP="00757C04">
            <w:pPr>
              <w:spacing w:before="120" w:after="120" w:line="240" w:lineRule="auto"/>
              <w:jc w:val="both"/>
              <w:rPr>
                <w:rFonts w:ascii="Times New Roman" w:hAnsi="Times New Roman"/>
                <w:sz w:val="28"/>
                <w:szCs w:val="28"/>
                <w:lang w:val="vi"/>
              </w:rPr>
            </w:pPr>
            <w:r w:rsidRPr="00A8785E">
              <w:rPr>
                <w:rFonts w:ascii="Times New Roman" w:hAnsi="Times New Roman"/>
                <w:sz w:val="28"/>
                <w:szCs w:val="28"/>
                <w:lang w:val="vi"/>
              </w:rPr>
              <w:t>- Phần II, Phụ lục II QĐ</w:t>
            </w:r>
            <w:r w:rsidRPr="00A8785E">
              <w:rPr>
                <w:rFonts w:ascii="Times New Roman" w:hAnsi="Times New Roman"/>
                <w:sz w:val="28"/>
                <w:szCs w:val="28"/>
              </w:rPr>
              <w:t xml:space="preserve"> </w:t>
            </w:r>
            <w:r w:rsidRPr="00A8785E">
              <w:rPr>
                <w:rFonts w:ascii="Times New Roman" w:hAnsi="Times New Roman"/>
                <w:sz w:val="28"/>
                <w:szCs w:val="28"/>
                <w:lang w:val="vi"/>
              </w:rPr>
              <w:t>200;</w:t>
            </w:r>
          </w:p>
          <w:p w14:paraId="71D9C377" w14:textId="77777777" w:rsidR="00A8785E" w:rsidRPr="00A8785E" w:rsidRDefault="00A8785E" w:rsidP="00757C04">
            <w:pPr>
              <w:spacing w:before="120" w:after="120" w:line="240" w:lineRule="auto"/>
              <w:jc w:val="both"/>
              <w:rPr>
                <w:rFonts w:ascii="Times New Roman" w:hAnsi="Times New Roman"/>
                <w:sz w:val="28"/>
                <w:szCs w:val="28"/>
                <w:lang w:val="vi"/>
              </w:rPr>
            </w:pPr>
            <w:r w:rsidRPr="00A8785E">
              <w:rPr>
                <w:rFonts w:ascii="Times New Roman" w:hAnsi="Times New Roman"/>
                <w:sz w:val="28"/>
                <w:szCs w:val="28"/>
                <w:lang w:val="vi"/>
              </w:rPr>
              <w:t>- Quyết định quy định chức năng, nhiệm vụ;</w:t>
            </w:r>
          </w:p>
          <w:p w14:paraId="4A2C96A1" w14:textId="77777777" w:rsidR="00A8785E" w:rsidRPr="00A8785E" w:rsidRDefault="00A8785E" w:rsidP="00757C04">
            <w:pPr>
              <w:spacing w:before="120" w:after="120" w:line="240" w:lineRule="auto"/>
              <w:jc w:val="both"/>
              <w:rPr>
                <w:rFonts w:ascii="Times New Roman" w:hAnsi="Times New Roman"/>
                <w:sz w:val="28"/>
                <w:szCs w:val="28"/>
                <w:lang w:val="vi"/>
              </w:rPr>
            </w:pPr>
            <w:r w:rsidRPr="00A8785E">
              <w:rPr>
                <w:rFonts w:ascii="Times New Roman" w:hAnsi="Times New Roman"/>
                <w:sz w:val="28"/>
                <w:szCs w:val="28"/>
                <w:lang w:val="vi"/>
              </w:rPr>
              <w:t>- Quyết định giao quyền tự chủ tài chính cho đơn vị sự nghiệp công lập</w:t>
            </w:r>
            <w:r w:rsidRPr="00A8785E">
              <w:rPr>
                <w:rFonts w:ascii="Times New Roman" w:hAnsi="Times New Roman"/>
                <w:sz w:val="28"/>
                <w:szCs w:val="28"/>
              </w:rPr>
              <w:t xml:space="preserve"> (năm 2025)</w:t>
            </w:r>
            <w:r w:rsidRPr="00A8785E">
              <w:rPr>
                <w:rFonts w:ascii="Times New Roman" w:hAnsi="Times New Roman"/>
                <w:sz w:val="28"/>
                <w:szCs w:val="28"/>
                <w:lang w:val="vi"/>
              </w:rPr>
              <w:t>.</w:t>
            </w:r>
          </w:p>
        </w:tc>
      </w:tr>
      <w:tr w:rsidR="00A8785E" w:rsidRPr="00A8785E" w14:paraId="1F0CAD3A" w14:textId="77777777" w:rsidTr="00757C04">
        <w:tc>
          <w:tcPr>
            <w:tcW w:w="746" w:type="dxa"/>
          </w:tcPr>
          <w:p w14:paraId="07B730EE" w14:textId="77777777" w:rsidR="00A8785E" w:rsidRPr="00A8785E" w:rsidRDefault="00A8785E" w:rsidP="00757C04">
            <w:pPr>
              <w:spacing w:before="120" w:after="120" w:line="240" w:lineRule="auto"/>
              <w:jc w:val="both"/>
              <w:rPr>
                <w:rFonts w:ascii="Times New Roman" w:hAnsi="Times New Roman"/>
                <w:sz w:val="28"/>
                <w:szCs w:val="28"/>
                <w:lang w:val="vi"/>
              </w:rPr>
            </w:pPr>
            <w:r w:rsidRPr="00A8785E">
              <w:rPr>
                <w:rFonts w:ascii="Times New Roman" w:hAnsi="Times New Roman"/>
                <w:sz w:val="28"/>
                <w:szCs w:val="28"/>
                <w:lang w:val="vi"/>
              </w:rPr>
              <w:t>3</w:t>
            </w:r>
          </w:p>
        </w:tc>
        <w:tc>
          <w:tcPr>
            <w:tcW w:w="3927" w:type="dxa"/>
          </w:tcPr>
          <w:p w14:paraId="19DCD9EE" w14:textId="77777777" w:rsidR="00A8785E" w:rsidRPr="00A8785E" w:rsidRDefault="00A8785E" w:rsidP="00757C04">
            <w:pPr>
              <w:spacing w:before="120" w:after="120" w:line="240" w:lineRule="auto"/>
              <w:jc w:val="both"/>
              <w:rPr>
                <w:rFonts w:ascii="Times New Roman" w:hAnsi="Times New Roman"/>
                <w:sz w:val="28"/>
                <w:szCs w:val="28"/>
                <w:lang w:val="vi"/>
              </w:rPr>
            </w:pPr>
            <w:r w:rsidRPr="00A8785E">
              <w:rPr>
                <w:rFonts w:ascii="Times New Roman" w:hAnsi="Times New Roman"/>
                <w:sz w:val="28"/>
                <w:szCs w:val="28"/>
                <w:lang w:val="vi"/>
              </w:rPr>
              <w:t>A3. Thông tin về lao động của đơn vị</w:t>
            </w:r>
          </w:p>
        </w:tc>
        <w:tc>
          <w:tcPr>
            <w:tcW w:w="4536" w:type="dxa"/>
          </w:tcPr>
          <w:p w14:paraId="48A12D2B" w14:textId="77777777" w:rsidR="00A8785E" w:rsidRPr="00A8785E" w:rsidRDefault="00A8785E" w:rsidP="00757C04">
            <w:pPr>
              <w:spacing w:before="120" w:after="120" w:line="240" w:lineRule="auto"/>
              <w:jc w:val="both"/>
              <w:rPr>
                <w:rFonts w:ascii="Times New Roman" w:hAnsi="Times New Roman"/>
                <w:sz w:val="28"/>
                <w:szCs w:val="28"/>
                <w:lang w:val="vi"/>
              </w:rPr>
            </w:pPr>
            <w:r w:rsidRPr="00A8785E">
              <w:rPr>
                <w:rFonts w:ascii="Times New Roman" w:hAnsi="Times New Roman"/>
                <w:sz w:val="28"/>
                <w:szCs w:val="28"/>
                <w:lang w:val="vi"/>
              </w:rPr>
              <w:t>- Phần II, Phụ lục II QĐ</w:t>
            </w:r>
            <w:r w:rsidRPr="00A8785E">
              <w:rPr>
                <w:rFonts w:ascii="Times New Roman" w:hAnsi="Times New Roman"/>
                <w:sz w:val="28"/>
                <w:szCs w:val="28"/>
              </w:rPr>
              <w:t xml:space="preserve"> </w:t>
            </w:r>
            <w:r w:rsidRPr="00A8785E">
              <w:rPr>
                <w:rFonts w:ascii="Times New Roman" w:hAnsi="Times New Roman"/>
                <w:sz w:val="28"/>
                <w:szCs w:val="28"/>
                <w:lang w:val="vi"/>
              </w:rPr>
              <w:t>200;</w:t>
            </w:r>
          </w:p>
          <w:p w14:paraId="6A4E9CD1" w14:textId="77777777" w:rsidR="00A8785E" w:rsidRPr="00A8785E" w:rsidRDefault="00A8785E" w:rsidP="00757C04">
            <w:pPr>
              <w:spacing w:before="120" w:after="120" w:line="240" w:lineRule="auto"/>
              <w:jc w:val="both"/>
              <w:rPr>
                <w:rFonts w:ascii="Times New Roman" w:hAnsi="Times New Roman"/>
                <w:sz w:val="28"/>
                <w:szCs w:val="28"/>
                <w:lang w:val="vi"/>
              </w:rPr>
            </w:pPr>
            <w:r w:rsidRPr="00A8785E">
              <w:rPr>
                <w:rFonts w:ascii="Times New Roman" w:hAnsi="Times New Roman"/>
                <w:sz w:val="28"/>
                <w:szCs w:val="28"/>
                <w:lang w:val="vi"/>
              </w:rPr>
              <w:t>- Bảng lương tháng 1, tháng 12/2025;</w:t>
            </w:r>
          </w:p>
          <w:p w14:paraId="64E2E1BA" w14:textId="77777777" w:rsidR="00A8785E" w:rsidRPr="00A8785E" w:rsidRDefault="00A8785E" w:rsidP="00757C04">
            <w:pPr>
              <w:spacing w:before="120" w:after="120" w:line="240" w:lineRule="auto"/>
              <w:jc w:val="both"/>
              <w:rPr>
                <w:rFonts w:ascii="Times New Roman" w:hAnsi="Times New Roman"/>
                <w:sz w:val="28"/>
                <w:szCs w:val="28"/>
                <w:lang w:val="vi"/>
              </w:rPr>
            </w:pPr>
            <w:r w:rsidRPr="00A8785E">
              <w:rPr>
                <w:rFonts w:ascii="Times New Roman" w:hAnsi="Times New Roman"/>
                <w:sz w:val="28"/>
                <w:szCs w:val="28"/>
                <w:lang w:val="vi"/>
              </w:rPr>
              <w:t>- Quyết định, các văn bản giao biên chế giai đoạn 2022-2026, giao biên chế năm 2025 và các quyết định giao biên chế có liên quan khác;</w:t>
            </w:r>
          </w:p>
          <w:p w14:paraId="6EFA9AAC" w14:textId="77777777" w:rsidR="00A8785E" w:rsidRPr="00A8785E" w:rsidRDefault="00A8785E" w:rsidP="00757C04">
            <w:pPr>
              <w:spacing w:before="120" w:after="120" w:line="240" w:lineRule="auto"/>
              <w:jc w:val="both"/>
              <w:rPr>
                <w:rFonts w:ascii="Times New Roman" w:hAnsi="Times New Roman"/>
                <w:sz w:val="28"/>
                <w:szCs w:val="28"/>
                <w:lang w:val="vi"/>
              </w:rPr>
            </w:pPr>
            <w:r w:rsidRPr="00A8785E">
              <w:rPr>
                <w:rFonts w:ascii="Times New Roman" w:hAnsi="Times New Roman"/>
                <w:sz w:val="28"/>
                <w:szCs w:val="28"/>
                <w:lang w:val="vi"/>
              </w:rPr>
              <w:t>- Quyết định quy định vị trí việc làm.</w:t>
            </w:r>
          </w:p>
        </w:tc>
      </w:tr>
      <w:tr w:rsidR="00A8785E" w:rsidRPr="00A8785E" w14:paraId="167DCF6A" w14:textId="77777777" w:rsidTr="00757C04">
        <w:tc>
          <w:tcPr>
            <w:tcW w:w="746" w:type="dxa"/>
          </w:tcPr>
          <w:p w14:paraId="445E3D8C" w14:textId="77777777" w:rsidR="00A8785E" w:rsidRPr="00A8785E" w:rsidRDefault="00A8785E" w:rsidP="00757C04">
            <w:pPr>
              <w:spacing w:before="120" w:after="120" w:line="240" w:lineRule="auto"/>
              <w:jc w:val="both"/>
              <w:rPr>
                <w:rFonts w:ascii="Times New Roman" w:hAnsi="Times New Roman"/>
                <w:sz w:val="28"/>
                <w:szCs w:val="28"/>
                <w:lang w:val="vi"/>
              </w:rPr>
            </w:pPr>
            <w:r w:rsidRPr="00A8785E">
              <w:rPr>
                <w:rFonts w:ascii="Times New Roman" w:hAnsi="Times New Roman"/>
                <w:sz w:val="28"/>
                <w:szCs w:val="28"/>
                <w:lang w:val="vi"/>
              </w:rPr>
              <w:t>4</w:t>
            </w:r>
          </w:p>
        </w:tc>
        <w:tc>
          <w:tcPr>
            <w:tcW w:w="3927" w:type="dxa"/>
          </w:tcPr>
          <w:p w14:paraId="6E6BF587" w14:textId="77777777" w:rsidR="00A8785E" w:rsidRPr="00A8785E" w:rsidRDefault="00A8785E" w:rsidP="00757C04">
            <w:pPr>
              <w:spacing w:before="120" w:after="120" w:line="240" w:lineRule="auto"/>
              <w:jc w:val="both"/>
              <w:rPr>
                <w:rFonts w:ascii="Times New Roman" w:hAnsi="Times New Roman"/>
                <w:sz w:val="28"/>
                <w:szCs w:val="28"/>
                <w:lang w:val="vi"/>
              </w:rPr>
            </w:pPr>
            <w:r w:rsidRPr="00A8785E">
              <w:rPr>
                <w:rFonts w:ascii="Times New Roman" w:hAnsi="Times New Roman"/>
                <w:sz w:val="28"/>
                <w:szCs w:val="28"/>
                <w:lang w:val="vi"/>
              </w:rPr>
              <w:t>A4. Thông tin về tài sản và kết quả hoạt động của đơn vị</w:t>
            </w:r>
          </w:p>
        </w:tc>
        <w:tc>
          <w:tcPr>
            <w:tcW w:w="4536" w:type="dxa"/>
          </w:tcPr>
          <w:p w14:paraId="3EB73BCC" w14:textId="77777777" w:rsidR="00A8785E" w:rsidRPr="00A8785E" w:rsidRDefault="00A8785E" w:rsidP="00757C04">
            <w:pPr>
              <w:spacing w:before="120" w:after="120" w:line="240" w:lineRule="auto"/>
              <w:jc w:val="both"/>
              <w:rPr>
                <w:rFonts w:ascii="Times New Roman" w:hAnsi="Times New Roman"/>
                <w:sz w:val="28"/>
                <w:szCs w:val="28"/>
                <w:lang w:val="vi"/>
              </w:rPr>
            </w:pPr>
          </w:p>
        </w:tc>
      </w:tr>
      <w:tr w:rsidR="00A8785E" w:rsidRPr="00A8785E" w14:paraId="0196466C" w14:textId="77777777" w:rsidTr="00757C04">
        <w:tc>
          <w:tcPr>
            <w:tcW w:w="746" w:type="dxa"/>
          </w:tcPr>
          <w:p w14:paraId="738AC1DD" w14:textId="77777777" w:rsidR="00A8785E" w:rsidRPr="00A8785E" w:rsidRDefault="00A8785E" w:rsidP="00757C04">
            <w:pPr>
              <w:spacing w:before="120" w:after="120" w:line="240" w:lineRule="auto"/>
              <w:jc w:val="both"/>
              <w:rPr>
                <w:rFonts w:ascii="Times New Roman" w:hAnsi="Times New Roman"/>
                <w:sz w:val="28"/>
                <w:szCs w:val="28"/>
                <w:lang w:val="vi"/>
              </w:rPr>
            </w:pPr>
            <w:r w:rsidRPr="00A8785E">
              <w:rPr>
                <w:rFonts w:ascii="Times New Roman" w:hAnsi="Times New Roman"/>
                <w:sz w:val="28"/>
                <w:szCs w:val="28"/>
                <w:lang w:val="vi"/>
              </w:rPr>
              <w:t>4.1</w:t>
            </w:r>
          </w:p>
        </w:tc>
        <w:tc>
          <w:tcPr>
            <w:tcW w:w="3927" w:type="dxa"/>
          </w:tcPr>
          <w:p w14:paraId="2D3C2982" w14:textId="77777777" w:rsidR="00A8785E" w:rsidRPr="00A8785E" w:rsidRDefault="00A8785E" w:rsidP="00757C04">
            <w:pPr>
              <w:spacing w:before="120" w:after="120" w:line="240" w:lineRule="auto"/>
              <w:jc w:val="both"/>
              <w:rPr>
                <w:rFonts w:ascii="Times New Roman" w:hAnsi="Times New Roman"/>
                <w:sz w:val="28"/>
                <w:szCs w:val="28"/>
                <w:lang w:val="vi"/>
              </w:rPr>
            </w:pPr>
            <w:r w:rsidRPr="00A8785E">
              <w:rPr>
                <w:rFonts w:ascii="Times New Roman" w:hAnsi="Times New Roman"/>
                <w:sz w:val="28"/>
                <w:szCs w:val="28"/>
                <w:lang w:val="vi"/>
              </w:rPr>
              <w:t>Thông tin về tài sản của đơn vị</w:t>
            </w:r>
          </w:p>
        </w:tc>
        <w:tc>
          <w:tcPr>
            <w:tcW w:w="4536" w:type="dxa"/>
          </w:tcPr>
          <w:p w14:paraId="78111B31" w14:textId="77777777" w:rsidR="00A8785E" w:rsidRPr="00A8785E" w:rsidRDefault="00A8785E" w:rsidP="00757C04">
            <w:pPr>
              <w:spacing w:before="120" w:after="120" w:line="240" w:lineRule="auto"/>
              <w:jc w:val="both"/>
              <w:rPr>
                <w:rFonts w:ascii="Times New Roman" w:hAnsi="Times New Roman"/>
                <w:sz w:val="28"/>
                <w:szCs w:val="28"/>
                <w:lang w:val="vi"/>
              </w:rPr>
            </w:pPr>
            <w:r w:rsidRPr="00A8785E">
              <w:rPr>
                <w:rFonts w:ascii="Times New Roman" w:hAnsi="Times New Roman"/>
                <w:sz w:val="28"/>
                <w:szCs w:val="28"/>
                <w:lang w:val="vi"/>
              </w:rPr>
              <w:t>- Phần II, Phụ lục II QĐ</w:t>
            </w:r>
            <w:r w:rsidRPr="00A8785E">
              <w:rPr>
                <w:rFonts w:ascii="Times New Roman" w:hAnsi="Times New Roman"/>
                <w:sz w:val="28"/>
                <w:szCs w:val="28"/>
              </w:rPr>
              <w:t xml:space="preserve"> </w:t>
            </w:r>
            <w:r w:rsidRPr="00A8785E">
              <w:rPr>
                <w:rFonts w:ascii="Times New Roman" w:hAnsi="Times New Roman"/>
                <w:sz w:val="28"/>
                <w:szCs w:val="28"/>
                <w:lang w:val="vi"/>
              </w:rPr>
              <w:t>200;</w:t>
            </w:r>
          </w:p>
          <w:p w14:paraId="434D2521" w14:textId="77777777" w:rsidR="00A8785E" w:rsidRPr="00A8785E" w:rsidRDefault="00A8785E" w:rsidP="00757C04">
            <w:pPr>
              <w:spacing w:before="120" w:after="120" w:line="240" w:lineRule="auto"/>
              <w:jc w:val="both"/>
              <w:rPr>
                <w:rFonts w:ascii="Times New Roman" w:hAnsi="Times New Roman"/>
                <w:sz w:val="28"/>
                <w:szCs w:val="28"/>
                <w:lang w:val="vi"/>
              </w:rPr>
            </w:pPr>
            <w:r w:rsidRPr="00A8785E">
              <w:rPr>
                <w:rFonts w:ascii="Times New Roman" w:hAnsi="Times New Roman"/>
                <w:sz w:val="28"/>
                <w:szCs w:val="28"/>
                <w:lang w:val="vi"/>
              </w:rPr>
              <w:t>- Sổ sách kế toán theo dõi tài sản của đơn vị.</w:t>
            </w:r>
          </w:p>
        </w:tc>
      </w:tr>
      <w:tr w:rsidR="00A8785E" w:rsidRPr="00A8785E" w14:paraId="4DF9867F" w14:textId="77777777" w:rsidTr="00757C04">
        <w:tc>
          <w:tcPr>
            <w:tcW w:w="746" w:type="dxa"/>
          </w:tcPr>
          <w:p w14:paraId="7D185221" w14:textId="77777777" w:rsidR="00A8785E" w:rsidRPr="00A8785E" w:rsidRDefault="00A8785E" w:rsidP="00757C04">
            <w:pPr>
              <w:spacing w:before="120" w:after="120" w:line="240" w:lineRule="auto"/>
              <w:jc w:val="both"/>
              <w:rPr>
                <w:rFonts w:ascii="Times New Roman" w:hAnsi="Times New Roman"/>
                <w:sz w:val="28"/>
                <w:szCs w:val="28"/>
                <w:lang w:val="vi"/>
              </w:rPr>
            </w:pPr>
            <w:r w:rsidRPr="00A8785E">
              <w:rPr>
                <w:rFonts w:ascii="Times New Roman" w:hAnsi="Times New Roman"/>
                <w:sz w:val="28"/>
                <w:szCs w:val="28"/>
                <w:lang w:val="vi"/>
              </w:rPr>
              <w:t>4.2</w:t>
            </w:r>
          </w:p>
        </w:tc>
        <w:tc>
          <w:tcPr>
            <w:tcW w:w="3927" w:type="dxa"/>
          </w:tcPr>
          <w:p w14:paraId="2913C556" w14:textId="77777777" w:rsidR="00A8785E" w:rsidRPr="00A8785E" w:rsidRDefault="00A8785E" w:rsidP="00757C04">
            <w:pPr>
              <w:spacing w:before="120" w:after="120" w:line="240" w:lineRule="auto"/>
              <w:jc w:val="both"/>
              <w:rPr>
                <w:rFonts w:ascii="Times New Roman" w:hAnsi="Times New Roman"/>
                <w:sz w:val="28"/>
                <w:szCs w:val="28"/>
                <w:lang w:val="vi"/>
              </w:rPr>
            </w:pPr>
            <w:r w:rsidRPr="00A8785E">
              <w:rPr>
                <w:rFonts w:ascii="Times New Roman" w:hAnsi="Times New Roman"/>
                <w:sz w:val="28"/>
                <w:szCs w:val="28"/>
                <w:lang w:val="vi"/>
              </w:rPr>
              <w:t>Chi phí đầu tư XDCB, mua sắm TSCĐ, nâng cấp, sửa chữa lớn</w:t>
            </w:r>
          </w:p>
        </w:tc>
        <w:tc>
          <w:tcPr>
            <w:tcW w:w="4536" w:type="dxa"/>
          </w:tcPr>
          <w:p w14:paraId="7686314E" w14:textId="77777777" w:rsidR="00A8785E" w:rsidRPr="00A8785E" w:rsidRDefault="00A8785E" w:rsidP="00757C04">
            <w:pPr>
              <w:spacing w:before="120" w:after="120" w:line="240" w:lineRule="auto"/>
              <w:jc w:val="both"/>
              <w:rPr>
                <w:rFonts w:ascii="Times New Roman" w:hAnsi="Times New Roman"/>
                <w:sz w:val="28"/>
                <w:szCs w:val="28"/>
                <w:lang w:val="vi"/>
              </w:rPr>
            </w:pPr>
            <w:r w:rsidRPr="00A8785E">
              <w:rPr>
                <w:rFonts w:ascii="Times New Roman" w:hAnsi="Times New Roman"/>
                <w:sz w:val="28"/>
                <w:szCs w:val="28"/>
                <w:lang w:val="vi"/>
              </w:rPr>
              <w:t>- Phần II, Phụ lục II QĐ</w:t>
            </w:r>
            <w:r w:rsidRPr="00A8785E">
              <w:rPr>
                <w:rFonts w:ascii="Times New Roman" w:hAnsi="Times New Roman"/>
                <w:sz w:val="28"/>
                <w:szCs w:val="28"/>
              </w:rPr>
              <w:t xml:space="preserve"> </w:t>
            </w:r>
            <w:r w:rsidRPr="00A8785E">
              <w:rPr>
                <w:rFonts w:ascii="Times New Roman" w:hAnsi="Times New Roman"/>
                <w:sz w:val="28"/>
                <w:szCs w:val="28"/>
                <w:lang w:val="vi"/>
              </w:rPr>
              <w:t>200;</w:t>
            </w:r>
          </w:p>
          <w:p w14:paraId="151E7EF7" w14:textId="77777777" w:rsidR="00A8785E" w:rsidRPr="00A8785E" w:rsidRDefault="00A8785E" w:rsidP="00757C04">
            <w:pPr>
              <w:spacing w:before="120" w:after="120" w:line="240" w:lineRule="auto"/>
              <w:jc w:val="both"/>
              <w:rPr>
                <w:rFonts w:ascii="Times New Roman" w:hAnsi="Times New Roman"/>
                <w:sz w:val="28"/>
                <w:szCs w:val="28"/>
                <w:lang w:val="vi"/>
              </w:rPr>
            </w:pPr>
            <w:r w:rsidRPr="00A8785E">
              <w:rPr>
                <w:rFonts w:ascii="Times New Roman" w:hAnsi="Times New Roman"/>
                <w:sz w:val="28"/>
                <w:szCs w:val="28"/>
                <w:lang w:val="vi"/>
              </w:rPr>
              <w:t>- Chỉ ghi chi phí đơn vị trực tiếp chi ra.</w:t>
            </w:r>
          </w:p>
        </w:tc>
      </w:tr>
      <w:tr w:rsidR="00A8785E" w:rsidRPr="00A8785E" w14:paraId="36C36797" w14:textId="77777777" w:rsidTr="00757C04">
        <w:tc>
          <w:tcPr>
            <w:tcW w:w="746" w:type="dxa"/>
          </w:tcPr>
          <w:p w14:paraId="78A99BE3" w14:textId="77777777" w:rsidR="00A8785E" w:rsidRPr="00A8785E" w:rsidRDefault="00A8785E" w:rsidP="00757C04">
            <w:pPr>
              <w:spacing w:before="120" w:after="120" w:line="240" w:lineRule="auto"/>
              <w:jc w:val="both"/>
              <w:rPr>
                <w:rFonts w:ascii="Times New Roman" w:hAnsi="Times New Roman"/>
                <w:sz w:val="28"/>
                <w:szCs w:val="28"/>
                <w:lang w:val="vi"/>
              </w:rPr>
            </w:pPr>
            <w:r w:rsidRPr="00A8785E">
              <w:rPr>
                <w:rFonts w:ascii="Times New Roman" w:hAnsi="Times New Roman"/>
                <w:sz w:val="28"/>
                <w:szCs w:val="28"/>
                <w:lang w:val="vi"/>
              </w:rPr>
              <w:t>4.3</w:t>
            </w:r>
          </w:p>
        </w:tc>
        <w:tc>
          <w:tcPr>
            <w:tcW w:w="3927" w:type="dxa"/>
          </w:tcPr>
          <w:p w14:paraId="1DCE46EF" w14:textId="77777777" w:rsidR="00A8785E" w:rsidRPr="00A8785E" w:rsidRDefault="00A8785E" w:rsidP="00757C04">
            <w:pPr>
              <w:spacing w:before="120" w:after="120" w:line="240" w:lineRule="auto"/>
              <w:jc w:val="both"/>
              <w:rPr>
                <w:rFonts w:ascii="Times New Roman" w:hAnsi="Times New Roman"/>
                <w:sz w:val="28"/>
                <w:szCs w:val="28"/>
                <w:lang w:val="vi"/>
              </w:rPr>
            </w:pPr>
            <w:r w:rsidRPr="00A8785E">
              <w:rPr>
                <w:rFonts w:ascii="Times New Roman" w:hAnsi="Times New Roman"/>
                <w:sz w:val="28"/>
                <w:szCs w:val="28"/>
                <w:lang w:val="vi"/>
              </w:rPr>
              <w:t>Kết quả hoạt động của đơn vị trong năm 2025</w:t>
            </w:r>
          </w:p>
        </w:tc>
        <w:tc>
          <w:tcPr>
            <w:tcW w:w="4536" w:type="dxa"/>
          </w:tcPr>
          <w:p w14:paraId="0D83EEDB" w14:textId="77777777" w:rsidR="00A8785E" w:rsidRPr="00A8785E" w:rsidRDefault="00A8785E" w:rsidP="00757C04">
            <w:pPr>
              <w:spacing w:before="120" w:after="120" w:line="240" w:lineRule="auto"/>
              <w:jc w:val="both"/>
              <w:rPr>
                <w:rFonts w:ascii="Times New Roman" w:hAnsi="Times New Roman"/>
                <w:sz w:val="28"/>
                <w:szCs w:val="28"/>
                <w:lang w:val="vi"/>
              </w:rPr>
            </w:pPr>
            <w:r w:rsidRPr="00A8785E">
              <w:rPr>
                <w:rFonts w:ascii="Times New Roman" w:hAnsi="Times New Roman"/>
                <w:sz w:val="28"/>
                <w:szCs w:val="28"/>
                <w:lang w:val="vi"/>
              </w:rPr>
              <w:t>- Phần II, Phụ lục II QĐ</w:t>
            </w:r>
            <w:r w:rsidRPr="00A8785E">
              <w:rPr>
                <w:rFonts w:ascii="Times New Roman" w:hAnsi="Times New Roman"/>
                <w:sz w:val="28"/>
                <w:szCs w:val="28"/>
              </w:rPr>
              <w:t xml:space="preserve"> </w:t>
            </w:r>
            <w:r w:rsidRPr="00A8785E">
              <w:rPr>
                <w:rFonts w:ascii="Times New Roman" w:hAnsi="Times New Roman"/>
                <w:sz w:val="28"/>
                <w:szCs w:val="28"/>
                <w:lang w:val="vi"/>
              </w:rPr>
              <w:t>200;</w:t>
            </w:r>
          </w:p>
          <w:p w14:paraId="196F0B99" w14:textId="77777777" w:rsidR="00A8785E" w:rsidRPr="00A8785E" w:rsidRDefault="00A8785E" w:rsidP="00757C04">
            <w:pPr>
              <w:spacing w:before="120" w:after="120" w:line="240" w:lineRule="auto"/>
              <w:jc w:val="both"/>
              <w:rPr>
                <w:rFonts w:ascii="Times New Roman" w:hAnsi="Times New Roman"/>
                <w:sz w:val="28"/>
                <w:szCs w:val="28"/>
                <w:lang w:val="vi"/>
              </w:rPr>
            </w:pPr>
            <w:r w:rsidRPr="00A8785E">
              <w:rPr>
                <w:rFonts w:ascii="Times New Roman" w:hAnsi="Times New Roman"/>
                <w:sz w:val="28"/>
                <w:szCs w:val="28"/>
                <w:lang w:val="vi"/>
              </w:rPr>
              <w:t>- Quyết định giao dự toán NSNN năm 2025;</w:t>
            </w:r>
          </w:p>
          <w:p w14:paraId="541C9D5C" w14:textId="77777777" w:rsidR="00A8785E" w:rsidRPr="00A8785E" w:rsidRDefault="00A8785E" w:rsidP="00757C04">
            <w:pPr>
              <w:spacing w:before="120" w:after="120" w:line="240" w:lineRule="auto"/>
              <w:jc w:val="both"/>
              <w:rPr>
                <w:rFonts w:ascii="Times New Roman" w:hAnsi="Times New Roman"/>
                <w:sz w:val="28"/>
                <w:szCs w:val="28"/>
                <w:lang w:val="vi"/>
              </w:rPr>
            </w:pPr>
            <w:r w:rsidRPr="00A8785E">
              <w:rPr>
                <w:rFonts w:ascii="Times New Roman" w:hAnsi="Times New Roman"/>
                <w:sz w:val="28"/>
                <w:szCs w:val="28"/>
                <w:lang w:val="vi"/>
              </w:rPr>
              <w:lastRenderedPageBreak/>
              <w:t>- Báo cáo kết quả hoạt động (Mẫu số B02/BCTC) và Thuyết minh Báo cáo tài chính (Mẫu số B03/BCTC) được quy định tại Thông tư số 24/2024/TT-BTC ngày 17/04/2024 của Bộ Tài chính);</w:t>
            </w:r>
          </w:p>
          <w:p w14:paraId="68CDB5C6" w14:textId="77777777" w:rsidR="00A8785E" w:rsidRPr="00A8785E" w:rsidRDefault="00A8785E" w:rsidP="00757C04">
            <w:pPr>
              <w:spacing w:before="120" w:after="120" w:line="240" w:lineRule="auto"/>
              <w:jc w:val="both"/>
              <w:rPr>
                <w:rFonts w:ascii="Times New Roman" w:hAnsi="Times New Roman"/>
                <w:sz w:val="28"/>
                <w:szCs w:val="28"/>
                <w:lang w:val="vi"/>
              </w:rPr>
            </w:pPr>
            <w:r w:rsidRPr="00A8785E">
              <w:rPr>
                <w:rFonts w:ascii="Times New Roman" w:hAnsi="Times New Roman"/>
                <w:sz w:val="28"/>
                <w:szCs w:val="28"/>
                <w:lang w:val="vi"/>
              </w:rPr>
              <w:t>- Các báo cáo tài chính của đơn vị áp dụng chế độ kế toán đặc thù.</w:t>
            </w:r>
          </w:p>
        </w:tc>
      </w:tr>
      <w:tr w:rsidR="00A8785E" w:rsidRPr="00A8785E" w14:paraId="77B16A9D" w14:textId="77777777" w:rsidTr="00757C04">
        <w:tc>
          <w:tcPr>
            <w:tcW w:w="746" w:type="dxa"/>
          </w:tcPr>
          <w:p w14:paraId="0169CC99" w14:textId="77777777" w:rsidR="00A8785E" w:rsidRPr="00A8785E" w:rsidRDefault="00A8785E" w:rsidP="00757C04">
            <w:pPr>
              <w:spacing w:before="120" w:after="120" w:line="240" w:lineRule="auto"/>
              <w:jc w:val="both"/>
              <w:rPr>
                <w:rFonts w:ascii="Times New Roman" w:hAnsi="Times New Roman"/>
                <w:sz w:val="28"/>
                <w:szCs w:val="28"/>
                <w:lang w:val="vi"/>
              </w:rPr>
            </w:pPr>
            <w:r w:rsidRPr="00A8785E">
              <w:rPr>
                <w:rFonts w:ascii="Times New Roman" w:hAnsi="Times New Roman"/>
                <w:sz w:val="28"/>
                <w:szCs w:val="28"/>
                <w:lang w:val="vi"/>
              </w:rPr>
              <w:lastRenderedPageBreak/>
              <w:t>5</w:t>
            </w:r>
          </w:p>
        </w:tc>
        <w:tc>
          <w:tcPr>
            <w:tcW w:w="3927" w:type="dxa"/>
          </w:tcPr>
          <w:p w14:paraId="52DABAA9" w14:textId="77777777" w:rsidR="00A8785E" w:rsidRPr="00A8785E" w:rsidRDefault="00A8785E" w:rsidP="00757C04">
            <w:pPr>
              <w:spacing w:before="120" w:after="120" w:line="240" w:lineRule="auto"/>
              <w:jc w:val="both"/>
              <w:rPr>
                <w:rFonts w:ascii="Times New Roman" w:hAnsi="Times New Roman"/>
                <w:sz w:val="28"/>
                <w:szCs w:val="28"/>
                <w:lang w:val="vi"/>
              </w:rPr>
            </w:pPr>
            <w:r w:rsidRPr="00A8785E">
              <w:rPr>
                <w:rFonts w:ascii="Times New Roman" w:hAnsi="Times New Roman"/>
                <w:sz w:val="28"/>
                <w:szCs w:val="28"/>
                <w:lang w:val="vi"/>
              </w:rPr>
              <w:t>A5. Thông tin về sản phẩm (vật chất và dịch vụ) của đơn vị trong năm 2025</w:t>
            </w:r>
          </w:p>
        </w:tc>
        <w:tc>
          <w:tcPr>
            <w:tcW w:w="4536" w:type="dxa"/>
          </w:tcPr>
          <w:p w14:paraId="2C37BE43" w14:textId="77777777" w:rsidR="00A8785E" w:rsidRPr="00A8785E" w:rsidRDefault="00A8785E" w:rsidP="00757C04">
            <w:pPr>
              <w:spacing w:before="120" w:after="120" w:line="240" w:lineRule="auto"/>
              <w:jc w:val="both"/>
              <w:rPr>
                <w:rFonts w:ascii="Times New Roman" w:hAnsi="Times New Roman"/>
                <w:sz w:val="28"/>
                <w:szCs w:val="28"/>
                <w:lang w:val="vi"/>
              </w:rPr>
            </w:pPr>
            <w:r w:rsidRPr="00A8785E">
              <w:rPr>
                <w:rFonts w:ascii="Times New Roman" w:hAnsi="Times New Roman"/>
                <w:sz w:val="28"/>
                <w:szCs w:val="28"/>
                <w:lang w:val="vi"/>
              </w:rPr>
              <w:t>- Phần II, Phụ lục II QĐ</w:t>
            </w:r>
            <w:r w:rsidRPr="00A8785E">
              <w:rPr>
                <w:rFonts w:ascii="Times New Roman" w:hAnsi="Times New Roman"/>
                <w:sz w:val="28"/>
                <w:szCs w:val="28"/>
              </w:rPr>
              <w:t xml:space="preserve"> </w:t>
            </w:r>
            <w:r w:rsidRPr="00A8785E">
              <w:rPr>
                <w:rFonts w:ascii="Times New Roman" w:hAnsi="Times New Roman"/>
                <w:sz w:val="28"/>
                <w:szCs w:val="28"/>
                <w:lang w:val="vi"/>
              </w:rPr>
              <w:t>200;</w:t>
            </w:r>
          </w:p>
          <w:p w14:paraId="718ADF9C" w14:textId="77777777" w:rsidR="00A8785E" w:rsidRPr="00A8785E" w:rsidRDefault="00A8785E" w:rsidP="00757C04">
            <w:pPr>
              <w:spacing w:before="120" w:after="120" w:line="240" w:lineRule="auto"/>
              <w:jc w:val="both"/>
              <w:rPr>
                <w:rFonts w:ascii="Times New Roman" w:hAnsi="Times New Roman"/>
                <w:sz w:val="28"/>
                <w:szCs w:val="28"/>
                <w:lang w:val="vi"/>
              </w:rPr>
            </w:pPr>
            <w:r w:rsidRPr="00A8785E">
              <w:rPr>
                <w:rFonts w:ascii="Times New Roman" w:hAnsi="Times New Roman"/>
                <w:sz w:val="28"/>
                <w:szCs w:val="28"/>
                <w:lang w:val="vi"/>
              </w:rPr>
              <w:t>- Hệ thống ngành kinh tế Việt Nam ban hành theo QĐ số 36/2025/QĐ-TTg ngày 29/9/2025 của Thủ tướng Chính phủ.</w:t>
            </w:r>
          </w:p>
        </w:tc>
      </w:tr>
      <w:tr w:rsidR="00A8785E" w:rsidRPr="00A8785E" w14:paraId="66912B63" w14:textId="77777777" w:rsidTr="00757C04">
        <w:tc>
          <w:tcPr>
            <w:tcW w:w="746" w:type="dxa"/>
          </w:tcPr>
          <w:p w14:paraId="6C540E7B" w14:textId="77777777" w:rsidR="00A8785E" w:rsidRPr="00A8785E" w:rsidRDefault="00A8785E" w:rsidP="00757C04">
            <w:pPr>
              <w:spacing w:before="120" w:after="120" w:line="240" w:lineRule="auto"/>
              <w:jc w:val="both"/>
              <w:rPr>
                <w:rFonts w:ascii="Times New Roman" w:hAnsi="Times New Roman"/>
                <w:sz w:val="28"/>
                <w:szCs w:val="28"/>
                <w:lang w:val="vi"/>
              </w:rPr>
            </w:pPr>
            <w:r w:rsidRPr="00A8785E">
              <w:rPr>
                <w:rFonts w:ascii="Times New Roman" w:hAnsi="Times New Roman"/>
                <w:sz w:val="28"/>
                <w:szCs w:val="28"/>
                <w:lang w:val="vi"/>
              </w:rPr>
              <w:t>6</w:t>
            </w:r>
          </w:p>
        </w:tc>
        <w:tc>
          <w:tcPr>
            <w:tcW w:w="3927" w:type="dxa"/>
          </w:tcPr>
          <w:p w14:paraId="6FBC71DA" w14:textId="77777777" w:rsidR="00A8785E" w:rsidRPr="00A8785E" w:rsidRDefault="00A8785E" w:rsidP="00757C04">
            <w:pPr>
              <w:spacing w:before="120" w:after="120" w:line="240" w:lineRule="auto"/>
              <w:jc w:val="both"/>
              <w:rPr>
                <w:rFonts w:ascii="Times New Roman" w:hAnsi="Times New Roman"/>
                <w:sz w:val="28"/>
                <w:szCs w:val="28"/>
                <w:lang w:val="vi"/>
              </w:rPr>
            </w:pPr>
            <w:r w:rsidRPr="00A8785E">
              <w:rPr>
                <w:rFonts w:ascii="Times New Roman" w:hAnsi="Times New Roman"/>
                <w:sz w:val="28"/>
                <w:szCs w:val="28"/>
                <w:lang w:val="vi"/>
              </w:rPr>
              <w:t>A6. Ứng dụng công nghệ thông tin và đổi mới, sáng tạo của đơn vị trong năm 2025</w:t>
            </w:r>
          </w:p>
        </w:tc>
        <w:tc>
          <w:tcPr>
            <w:tcW w:w="4536" w:type="dxa"/>
          </w:tcPr>
          <w:p w14:paraId="2B68AB10" w14:textId="77777777" w:rsidR="00A8785E" w:rsidRPr="00A8785E" w:rsidRDefault="00A8785E" w:rsidP="00757C04">
            <w:pPr>
              <w:spacing w:before="120" w:after="120" w:line="240" w:lineRule="auto"/>
              <w:jc w:val="both"/>
              <w:rPr>
                <w:rFonts w:ascii="Times New Roman" w:hAnsi="Times New Roman"/>
                <w:sz w:val="28"/>
                <w:szCs w:val="28"/>
                <w:lang w:val="vi"/>
              </w:rPr>
            </w:pPr>
            <w:r w:rsidRPr="00A8785E">
              <w:rPr>
                <w:rFonts w:ascii="Times New Roman" w:hAnsi="Times New Roman"/>
                <w:sz w:val="28"/>
                <w:szCs w:val="28"/>
                <w:lang w:val="vi"/>
              </w:rPr>
              <w:t>- Phần II, Phụ lục II QĐ</w:t>
            </w:r>
            <w:r w:rsidRPr="00A8785E">
              <w:rPr>
                <w:rFonts w:ascii="Times New Roman" w:hAnsi="Times New Roman"/>
                <w:sz w:val="28"/>
                <w:szCs w:val="28"/>
              </w:rPr>
              <w:t xml:space="preserve"> </w:t>
            </w:r>
            <w:r w:rsidRPr="00A8785E">
              <w:rPr>
                <w:rFonts w:ascii="Times New Roman" w:hAnsi="Times New Roman"/>
                <w:sz w:val="28"/>
                <w:szCs w:val="28"/>
                <w:lang w:val="vi"/>
              </w:rPr>
              <w:t>200;</w:t>
            </w:r>
          </w:p>
          <w:p w14:paraId="697749D2" w14:textId="77777777" w:rsidR="00A8785E" w:rsidRPr="00A8785E" w:rsidRDefault="00A8785E" w:rsidP="00757C04">
            <w:pPr>
              <w:spacing w:before="120" w:after="120" w:line="240" w:lineRule="auto"/>
              <w:jc w:val="both"/>
              <w:rPr>
                <w:rFonts w:ascii="Times New Roman" w:hAnsi="Times New Roman"/>
                <w:sz w:val="28"/>
                <w:szCs w:val="28"/>
                <w:lang w:val="vi"/>
              </w:rPr>
            </w:pPr>
            <w:r w:rsidRPr="00A8785E">
              <w:rPr>
                <w:rFonts w:ascii="Times New Roman" w:hAnsi="Times New Roman"/>
                <w:sz w:val="28"/>
                <w:szCs w:val="28"/>
                <w:lang w:val="vi"/>
              </w:rPr>
              <w:t>- Kế hoạch, đề án về công nghệ thông tin, đổi mới sáng tạo đã được áp dụng thực tế tại đơn vị;</w:t>
            </w:r>
          </w:p>
          <w:p w14:paraId="2057E24B" w14:textId="77777777" w:rsidR="00A8785E" w:rsidRPr="00A8785E" w:rsidRDefault="00A8785E" w:rsidP="00757C04">
            <w:pPr>
              <w:spacing w:before="120" w:after="120" w:line="240" w:lineRule="auto"/>
              <w:jc w:val="both"/>
              <w:rPr>
                <w:rFonts w:ascii="Times New Roman" w:hAnsi="Times New Roman"/>
                <w:sz w:val="28"/>
                <w:szCs w:val="28"/>
                <w:lang w:val="vi"/>
              </w:rPr>
            </w:pPr>
            <w:r w:rsidRPr="00A8785E">
              <w:rPr>
                <w:rFonts w:ascii="Times New Roman" w:hAnsi="Times New Roman"/>
                <w:sz w:val="28"/>
                <w:szCs w:val="28"/>
                <w:lang w:val="vi"/>
              </w:rPr>
              <w:t>- Hóa đơn tiền điện, tiền xăng.</w:t>
            </w:r>
          </w:p>
        </w:tc>
      </w:tr>
      <w:tr w:rsidR="00A8785E" w:rsidRPr="00A8785E" w14:paraId="0D9D4B9E" w14:textId="77777777" w:rsidTr="00757C04">
        <w:tc>
          <w:tcPr>
            <w:tcW w:w="746" w:type="dxa"/>
          </w:tcPr>
          <w:p w14:paraId="6A3A747E" w14:textId="77777777" w:rsidR="00A8785E" w:rsidRPr="00A8785E" w:rsidRDefault="00A8785E" w:rsidP="00757C04">
            <w:pPr>
              <w:spacing w:before="120" w:after="120" w:line="240" w:lineRule="auto"/>
              <w:jc w:val="both"/>
              <w:rPr>
                <w:rFonts w:ascii="Times New Roman" w:hAnsi="Times New Roman"/>
                <w:sz w:val="28"/>
                <w:szCs w:val="28"/>
                <w:lang w:val="vi"/>
              </w:rPr>
            </w:pPr>
            <w:r w:rsidRPr="00A8785E">
              <w:rPr>
                <w:rFonts w:ascii="Times New Roman" w:hAnsi="Times New Roman"/>
                <w:b/>
                <w:bCs/>
                <w:sz w:val="28"/>
                <w:szCs w:val="28"/>
                <w:lang w:val="vi"/>
              </w:rPr>
              <w:t>II</w:t>
            </w:r>
          </w:p>
        </w:tc>
        <w:tc>
          <w:tcPr>
            <w:tcW w:w="3927" w:type="dxa"/>
          </w:tcPr>
          <w:p w14:paraId="5F93E575" w14:textId="77777777" w:rsidR="00A8785E" w:rsidRPr="00A8785E" w:rsidRDefault="00A8785E" w:rsidP="00757C04">
            <w:pPr>
              <w:spacing w:before="120" w:after="120" w:line="240" w:lineRule="auto"/>
              <w:jc w:val="both"/>
              <w:rPr>
                <w:rFonts w:ascii="Times New Roman" w:hAnsi="Times New Roman"/>
                <w:sz w:val="28"/>
                <w:szCs w:val="28"/>
                <w:lang w:val="vi"/>
              </w:rPr>
            </w:pPr>
            <w:r w:rsidRPr="00A8785E">
              <w:rPr>
                <w:rFonts w:ascii="Times New Roman" w:hAnsi="Times New Roman"/>
                <w:sz w:val="28"/>
                <w:szCs w:val="28"/>
                <w:lang w:val="vi"/>
              </w:rPr>
              <w:t>Phần B. Thông tin về trụ sở chính và các địa điểm trực thuộc của đơn vị</w:t>
            </w:r>
          </w:p>
        </w:tc>
        <w:tc>
          <w:tcPr>
            <w:tcW w:w="4536" w:type="dxa"/>
          </w:tcPr>
          <w:p w14:paraId="47D6919F" w14:textId="77777777" w:rsidR="00A8785E" w:rsidRPr="00A8785E" w:rsidRDefault="00A8785E" w:rsidP="00757C04">
            <w:pPr>
              <w:spacing w:before="120" w:after="120" w:line="240" w:lineRule="auto"/>
              <w:jc w:val="both"/>
              <w:rPr>
                <w:rFonts w:ascii="Times New Roman" w:hAnsi="Times New Roman"/>
                <w:sz w:val="28"/>
                <w:szCs w:val="28"/>
                <w:lang w:val="vi"/>
              </w:rPr>
            </w:pPr>
            <w:r w:rsidRPr="00A8785E">
              <w:rPr>
                <w:rFonts w:ascii="Times New Roman" w:hAnsi="Times New Roman"/>
                <w:sz w:val="28"/>
                <w:szCs w:val="28"/>
                <w:lang w:val="vi"/>
              </w:rPr>
              <w:t>Phần II, Phụ lục II QĐ</w:t>
            </w:r>
            <w:r w:rsidRPr="00A8785E">
              <w:rPr>
                <w:rFonts w:ascii="Times New Roman" w:hAnsi="Times New Roman"/>
                <w:sz w:val="28"/>
                <w:szCs w:val="28"/>
              </w:rPr>
              <w:t xml:space="preserve"> </w:t>
            </w:r>
            <w:r w:rsidRPr="00A8785E">
              <w:rPr>
                <w:rFonts w:ascii="Times New Roman" w:hAnsi="Times New Roman"/>
                <w:sz w:val="28"/>
                <w:szCs w:val="28"/>
                <w:lang w:val="vi"/>
              </w:rPr>
              <w:t>200.</w:t>
            </w:r>
          </w:p>
        </w:tc>
      </w:tr>
      <w:tr w:rsidR="00A8785E" w:rsidRPr="00A8785E" w14:paraId="6FD6FA9F" w14:textId="77777777" w:rsidTr="00757C04">
        <w:tc>
          <w:tcPr>
            <w:tcW w:w="746" w:type="dxa"/>
          </w:tcPr>
          <w:p w14:paraId="666AB17B" w14:textId="77777777" w:rsidR="00A8785E" w:rsidRPr="00A8785E" w:rsidRDefault="00A8785E" w:rsidP="00757C04">
            <w:pPr>
              <w:spacing w:before="120" w:after="120" w:line="240" w:lineRule="auto"/>
              <w:jc w:val="both"/>
              <w:rPr>
                <w:rFonts w:ascii="Times New Roman" w:hAnsi="Times New Roman"/>
                <w:b/>
                <w:bCs/>
                <w:sz w:val="28"/>
                <w:szCs w:val="28"/>
                <w:lang w:val="vi"/>
              </w:rPr>
            </w:pPr>
            <w:r w:rsidRPr="00A8785E">
              <w:rPr>
                <w:rFonts w:ascii="Times New Roman" w:hAnsi="Times New Roman"/>
                <w:b/>
                <w:bCs/>
                <w:sz w:val="28"/>
                <w:szCs w:val="28"/>
                <w:lang w:val="vi"/>
              </w:rPr>
              <w:t>III</w:t>
            </w:r>
          </w:p>
        </w:tc>
        <w:tc>
          <w:tcPr>
            <w:tcW w:w="3927" w:type="dxa"/>
          </w:tcPr>
          <w:p w14:paraId="2627A7A8" w14:textId="77777777" w:rsidR="00A8785E" w:rsidRPr="00A8785E" w:rsidRDefault="00A8785E" w:rsidP="00757C04">
            <w:pPr>
              <w:spacing w:before="120" w:after="120" w:line="240" w:lineRule="auto"/>
              <w:jc w:val="both"/>
              <w:rPr>
                <w:rFonts w:ascii="Times New Roman" w:hAnsi="Times New Roman"/>
                <w:sz w:val="28"/>
                <w:szCs w:val="28"/>
                <w:lang w:val="vi"/>
              </w:rPr>
            </w:pPr>
            <w:r w:rsidRPr="00A8785E">
              <w:rPr>
                <w:rFonts w:ascii="Times New Roman" w:hAnsi="Times New Roman"/>
                <w:sz w:val="28"/>
                <w:szCs w:val="28"/>
                <w:lang w:val="vi"/>
              </w:rPr>
              <w:t>Phần C. Thông tin về cơ sở SXKD trực thuộc đơn vị</w:t>
            </w:r>
          </w:p>
        </w:tc>
        <w:tc>
          <w:tcPr>
            <w:tcW w:w="4536" w:type="dxa"/>
          </w:tcPr>
          <w:p w14:paraId="5A57A80E" w14:textId="77777777" w:rsidR="00A8785E" w:rsidRPr="00A8785E" w:rsidRDefault="00A8785E" w:rsidP="00757C04">
            <w:pPr>
              <w:spacing w:before="120" w:after="120" w:line="240" w:lineRule="auto"/>
              <w:jc w:val="both"/>
              <w:rPr>
                <w:rFonts w:ascii="Times New Roman" w:hAnsi="Times New Roman"/>
                <w:sz w:val="28"/>
                <w:szCs w:val="28"/>
                <w:lang w:val="vi"/>
              </w:rPr>
            </w:pPr>
            <w:r w:rsidRPr="00A8785E">
              <w:rPr>
                <w:rFonts w:ascii="Times New Roman" w:hAnsi="Times New Roman"/>
                <w:sz w:val="28"/>
                <w:szCs w:val="28"/>
                <w:lang w:val="vi"/>
              </w:rPr>
              <w:t>Phần II, Phụ lục II QĐ</w:t>
            </w:r>
            <w:r w:rsidRPr="00A8785E">
              <w:rPr>
                <w:rFonts w:ascii="Times New Roman" w:hAnsi="Times New Roman"/>
                <w:sz w:val="28"/>
                <w:szCs w:val="28"/>
              </w:rPr>
              <w:t xml:space="preserve"> </w:t>
            </w:r>
            <w:r w:rsidRPr="00A8785E">
              <w:rPr>
                <w:rFonts w:ascii="Times New Roman" w:hAnsi="Times New Roman"/>
                <w:sz w:val="28"/>
                <w:szCs w:val="28"/>
                <w:lang w:val="vi"/>
              </w:rPr>
              <w:t>200.</w:t>
            </w:r>
          </w:p>
        </w:tc>
      </w:tr>
    </w:tbl>
    <w:p w14:paraId="2559A84A" w14:textId="77777777" w:rsidR="00A8785E" w:rsidRPr="00A8785E" w:rsidRDefault="00A8785E" w:rsidP="00A8785E">
      <w:pPr>
        <w:jc w:val="both"/>
        <w:rPr>
          <w:rFonts w:ascii="Times New Roman" w:hAnsi="Times New Roman"/>
          <w:sz w:val="28"/>
          <w:szCs w:val="28"/>
          <w:lang w:val="vi"/>
        </w:rPr>
      </w:pPr>
    </w:p>
    <w:p w14:paraId="7B99E28A" w14:textId="77777777" w:rsidR="00A8785E" w:rsidRPr="00A8785E" w:rsidRDefault="00A8785E" w:rsidP="00A8785E">
      <w:pPr>
        <w:jc w:val="both"/>
        <w:rPr>
          <w:rFonts w:ascii="Times New Roman" w:hAnsi="Times New Roman"/>
          <w:b/>
          <w:sz w:val="28"/>
          <w:szCs w:val="28"/>
          <w:lang w:val="vi"/>
        </w:rPr>
      </w:pPr>
    </w:p>
    <w:p w14:paraId="54D4DCB6" w14:textId="77777777" w:rsidR="00522195" w:rsidRPr="000527C9" w:rsidRDefault="00522195" w:rsidP="006F6780">
      <w:pPr>
        <w:jc w:val="both"/>
        <w:rPr>
          <w:rFonts w:ascii="Times New Roman" w:hAnsi="Times New Roman"/>
          <w:sz w:val="28"/>
          <w:szCs w:val="28"/>
        </w:rPr>
      </w:pPr>
    </w:p>
    <w:sectPr w:rsidR="00522195" w:rsidRPr="000527C9" w:rsidSect="00976065">
      <w:headerReference w:type="default" r:id="rId8"/>
      <w:footerReference w:type="default" r:id="rId9"/>
      <w:pgSz w:w="11907" w:h="16840" w:code="9"/>
      <w:pgMar w:top="1134" w:right="1134" w:bottom="1134" w:left="1701" w:header="39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F4798" w14:textId="77777777" w:rsidR="00860AC0" w:rsidRDefault="00860AC0">
      <w:pPr>
        <w:spacing w:after="0" w:line="240" w:lineRule="auto"/>
      </w:pPr>
      <w:r>
        <w:separator/>
      </w:r>
    </w:p>
  </w:endnote>
  <w:endnote w:type="continuationSeparator" w:id="0">
    <w:p w14:paraId="79153535" w14:textId="77777777" w:rsidR="00860AC0" w:rsidRDefault="00860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auto"/>
    <w:pitch w:val="variable"/>
    <w:sig w:usb0="E0002AE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FC0F" w14:textId="034429EA" w:rsidR="00E759F3" w:rsidRDefault="00E759F3">
    <w:pPr>
      <w:pStyle w:val="Footer"/>
      <w:jc w:val="center"/>
    </w:pPr>
  </w:p>
  <w:p w14:paraId="4D61CFB2" w14:textId="77777777" w:rsidR="00E759F3" w:rsidRDefault="00E759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9C983" w14:textId="77777777" w:rsidR="00860AC0" w:rsidRDefault="00860AC0">
      <w:pPr>
        <w:spacing w:after="0" w:line="240" w:lineRule="auto"/>
      </w:pPr>
      <w:r>
        <w:separator/>
      </w:r>
    </w:p>
  </w:footnote>
  <w:footnote w:type="continuationSeparator" w:id="0">
    <w:p w14:paraId="5F8D3A61" w14:textId="77777777" w:rsidR="00860AC0" w:rsidRDefault="00860A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0553239"/>
      <w:docPartObj>
        <w:docPartGallery w:val="Page Numbers (Top of Page)"/>
        <w:docPartUnique/>
      </w:docPartObj>
    </w:sdtPr>
    <w:sdtEndPr>
      <w:rPr>
        <w:rFonts w:ascii="Times New Roman" w:hAnsi="Times New Roman"/>
        <w:noProof/>
        <w:sz w:val="28"/>
        <w:szCs w:val="28"/>
      </w:rPr>
    </w:sdtEndPr>
    <w:sdtContent>
      <w:p w14:paraId="5BC6BDC1" w14:textId="21127E22" w:rsidR="00E759F3" w:rsidRPr="009C3176" w:rsidRDefault="009C3176" w:rsidP="009C3176">
        <w:pPr>
          <w:pStyle w:val="Header"/>
          <w:jc w:val="center"/>
          <w:rPr>
            <w:rFonts w:ascii="Times New Roman" w:hAnsi="Times New Roman"/>
            <w:sz w:val="28"/>
            <w:szCs w:val="28"/>
          </w:rPr>
        </w:pPr>
        <w:r w:rsidRPr="009C3176">
          <w:rPr>
            <w:rFonts w:ascii="Times New Roman" w:hAnsi="Times New Roman"/>
            <w:sz w:val="28"/>
            <w:szCs w:val="28"/>
          </w:rPr>
          <w:fldChar w:fldCharType="begin"/>
        </w:r>
        <w:r w:rsidRPr="009C3176">
          <w:rPr>
            <w:rFonts w:ascii="Times New Roman" w:hAnsi="Times New Roman"/>
            <w:sz w:val="28"/>
            <w:szCs w:val="28"/>
          </w:rPr>
          <w:instrText xml:space="preserve"> PAGE   \* MERGEFORMAT </w:instrText>
        </w:r>
        <w:r w:rsidRPr="009C3176">
          <w:rPr>
            <w:rFonts w:ascii="Times New Roman" w:hAnsi="Times New Roman"/>
            <w:sz w:val="28"/>
            <w:szCs w:val="28"/>
          </w:rPr>
          <w:fldChar w:fldCharType="separate"/>
        </w:r>
        <w:r w:rsidR="00A8403A">
          <w:rPr>
            <w:rFonts w:ascii="Times New Roman" w:hAnsi="Times New Roman"/>
            <w:noProof/>
            <w:sz w:val="28"/>
            <w:szCs w:val="28"/>
          </w:rPr>
          <w:t>4</w:t>
        </w:r>
        <w:r w:rsidRPr="009C3176">
          <w:rPr>
            <w:rFonts w:ascii="Times New Roman" w:hAnsi="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A194D"/>
    <w:multiLevelType w:val="hybridMultilevel"/>
    <w:tmpl w:val="8920F02C"/>
    <w:lvl w:ilvl="0" w:tplc="881C1A8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5927E42"/>
    <w:multiLevelType w:val="hybridMultilevel"/>
    <w:tmpl w:val="7A9070A6"/>
    <w:lvl w:ilvl="0" w:tplc="5FCA41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D7172F9"/>
    <w:multiLevelType w:val="hybridMultilevel"/>
    <w:tmpl w:val="086421E8"/>
    <w:lvl w:ilvl="0" w:tplc="36DCFA1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E95AEC"/>
    <w:multiLevelType w:val="hybridMultilevel"/>
    <w:tmpl w:val="91749D48"/>
    <w:lvl w:ilvl="0" w:tplc="F75C33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A9B0C66"/>
    <w:multiLevelType w:val="hybridMultilevel"/>
    <w:tmpl w:val="7DF0CC56"/>
    <w:lvl w:ilvl="0" w:tplc="599891CA">
      <w:start w:val="1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22551DF"/>
    <w:multiLevelType w:val="hybridMultilevel"/>
    <w:tmpl w:val="A830EB5C"/>
    <w:lvl w:ilvl="0" w:tplc="AFC821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D255A87"/>
    <w:multiLevelType w:val="hybridMultilevel"/>
    <w:tmpl w:val="83C23C96"/>
    <w:lvl w:ilvl="0" w:tplc="CFD828A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F8E4357"/>
    <w:multiLevelType w:val="hybridMultilevel"/>
    <w:tmpl w:val="4D7C2162"/>
    <w:lvl w:ilvl="0" w:tplc="690685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5"/>
  </w:num>
  <w:num w:numId="3">
    <w:abstractNumId w:val="1"/>
  </w:num>
  <w:num w:numId="4">
    <w:abstractNumId w:val="3"/>
  </w:num>
  <w:num w:numId="5">
    <w:abstractNumId w:val="6"/>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9F3"/>
    <w:rsid w:val="000014F6"/>
    <w:rsid w:val="00046605"/>
    <w:rsid w:val="000527C9"/>
    <w:rsid w:val="000C283A"/>
    <w:rsid w:val="000D6AC9"/>
    <w:rsid w:val="000F1F9C"/>
    <w:rsid w:val="00111A79"/>
    <w:rsid w:val="0013331B"/>
    <w:rsid w:val="00146146"/>
    <w:rsid w:val="0016728A"/>
    <w:rsid w:val="00172CE3"/>
    <w:rsid w:val="00174800"/>
    <w:rsid w:val="001C3E0F"/>
    <w:rsid w:val="001C4AF8"/>
    <w:rsid w:val="001F49AA"/>
    <w:rsid w:val="00207FB3"/>
    <w:rsid w:val="002158DE"/>
    <w:rsid w:val="00225C91"/>
    <w:rsid w:val="00230DB0"/>
    <w:rsid w:val="002424E0"/>
    <w:rsid w:val="00242D4D"/>
    <w:rsid w:val="002574C0"/>
    <w:rsid w:val="00264D88"/>
    <w:rsid w:val="00273B16"/>
    <w:rsid w:val="002A6F90"/>
    <w:rsid w:val="002C667A"/>
    <w:rsid w:val="002D3CAF"/>
    <w:rsid w:val="00303B15"/>
    <w:rsid w:val="00305CA9"/>
    <w:rsid w:val="00355A50"/>
    <w:rsid w:val="00370502"/>
    <w:rsid w:val="00377E81"/>
    <w:rsid w:val="00380374"/>
    <w:rsid w:val="003B0A21"/>
    <w:rsid w:val="003C6967"/>
    <w:rsid w:val="003D2DB5"/>
    <w:rsid w:val="003F1905"/>
    <w:rsid w:val="004763A2"/>
    <w:rsid w:val="0048243C"/>
    <w:rsid w:val="004A5EA4"/>
    <w:rsid w:val="004A6981"/>
    <w:rsid w:val="004B178A"/>
    <w:rsid w:val="004B4365"/>
    <w:rsid w:val="004D5768"/>
    <w:rsid w:val="004E09D2"/>
    <w:rsid w:val="00521217"/>
    <w:rsid w:val="00522195"/>
    <w:rsid w:val="00542D87"/>
    <w:rsid w:val="00575F3B"/>
    <w:rsid w:val="00576B49"/>
    <w:rsid w:val="005771E6"/>
    <w:rsid w:val="005B5375"/>
    <w:rsid w:val="005B6C56"/>
    <w:rsid w:val="005D25C3"/>
    <w:rsid w:val="005D29D7"/>
    <w:rsid w:val="005E7062"/>
    <w:rsid w:val="00605E03"/>
    <w:rsid w:val="00661716"/>
    <w:rsid w:val="00663521"/>
    <w:rsid w:val="006823FF"/>
    <w:rsid w:val="006827A6"/>
    <w:rsid w:val="006A0388"/>
    <w:rsid w:val="006A5F5B"/>
    <w:rsid w:val="006B22BC"/>
    <w:rsid w:val="006B3D04"/>
    <w:rsid w:val="006E2DD5"/>
    <w:rsid w:val="006F6780"/>
    <w:rsid w:val="00704126"/>
    <w:rsid w:val="00721832"/>
    <w:rsid w:val="0073542D"/>
    <w:rsid w:val="00746CBE"/>
    <w:rsid w:val="007500D7"/>
    <w:rsid w:val="00752ACE"/>
    <w:rsid w:val="00757C04"/>
    <w:rsid w:val="007624FD"/>
    <w:rsid w:val="007657B6"/>
    <w:rsid w:val="00771B52"/>
    <w:rsid w:val="007862AE"/>
    <w:rsid w:val="00790ACF"/>
    <w:rsid w:val="007C1ACC"/>
    <w:rsid w:val="008320EB"/>
    <w:rsid w:val="00860AC0"/>
    <w:rsid w:val="0087005E"/>
    <w:rsid w:val="008B4171"/>
    <w:rsid w:val="008B4D24"/>
    <w:rsid w:val="008D2A09"/>
    <w:rsid w:val="008E01CC"/>
    <w:rsid w:val="00903101"/>
    <w:rsid w:val="00950291"/>
    <w:rsid w:val="00962855"/>
    <w:rsid w:val="00970F1B"/>
    <w:rsid w:val="00976065"/>
    <w:rsid w:val="00976C83"/>
    <w:rsid w:val="009A2D01"/>
    <w:rsid w:val="009B05E0"/>
    <w:rsid w:val="009C0733"/>
    <w:rsid w:val="009C0A3B"/>
    <w:rsid w:val="009C3176"/>
    <w:rsid w:val="009F3A50"/>
    <w:rsid w:val="009F498B"/>
    <w:rsid w:val="009F64D2"/>
    <w:rsid w:val="009F77AD"/>
    <w:rsid w:val="00A12D8B"/>
    <w:rsid w:val="00A157FC"/>
    <w:rsid w:val="00A40EE7"/>
    <w:rsid w:val="00A53ED8"/>
    <w:rsid w:val="00A612A7"/>
    <w:rsid w:val="00A80852"/>
    <w:rsid w:val="00A8403A"/>
    <w:rsid w:val="00A84D6F"/>
    <w:rsid w:val="00A8785E"/>
    <w:rsid w:val="00A97815"/>
    <w:rsid w:val="00AA5FF4"/>
    <w:rsid w:val="00AC54F3"/>
    <w:rsid w:val="00AD15C6"/>
    <w:rsid w:val="00B057FE"/>
    <w:rsid w:val="00B05A08"/>
    <w:rsid w:val="00B1092F"/>
    <w:rsid w:val="00B12016"/>
    <w:rsid w:val="00B534FA"/>
    <w:rsid w:val="00B81B30"/>
    <w:rsid w:val="00B937DC"/>
    <w:rsid w:val="00BA42A1"/>
    <w:rsid w:val="00BC0856"/>
    <w:rsid w:val="00C44FF9"/>
    <w:rsid w:val="00C7179F"/>
    <w:rsid w:val="00CE1DBB"/>
    <w:rsid w:val="00D04332"/>
    <w:rsid w:val="00D73D53"/>
    <w:rsid w:val="00DB022A"/>
    <w:rsid w:val="00DB6382"/>
    <w:rsid w:val="00DC1E6C"/>
    <w:rsid w:val="00DC688D"/>
    <w:rsid w:val="00DD4D58"/>
    <w:rsid w:val="00E1526C"/>
    <w:rsid w:val="00E276BA"/>
    <w:rsid w:val="00E31374"/>
    <w:rsid w:val="00E415C0"/>
    <w:rsid w:val="00E45A13"/>
    <w:rsid w:val="00E560DF"/>
    <w:rsid w:val="00E5639C"/>
    <w:rsid w:val="00E57868"/>
    <w:rsid w:val="00E641C1"/>
    <w:rsid w:val="00E759F3"/>
    <w:rsid w:val="00E76ECA"/>
    <w:rsid w:val="00EA00A9"/>
    <w:rsid w:val="00EA1028"/>
    <w:rsid w:val="00EC1F5D"/>
    <w:rsid w:val="00ED1BFC"/>
    <w:rsid w:val="00F047BB"/>
    <w:rsid w:val="00F12B6C"/>
    <w:rsid w:val="00F26D18"/>
    <w:rsid w:val="00F31285"/>
    <w:rsid w:val="00F370EC"/>
    <w:rsid w:val="00F47FC1"/>
    <w:rsid w:val="00F65829"/>
    <w:rsid w:val="00FA15DB"/>
    <w:rsid w:val="00FE5A2C"/>
    <w:rsid w:val="00FF6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B5812A"/>
  <w15:chartTrackingRefBased/>
  <w15:docId w15:val="{17B927A0-CF60-462C-9FE6-049772155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nhideWhenUsed/>
    <w:qFormat/>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customStyle="1" w:styleId="CharCharCharCharCharCharCharCharChar1Char">
    <w:name w:val="Char Char Char Char Char Char Char Char Char1 Char"/>
    <w:basedOn w:val="Normal"/>
    <w:next w:val="Normal"/>
    <w:autoRedefine/>
    <w:semiHidden/>
    <w:pPr>
      <w:spacing w:before="120" w:after="120" w:line="312" w:lineRule="auto"/>
    </w:pPr>
    <w:rPr>
      <w:rFonts w:ascii="Times New Roman" w:eastAsia="Times New Roman" w:hAnsi="Times New Roman"/>
      <w:sz w:val="28"/>
      <w:szCs w:val="28"/>
    </w:rPr>
  </w:style>
  <w:style w:type="character" w:customStyle="1" w:styleId="Heading2Char">
    <w:name w:val="Heading 2 Char"/>
    <w:link w:val="Heading2"/>
    <w:rPr>
      <w:rFonts w:ascii="Cambria" w:eastAsia="Times New Roman" w:hAnsi="Cambria"/>
      <w:b/>
      <w:bCs/>
      <w:i/>
      <w:iCs/>
      <w:sz w:val="28"/>
      <w:szCs w:val="28"/>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2"/>
      <w:szCs w:val="22"/>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2"/>
      <w:szCs w:val="22"/>
    </w:rPr>
  </w:style>
  <w:style w:type="paragraph" w:styleId="NormalWeb">
    <w:name w:val="Normal (Web)"/>
    <w:basedOn w:val="Normal"/>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pPr>
      <w:spacing w:after="0" w:line="240" w:lineRule="auto"/>
      <w:jc w:val="center"/>
    </w:pPr>
    <w:rPr>
      <w:rFonts w:ascii="Times New Roman" w:eastAsia="Times New Roman" w:hAnsi="Times New Roman"/>
      <w:sz w:val="26"/>
      <w:szCs w:val="32"/>
    </w:rPr>
  </w:style>
  <w:style w:type="character" w:customStyle="1" w:styleId="BodyText2Char">
    <w:name w:val="Body Text 2 Char"/>
    <w:basedOn w:val="DefaultParagraphFont"/>
    <w:link w:val="BodyText2"/>
    <w:rPr>
      <w:rFonts w:ascii="Times New Roman" w:eastAsia="Times New Roman" w:hAnsi="Times New Roman"/>
      <w:sz w:val="26"/>
      <w:szCs w:val="32"/>
    </w:rPr>
  </w:style>
  <w:style w:type="character" w:customStyle="1" w:styleId="Tiu1">
    <w:name w:val="Tiêu đề #1_"/>
    <w:basedOn w:val="DefaultParagraphFont"/>
    <w:link w:val="Tiu10"/>
    <w:rPr>
      <w:rFonts w:ascii="Times New Roman" w:eastAsia="Times New Roman" w:hAnsi="Times New Roman"/>
      <w:b/>
      <w:bCs/>
      <w:sz w:val="26"/>
      <w:szCs w:val="26"/>
    </w:rPr>
  </w:style>
  <w:style w:type="paragraph" w:customStyle="1" w:styleId="Tiu10">
    <w:name w:val="Tiêu đề #1"/>
    <w:basedOn w:val="Normal"/>
    <w:link w:val="Tiu1"/>
    <w:pPr>
      <w:widowControl w:val="0"/>
      <w:spacing w:after="60" w:line="259" w:lineRule="auto"/>
      <w:ind w:firstLine="700"/>
      <w:outlineLvl w:val="0"/>
    </w:pPr>
    <w:rPr>
      <w:rFonts w:ascii="Times New Roman" w:eastAsia="Times New Roman" w:hAnsi="Times New Roman"/>
      <w:b/>
      <w:bCs/>
      <w:sz w:val="26"/>
      <w:szCs w:val="26"/>
    </w:rPr>
  </w:style>
  <w:style w:type="character" w:customStyle="1" w:styleId="fontstyle01">
    <w:name w:val="fontstyle01"/>
    <w:qFormat/>
    <w:rsid w:val="00E76ECA"/>
    <w:rPr>
      <w:rFonts w:ascii="TimesNewRomanPSMT" w:hAnsi="TimesNewRomanPSMT" w:hint="default"/>
      <w:b w:val="0"/>
      <w:bCs w:val="0"/>
      <w:i w:val="0"/>
      <w:iCs w:val="0"/>
      <w:color w:val="000000"/>
      <w:sz w:val="28"/>
      <w:szCs w:val="28"/>
    </w:rPr>
  </w:style>
  <w:style w:type="character" w:styleId="Hyperlink">
    <w:name w:val="Hyperlink"/>
    <w:basedOn w:val="DefaultParagraphFont"/>
    <w:uiPriority w:val="99"/>
    <w:unhideWhenUsed/>
    <w:rsid w:val="009C3176"/>
    <w:rPr>
      <w:color w:val="0563C1" w:themeColor="hyperlink"/>
      <w:u w:val="single"/>
    </w:rPr>
  </w:style>
  <w:style w:type="character" w:customStyle="1" w:styleId="UnresolvedMention1">
    <w:name w:val="Unresolved Mention1"/>
    <w:basedOn w:val="DefaultParagraphFont"/>
    <w:uiPriority w:val="99"/>
    <w:semiHidden/>
    <w:unhideWhenUsed/>
    <w:rsid w:val="009C3176"/>
    <w:rPr>
      <w:color w:val="605E5C"/>
      <w:shd w:val="clear" w:color="auto" w:fill="E1DFDD"/>
    </w:rPr>
  </w:style>
  <w:style w:type="character" w:styleId="FollowedHyperlink">
    <w:name w:val="FollowedHyperlink"/>
    <w:basedOn w:val="DefaultParagraphFont"/>
    <w:uiPriority w:val="99"/>
    <w:semiHidden/>
    <w:unhideWhenUsed/>
    <w:rsid w:val="009C3176"/>
    <w:rPr>
      <w:color w:val="954F72" w:themeColor="followedHyperlink"/>
      <w:u w:val="single"/>
    </w:rPr>
  </w:style>
  <w:style w:type="paragraph" w:styleId="FootnoteText">
    <w:name w:val="footnote text"/>
    <w:basedOn w:val="Normal"/>
    <w:link w:val="FootnoteTextChar"/>
    <w:uiPriority w:val="99"/>
    <w:semiHidden/>
    <w:unhideWhenUsed/>
    <w:rsid w:val="002A6F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6F90"/>
  </w:style>
  <w:style w:type="character" w:styleId="FootnoteReference">
    <w:name w:val="footnote reference"/>
    <w:basedOn w:val="DefaultParagraphFont"/>
    <w:uiPriority w:val="99"/>
    <w:semiHidden/>
    <w:unhideWhenUsed/>
    <w:rsid w:val="002A6F90"/>
    <w:rPr>
      <w:vertAlign w:val="superscript"/>
    </w:rPr>
  </w:style>
  <w:style w:type="table" w:customStyle="1" w:styleId="TableGrid1">
    <w:name w:val="Table Grid1"/>
    <w:basedOn w:val="TableNormal"/>
    <w:next w:val="TableGrid"/>
    <w:uiPriority w:val="59"/>
    <w:qFormat/>
    <w:rsid w:val="00E5639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8785E"/>
    <w:pPr>
      <w:spacing w:after="120"/>
    </w:pPr>
  </w:style>
  <w:style w:type="character" w:customStyle="1" w:styleId="BodyTextChar">
    <w:name w:val="Body Text Char"/>
    <w:basedOn w:val="DefaultParagraphFont"/>
    <w:link w:val="BodyText"/>
    <w:uiPriority w:val="99"/>
    <w:semiHidden/>
    <w:rsid w:val="00A8785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7758">
      <w:bodyDiv w:val="1"/>
      <w:marLeft w:val="0"/>
      <w:marRight w:val="0"/>
      <w:marTop w:val="0"/>
      <w:marBottom w:val="0"/>
      <w:divBdr>
        <w:top w:val="none" w:sz="0" w:space="0" w:color="auto"/>
        <w:left w:val="none" w:sz="0" w:space="0" w:color="auto"/>
        <w:bottom w:val="none" w:sz="0" w:space="0" w:color="auto"/>
        <w:right w:val="none" w:sz="0" w:space="0" w:color="auto"/>
      </w:divBdr>
    </w:div>
    <w:div w:id="42222610">
      <w:bodyDiv w:val="1"/>
      <w:marLeft w:val="0"/>
      <w:marRight w:val="0"/>
      <w:marTop w:val="0"/>
      <w:marBottom w:val="0"/>
      <w:divBdr>
        <w:top w:val="none" w:sz="0" w:space="0" w:color="auto"/>
        <w:left w:val="none" w:sz="0" w:space="0" w:color="auto"/>
        <w:bottom w:val="none" w:sz="0" w:space="0" w:color="auto"/>
        <w:right w:val="none" w:sz="0" w:space="0" w:color="auto"/>
      </w:divBdr>
    </w:div>
    <w:div w:id="484474654">
      <w:bodyDiv w:val="1"/>
      <w:marLeft w:val="0"/>
      <w:marRight w:val="0"/>
      <w:marTop w:val="0"/>
      <w:marBottom w:val="0"/>
      <w:divBdr>
        <w:top w:val="none" w:sz="0" w:space="0" w:color="auto"/>
        <w:left w:val="none" w:sz="0" w:space="0" w:color="auto"/>
        <w:bottom w:val="none" w:sz="0" w:space="0" w:color="auto"/>
        <w:right w:val="none" w:sz="0" w:space="0" w:color="auto"/>
      </w:divBdr>
    </w:div>
    <w:div w:id="1401518580">
      <w:bodyDiv w:val="1"/>
      <w:marLeft w:val="0"/>
      <w:marRight w:val="0"/>
      <w:marTop w:val="0"/>
      <w:marBottom w:val="0"/>
      <w:divBdr>
        <w:top w:val="none" w:sz="0" w:space="0" w:color="auto"/>
        <w:left w:val="none" w:sz="0" w:space="0" w:color="auto"/>
        <w:bottom w:val="none" w:sz="0" w:space="0" w:color="auto"/>
        <w:right w:val="none" w:sz="0" w:space="0" w:color="auto"/>
      </w:divBdr>
    </w:div>
    <w:div w:id="163652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16B1A-AE27-4BB9-B85B-F9900C751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746</Words>
  <Characters>4256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UBND THÀNH PHỐ HẢI PHÒNG</vt:lpstr>
    </vt:vector>
  </TitlesOfParts>
  <Company>BVNHIQN-Ly Quoc Thai</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THÀNH PHỐ HẢI PHÒNG</dc:title>
  <dc:subject/>
  <dc:creator>Root</dc:creator>
  <cp:keywords/>
  <cp:lastModifiedBy>1</cp:lastModifiedBy>
  <cp:revision>3</cp:revision>
  <cp:lastPrinted>2026-05-05T08:46:00Z</cp:lastPrinted>
  <dcterms:created xsi:type="dcterms:W3CDTF">2026-05-08T09:54:00Z</dcterms:created>
  <dcterms:modified xsi:type="dcterms:W3CDTF">2026-05-08T09:56:00Z</dcterms:modified>
</cp:coreProperties>
</file>