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D3" w:rsidRPr="006D6AD3" w:rsidRDefault="006D6AD3" w:rsidP="00C019DB">
      <w:pPr>
        <w:shd w:val="clear" w:color="auto" w:fill="FFFFFF"/>
        <w:spacing w:after="0" w:line="765" w:lineRule="atLeast"/>
        <w:ind w:firstLine="720"/>
        <w:jc w:val="both"/>
        <w:outlineLvl w:val="0"/>
        <w:rPr>
          <w:rFonts w:ascii="Times New Roman" w:eastAsia="Times New Roman" w:hAnsi="Times New Roman" w:cs="Times New Roman"/>
          <w:b/>
          <w:bCs/>
          <w:color w:val="1B1D2D"/>
          <w:kern w:val="36"/>
          <w:sz w:val="28"/>
          <w:szCs w:val="28"/>
        </w:rPr>
      </w:pPr>
      <w:r w:rsidRPr="006D6AD3">
        <w:rPr>
          <w:rFonts w:ascii="Times New Roman" w:eastAsia="Times New Roman" w:hAnsi="Times New Roman" w:cs="Times New Roman"/>
          <w:b/>
          <w:bCs/>
          <w:color w:val="1B1D2D"/>
          <w:kern w:val="36"/>
          <w:sz w:val="28"/>
          <w:szCs w:val="28"/>
        </w:rPr>
        <w:t>Quy định mới về thẩm quyền xử phạt vi phạm hành chính</w:t>
      </w:r>
    </w:p>
    <w:p w:rsidR="00665EF7" w:rsidRPr="002375F7" w:rsidRDefault="006D6AD3" w:rsidP="00C019DB">
      <w:pPr>
        <w:pStyle w:val="NormalWeb"/>
        <w:shd w:val="clear" w:color="auto" w:fill="FFFFFF"/>
        <w:spacing w:before="0" w:beforeAutospacing="0" w:after="0" w:afterAutospacing="0" w:line="450" w:lineRule="atLeast"/>
        <w:ind w:firstLine="720"/>
        <w:jc w:val="both"/>
        <w:rPr>
          <w:b/>
          <w:color w:val="333333"/>
          <w:sz w:val="28"/>
          <w:szCs w:val="28"/>
        </w:rPr>
      </w:pPr>
      <w:r w:rsidRPr="00C019DB">
        <w:rPr>
          <w:b/>
          <w:bCs/>
          <w:color w:val="555555"/>
          <w:sz w:val="28"/>
          <w:szCs w:val="28"/>
          <w:lang w:val="vi-VN"/>
        </w:rPr>
        <w:t>C</w:t>
      </w:r>
      <w:r w:rsidRPr="00C019DB">
        <w:rPr>
          <w:b/>
          <w:bCs/>
          <w:color w:val="555555"/>
          <w:sz w:val="28"/>
          <w:szCs w:val="28"/>
        </w:rPr>
        <w:t>hính phủ ban hành Nghị định số </w:t>
      </w:r>
      <w:hyperlink r:id="rId4" w:history="1">
        <w:r w:rsidRPr="00C019DB">
          <w:rPr>
            <w:rStyle w:val="Hyperlink"/>
            <w:b/>
            <w:bCs/>
            <w:color w:val="333333"/>
            <w:sz w:val="28"/>
            <w:szCs w:val="28"/>
            <w:u w:val="none"/>
          </w:rPr>
          <w:t>189/2025/NĐ-CP</w:t>
        </w:r>
      </w:hyperlink>
      <w:r w:rsidRPr="00C019DB">
        <w:rPr>
          <w:b/>
          <w:bCs/>
          <w:color w:val="555555"/>
          <w:sz w:val="28"/>
          <w:szCs w:val="28"/>
        </w:rPr>
        <w:t> quy định chi tiết Luật Xử lý vi phạm hành chính về thẩm q</w:t>
      </w:r>
      <w:r w:rsidR="00665EF7" w:rsidRPr="00C019DB">
        <w:rPr>
          <w:b/>
          <w:bCs/>
          <w:color w:val="555555"/>
          <w:sz w:val="28"/>
          <w:szCs w:val="28"/>
        </w:rPr>
        <w:t>uyền xử phạt vi phạm hành chính</w:t>
      </w:r>
      <w:r w:rsidR="00665EF7" w:rsidRPr="00C019DB">
        <w:rPr>
          <w:b/>
          <w:bCs/>
          <w:color w:val="555555"/>
          <w:sz w:val="28"/>
          <w:szCs w:val="28"/>
          <w:lang w:val="vi-VN"/>
        </w:rPr>
        <w:t xml:space="preserve">; </w:t>
      </w:r>
      <w:r w:rsidR="00665EF7" w:rsidRPr="002375F7">
        <w:rPr>
          <w:b/>
          <w:color w:val="333333"/>
          <w:sz w:val="28"/>
          <w:szCs w:val="28"/>
        </w:rPr>
        <w:t xml:space="preserve">Nghị định có hiệu lực từ ngày </w:t>
      </w:r>
      <w:r w:rsidR="00A17563">
        <w:rPr>
          <w:b/>
          <w:color w:val="333333"/>
          <w:sz w:val="28"/>
          <w:szCs w:val="28"/>
          <w:lang w:val="vi-VN"/>
        </w:rPr>
        <w:t>0</w:t>
      </w:r>
      <w:r w:rsidR="00665EF7" w:rsidRPr="002375F7">
        <w:rPr>
          <w:b/>
          <w:color w:val="333333"/>
          <w:sz w:val="28"/>
          <w:szCs w:val="28"/>
        </w:rPr>
        <w:t>1/7/2025.</w:t>
      </w:r>
    </w:p>
    <w:p w:rsidR="006D6AD3" w:rsidRPr="00C019DB" w:rsidRDefault="006D6AD3" w:rsidP="00C019DB">
      <w:pPr>
        <w:pStyle w:val="Heading2"/>
        <w:shd w:val="clear" w:color="auto" w:fill="FFFFFF"/>
        <w:spacing w:before="0" w:line="345" w:lineRule="atLeast"/>
        <w:ind w:firstLine="720"/>
        <w:jc w:val="both"/>
        <w:rPr>
          <w:rFonts w:ascii="Times New Roman" w:hAnsi="Times New Roman" w:cs="Times New Roman"/>
          <w:b/>
          <w:bCs/>
          <w:color w:val="555555"/>
          <w:sz w:val="28"/>
          <w:szCs w:val="28"/>
          <w:lang w:val="vi-VN"/>
        </w:rPr>
      </w:pP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color w:val="333333"/>
          <w:sz w:val="28"/>
          <w:szCs w:val="28"/>
        </w:rPr>
        <w:t>Trong đó, Nghị định quy định rõ thẩm quyền xử phạt vi phạm hành chính của: Chủ tịch UBND, Thủ trưởng cơ quan thực hiện nhiệm vụ quản lý nhà nước theo chuyên ngành, lĩnh vực và một số chức danh khác; Thanh tra; Công an nhân dân; Bộ đội Biên phòng; Cảnh sát biển; Hải quan; Quản lý thị trường; cơ quan thuế; Kiểm lâm; Kiểm ngư; cơ quan thi hành án dân sự;...</w:t>
      </w:r>
    </w:p>
    <w:p w:rsidR="00665EF7" w:rsidRPr="009B491A" w:rsidRDefault="009B491A" w:rsidP="00C019DB">
      <w:pPr>
        <w:pStyle w:val="Heading3"/>
        <w:shd w:val="clear" w:color="auto" w:fill="FFFFFF"/>
        <w:spacing w:before="0"/>
        <w:ind w:firstLine="720"/>
        <w:jc w:val="both"/>
        <w:rPr>
          <w:rFonts w:ascii="Times New Roman" w:hAnsi="Times New Roman" w:cs="Times New Roman"/>
          <w:b/>
          <w:color w:val="333333"/>
          <w:sz w:val="28"/>
          <w:szCs w:val="28"/>
          <w:lang w:val="vi-VN"/>
        </w:rPr>
      </w:pPr>
      <w:r w:rsidRPr="009B491A">
        <w:rPr>
          <w:rFonts w:ascii="Times New Roman" w:hAnsi="Times New Roman" w:cs="Times New Roman"/>
          <w:b/>
          <w:color w:val="333333"/>
          <w:sz w:val="28"/>
          <w:szCs w:val="28"/>
          <w:lang w:val="vi-VN"/>
        </w:rPr>
        <w:t xml:space="preserve">1. </w:t>
      </w:r>
      <w:r w:rsidR="00665EF7" w:rsidRPr="009B491A">
        <w:rPr>
          <w:rFonts w:ascii="Times New Roman" w:hAnsi="Times New Roman" w:cs="Times New Roman"/>
          <w:b/>
          <w:color w:val="333333"/>
          <w:sz w:val="28"/>
          <w:szCs w:val="28"/>
        </w:rPr>
        <w:t xml:space="preserve">Thẩm quyền của Chủ tịch </w:t>
      </w:r>
      <w:r>
        <w:rPr>
          <w:rFonts w:ascii="Times New Roman" w:hAnsi="Times New Roman" w:cs="Times New Roman"/>
          <w:b/>
          <w:color w:val="333333"/>
          <w:sz w:val="28"/>
          <w:szCs w:val="28"/>
          <w:lang w:val="vi-VN"/>
        </w:rPr>
        <w:t>Ủy ban n</w:t>
      </w:r>
      <w:bookmarkStart w:id="0" w:name="_GoBack"/>
      <w:bookmarkEnd w:id="0"/>
      <w:r>
        <w:rPr>
          <w:rFonts w:ascii="Times New Roman" w:hAnsi="Times New Roman" w:cs="Times New Roman"/>
          <w:b/>
          <w:color w:val="333333"/>
          <w:sz w:val="28"/>
          <w:szCs w:val="28"/>
          <w:lang w:val="vi-VN"/>
        </w:rPr>
        <w:t xml:space="preserve">hân dân </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color w:val="333333"/>
          <w:sz w:val="28"/>
          <w:szCs w:val="28"/>
        </w:rPr>
        <w:t>Theo quy định, </w:t>
      </w:r>
      <w:r w:rsidRPr="00A17563">
        <w:rPr>
          <w:b/>
          <w:bCs/>
          <w:i/>
          <w:iCs/>
          <w:color w:val="333333"/>
          <w:sz w:val="28"/>
          <w:szCs w:val="28"/>
        </w:rPr>
        <w:t>Chủ tịch UBND xã, phường, đặc khu (cấp xã) có quyền</w:t>
      </w:r>
      <w:r w:rsidRPr="00C019DB">
        <w:rPr>
          <w:color w:val="333333"/>
          <w:sz w:val="28"/>
          <w:szCs w:val="28"/>
        </w:rPr>
        <w:t>: Phạt cảnh cáo; phạt tiền đến 50% mức tiền phạt tối đa đối với lĩnh vực tương ứng quy định tại Điều 24 của </w:t>
      </w:r>
      <w:hyperlink r:id="rId5" w:tgtFrame="_blank" w:tooltip="Luật Xử lý vi phạm hành chính" w:history="1">
        <w:r w:rsidRPr="00E31672">
          <w:rPr>
            <w:rStyle w:val="Hyperlink"/>
            <w:rFonts w:eastAsiaTheme="majorEastAsia"/>
            <w:color w:val="000000" w:themeColor="text1"/>
            <w:sz w:val="28"/>
            <w:szCs w:val="28"/>
            <w:u w:val="none"/>
          </w:rPr>
          <w:t>Luật Xử lý vi phạm hành chính</w:t>
        </w:r>
      </w:hyperlink>
      <w:r w:rsidRPr="00E31672">
        <w:rPr>
          <w:color w:val="000000" w:themeColor="text1"/>
          <w:sz w:val="28"/>
          <w:szCs w:val="28"/>
        </w:rPr>
        <w:t>;</w:t>
      </w:r>
      <w:r w:rsidRPr="00C019DB">
        <w:rPr>
          <w:color w:val="333333"/>
          <w:sz w:val="28"/>
          <w:szCs w:val="28"/>
        </w:rPr>
        <w:t xml:space="preserve"> tước quyền sử dụng giấy phép, chứng chỉ hành nghề có thời hạn hoặc đình chỉ hoạt động có thời hạn; tịch thu tang vật, phương tiện vi phạm hành chính và áp dụng biện pháp khắc phục hậu quả quy định tại khoản 1 Điều 28 của Luật Xử lý vi phạm hành chính.</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A17563">
        <w:rPr>
          <w:b/>
          <w:bCs/>
          <w:i/>
          <w:iCs/>
          <w:color w:val="333333"/>
          <w:sz w:val="28"/>
          <w:szCs w:val="28"/>
        </w:rPr>
        <w:t>Chủ tịch UBND tỉnh, thành phố (cấp tỉnh) có quyền</w:t>
      </w:r>
      <w:r w:rsidRPr="00D4625B">
        <w:rPr>
          <w:bCs/>
          <w:iCs/>
          <w:color w:val="333333"/>
          <w:sz w:val="28"/>
          <w:szCs w:val="28"/>
        </w:rPr>
        <w:t>:</w:t>
      </w:r>
      <w:r w:rsidRPr="00C019DB">
        <w:rPr>
          <w:b/>
          <w:bCs/>
          <w:i/>
          <w:iCs/>
          <w:color w:val="333333"/>
          <w:sz w:val="28"/>
          <w:szCs w:val="28"/>
        </w:rPr>
        <w:t> </w:t>
      </w:r>
      <w:r w:rsidRPr="00C019DB">
        <w:rPr>
          <w:color w:val="333333"/>
          <w:sz w:val="28"/>
          <w:szCs w:val="28"/>
        </w:rPr>
        <w:t>Phạt cảnh cáo; phạt tiền đến mức tối đa đối với lĩnh vực tương ứng quy định tại Điều 24 của Luật Xử lý vi phạm hành chính; tước quyền sử dụng giấy phép, chứng chỉ hành nghề có thời hạn hoặc đình chỉ hoạt động có thời hạn; tịch thu tang vật, phương tiện vi phạm hành chính; áp dụng biện pháp khắc phục hậu quả quy định tại khoản 1 Điều 28 của Luật Xử lý vi phạm hành chính.</w:t>
      </w:r>
    </w:p>
    <w:p w:rsidR="00665EF7" w:rsidRPr="00E619B9" w:rsidRDefault="00665EF7" w:rsidP="00C019DB">
      <w:pPr>
        <w:pStyle w:val="NormalWeb"/>
        <w:shd w:val="clear" w:color="auto" w:fill="FFFFFF"/>
        <w:spacing w:before="0" w:beforeAutospacing="0" w:after="0" w:afterAutospacing="0" w:line="450" w:lineRule="atLeast"/>
        <w:ind w:firstLine="720"/>
        <w:jc w:val="both"/>
        <w:rPr>
          <w:color w:val="333333"/>
          <w:spacing w:val="-4"/>
          <w:sz w:val="28"/>
          <w:szCs w:val="28"/>
        </w:rPr>
      </w:pPr>
      <w:r w:rsidRPr="00E619B9">
        <w:rPr>
          <w:b/>
          <w:bCs/>
          <w:i/>
          <w:iCs/>
          <w:color w:val="333333"/>
          <w:spacing w:val="-4"/>
          <w:sz w:val="28"/>
          <w:szCs w:val="28"/>
        </w:rPr>
        <w:t>Giám đốc sở có quyền: </w:t>
      </w:r>
      <w:r w:rsidRPr="00E619B9">
        <w:rPr>
          <w:color w:val="333333"/>
          <w:spacing w:val="-4"/>
          <w:sz w:val="28"/>
          <w:szCs w:val="28"/>
        </w:rPr>
        <w:t>Phạt cảnh cáo; phạt tiền đến 80% mức tiền phạt tối đa đối với lĩnh vực tương ứng quy định tại Điều 24 của Luật Xử lý vi phạm hành chính; tước quyền sử dụng giấy phép, chứng chỉ hành nghề có thời hạn hoặc đình chỉ hoạt động có thời hạn; tịch thu tang vật, phương tiện vi phạm hành chính; áp dụng biện pháp khắc phục hậu quả quy định tại khoản 1 Điều 28 của Luật Xử lý vi phạm hành chính.</w:t>
      </w:r>
    </w:p>
    <w:p w:rsidR="00665EF7" w:rsidRPr="00487C46" w:rsidRDefault="008A7968" w:rsidP="00C019DB">
      <w:pPr>
        <w:pStyle w:val="Heading3"/>
        <w:shd w:val="clear" w:color="auto" w:fill="FFFFFF"/>
        <w:spacing w:before="0"/>
        <w:ind w:firstLine="720"/>
        <w:jc w:val="both"/>
        <w:rPr>
          <w:rFonts w:ascii="Times New Roman" w:hAnsi="Times New Roman" w:cs="Times New Roman"/>
          <w:b/>
          <w:color w:val="333333"/>
          <w:sz w:val="28"/>
          <w:szCs w:val="28"/>
        </w:rPr>
      </w:pPr>
      <w:r w:rsidRPr="00487C46">
        <w:rPr>
          <w:rFonts w:ascii="Times New Roman" w:hAnsi="Times New Roman" w:cs="Times New Roman"/>
          <w:b/>
          <w:color w:val="333333"/>
          <w:sz w:val="28"/>
          <w:szCs w:val="28"/>
          <w:lang w:val="vi-VN"/>
        </w:rPr>
        <w:lastRenderedPageBreak/>
        <w:t xml:space="preserve">2. </w:t>
      </w:r>
      <w:r w:rsidR="00665EF7" w:rsidRPr="00487C46">
        <w:rPr>
          <w:rFonts w:ascii="Times New Roman" w:hAnsi="Times New Roman" w:cs="Times New Roman"/>
          <w:b/>
          <w:color w:val="333333"/>
          <w:sz w:val="28"/>
          <w:szCs w:val="28"/>
        </w:rPr>
        <w:t>Thẩm quyền của Công an nhân dân</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Chiến sĩ Công an nhân dân đang thi hành công vụ có quyền: </w:t>
      </w:r>
      <w:r w:rsidRPr="00C019DB">
        <w:rPr>
          <w:color w:val="333333"/>
          <w:sz w:val="28"/>
          <w:szCs w:val="28"/>
        </w:rPr>
        <w:t>Phạt cảnh cáo; phạt tiền đến 10% mức tiền phạt tối đa đối với lĩnh vực tương ứng quy định tại Điều 24 của Luật Xử lý vi phạm hành chính; tịch thu tang vật, phương tiện vi phạm hành chính có giá trị không vượt quá 02 lần mức tiền phạt được quy định ở trên.</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Thủ trưởng đơn vị Cảnh sát cơ động cấp đại đội có quyền:</w:t>
      </w:r>
      <w:r w:rsidRPr="00C019DB">
        <w:rPr>
          <w:color w:val="333333"/>
          <w:sz w:val="28"/>
          <w:szCs w:val="28"/>
        </w:rPr>
        <w:t> Phạt cảnh cáo; phạt tiền đến 20% mức tiền phạt tối đa đối với lĩnh vực tương ứng quy định tại Điều 24 của Luật Xử lý vi phạm hành chính; tịch thu tang vật, phương tiện vi phạm hành chính có giá trị không vượt quá 02 lần mức tiền phạt được quy định ở trên; áp dụng biện pháp khắc phục hậu quả quy định tại các điểm a, c, đ và e khoản 1 Điều 28 của Luật Xử lý vi phạm hành chính.</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Trưởng đồn Công an, Thủ trưởng đơn vị Cảnh sát cơ động cấp tiểu đoàn, Thủy đội trưởng, Trưởng trạm, Đội trưởng có quyền:</w:t>
      </w:r>
      <w:r w:rsidRPr="00C019DB">
        <w:rPr>
          <w:color w:val="333333"/>
          <w:sz w:val="28"/>
          <w:szCs w:val="28"/>
        </w:rPr>
        <w:t> Phạt cảnh cáo; phạt tiền đến 30% mức tiền phạt tối đa đối với lĩnh vực tương ứng quy định tại Điều 24 của Luật Xử lý vi phạm hành chính; tước quyền sử dụng giấy phép, chứng chỉ hành nghề có thời hạn hoặc đình chỉ hoạt động có thời hạn; tịch thu tang vật, phương tiện vi phạm hành chính có giá trị không vượt quá 02 lần mức tiền phạt được quy định ở trên; áp dụng biện pháp khắc phục hậu quả quy định tại các điểm a,c,đ và e khoản 1 Điều 28 của Luật Xử lý vi phạm hành chính.</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Trưởng Công an cấp xã có quyền:</w:t>
      </w:r>
      <w:r w:rsidRPr="00C019DB">
        <w:rPr>
          <w:color w:val="333333"/>
          <w:sz w:val="28"/>
          <w:szCs w:val="28"/>
        </w:rPr>
        <w:t> Phạt cảnh cáo; phạt tiền đến 50% mức tiền phạt tối đa đối với lĩnh vực tương ứng quy định tại Điều 24 của Luật Xử lý vi phạm hành chính; tước quyền sử dụng giấy phép, chứng chỉ hành nghề có thời hạn hoặc đình chỉ hoạt động có thời hạn; tịch thu tang vật, phương tiện vi phạm hành chính; áp dụng biện pháp khắc phục hậu quả quy định tại khoản 1 Điều 28 của Luật Xử lý vi phạm hành chính.</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Trưởng Công an cửa khẩu Cảng hàng không quốc tế; Trưởng phòng nghiệp vụ thuộc Cục An ninh nội địa có quyền:</w:t>
      </w:r>
      <w:r w:rsidRPr="00C019DB">
        <w:rPr>
          <w:color w:val="333333"/>
          <w:sz w:val="28"/>
          <w:szCs w:val="28"/>
        </w:rPr>
        <w:t> Phạt cảnh cáo; phạt tiền đến 80% mức tiền phạt tối đa đối với lĩnh vực tương ứng quy định tại Điều 24 của Luật Xử lý vi phạm hành chính; tước quyền sử dụng giấy phép, chứng chỉ hành nghề có thời hạn hoặc đình chỉ hoạt động có thời hạn; tịch thu tang vật, phương tiện vi phạm hành chính.</w:t>
      </w:r>
    </w:p>
    <w:p w:rsidR="00665EF7" w:rsidRPr="00C019DB" w:rsidRDefault="00665EF7" w:rsidP="00C019DB">
      <w:pPr>
        <w:pStyle w:val="Heading3"/>
        <w:shd w:val="clear" w:color="auto" w:fill="FFFFFF"/>
        <w:spacing w:before="0"/>
        <w:ind w:firstLine="720"/>
        <w:jc w:val="both"/>
        <w:rPr>
          <w:rFonts w:ascii="Times New Roman" w:hAnsi="Times New Roman" w:cs="Times New Roman"/>
          <w:color w:val="333333"/>
          <w:sz w:val="28"/>
          <w:szCs w:val="28"/>
        </w:rPr>
      </w:pPr>
      <w:r w:rsidRPr="00C019DB">
        <w:rPr>
          <w:rFonts w:ascii="Times New Roman" w:hAnsi="Times New Roman" w:cs="Times New Roman"/>
          <w:color w:val="333333"/>
          <w:sz w:val="28"/>
          <w:szCs w:val="28"/>
        </w:rPr>
        <w:lastRenderedPageBreak/>
        <w:t>Công an cấp tỉnh có quyền quyết định áp dụng hình thức xử phạt trục xuất</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Trưởng phòng Quản lý xuất nhập cảnh thuộc Công an cấp tỉnh </w:t>
      </w:r>
      <w:r w:rsidRPr="00C019DB">
        <w:rPr>
          <w:color w:val="333333"/>
          <w:sz w:val="28"/>
          <w:szCs w:val="28"/>
        </w:rPr>
        <w:t>có thẩm quyền xử phạt giống như Trưởng Công an cửa khẩu Cảng hàng không quốc tế; Trưởng phòng nghiệp vụ thuộc Cục An ninh nội địa và có quyền quyết định áp dụng hình thức xử phạt trục xuất.</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Giám đốc Công an cấp tỉnh có quyền</w:t>
      </w:r>
      <w:r w:rsidRPr="00C019DB">
        <w:rPr>
          <w:color w:val="333333"/>
          <w:sz w:val="28"/>
          <w:szCs w:val="28"/>
        </w:rPr>
        <w:t>: Phạt cảnh cáo; phạt tiền đến mức tối đa đối với lĩnh vực tương ứng quy định tại Điều 24 của Luật Xử lý vi phạm hành chính; tước quyền sử dụng giấy phép, chứng chỉ hành nghề có thời hạn hoặc đình chỉ hoạt động có thời hạn; tịch thu tang vật, phương tiện vi phạm hành chính; áp dụng hình thức xử phạt trục xuất; áp dụng biện pháp khắc phục hậu quả quy định tại khoản 1 Điều 28 của Luật Xử lý vi phạm hành chính.</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Cục trưởng Cục An ninh chính trị nội bộ, Cục trưởng Cục An ninh kinh tế, Chánh Văn phòng Cơ quan Cảnh sát điều tra Bộ Công an,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Giám đốc Trung tâm dữ liệu quốc gia có quyền</w:t>
      </w:r>
      <w:r w:rsidRPr="00C019DB">
        <w:rPr>
          <w:color w:val="333333"/>
          <w:sz w:val="28"/>
          <w:szCs w:val="28"/>
        </w:rPr>
        <w:t>: Phạt cảnh cáo; phạt tiền đến mức tối đa đối với lĩnh vực tương ứng quy định tại Điều 24 của Luật Xử lý vi phạm hành chính; tước quyền sử dụng giấy phép, chứng chỉ hành nghề có thời hạn hoặc đình chỉ hoạt động có thời hạn; tịch thu tang vật, phương tiện vi phạm hành chính.</w:t>
      </w:r>
    </w:p>
    <w:p w:rsidR="00665EF7" w:rsidRPr="00C019DB" w:rsidRDefault="00665EF7" w:rsidP="00C019DB">
      <w:pPr>
        <w:pStyle w:val="NormalWeb"/>
        <w:shd w:val="clear" w:color="auto" w:fill="FFFFFF"/>
        <w:spacing w:before="0" w:beforeAutospacing="0" w:after="0" w:afterAutospacing="0" w:line="450" w:lineRule="atLeast"/>
        <w:ind w:firstLine="720"/>
        <w:jc w:val="both"/>
        <w:rPr>
          <w:color w:val="333333"/>
          <w:sz w:val="28"/>
          <w:szCs w:val="28"/>
        </w:rPr>
      </w:pPr>
      <w:r w:rsidRPr="00C019DB">
        <w:rPr>
          <w:b/>
          <w:bCs/>
          <w:i/>
          <w:iCs/>
          <w:color w:val="333333"/>
          <w:sz w:val="28"/>
          <w:szCs w:val="28"/>
        </w:rPr>
        <w:t>Cục trưởng Cục Quản lý xuất nhập cảnh</w:t>
      </w:r>
      <w:r w:rsidRPr="00C019DB">
        <w:rPr>
          <w:color w:val="333333"/>
          <w:sz w:val="28"/>
          <w:szCs w:val="28"/>
        </w:rPr>
        <w:t> có thẩm quyền xử phạt giống Cục trưởng Cục An ninh chính trị nội bộ, Cục trưởng Cục An ninh kinh tế, Chánh Văn phòng Cơ quan Cảnh sát điều tra Bộ Công an, Cục trưởng Cục Cảnh sát quản lý hành chính về trật tự xã hội, Cục trưởng Cục Cảnh sát điều tra tội phạm về trật tự xã hội... như ở trên và có quyền quyết định áp dụng hình thức xử phạt trục xuất.</w:t>
      </w:r>
    </w:p>
    <w:p w:rsidR="00241557" w:rsidRPr="00C019DB" w:rsidRDefault="00241557" w:rsidP="00C019DB">
      <w:pPr>
        <w:spacing w:after="0"/>
        <w:ind w:firstLine="720"/>
        <w:jc w:val="both"/>
        <w:rPr>
          <w:rFonts w:ascii="Times New Roman" w:hAnsi="Times New Roman" w:cs="Times New Roman"/>
          <w:sz w:val="28"/>
          <w:szCs w:val="28"/>
        </w:rPr>
      </w:pPr>
    </w:p>
    <w:sectPr w:rsidR="00241557" w:rsidRPr="00C019DB" w:rsidSect="006325C4">
      <w:pgSz w:w="12240" w:h="15840"/>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D3"/>
    <w:rsid w:val="002375F7"/>
    <w:rsid w:val="00241557"/>
    <w:rsid w:val="00487C46"/>
    <w:rsid w:val="006325C4"/>
    <w:rsid w:val="00665EF7"/>
    <w:rsid w:val="006A13F0"/>
    <w:rsid w:val="006D6AD3"/>
    <w:rsid w:val="0074708F"/>
    <w:rsid w:val="008A7968"/>
    <w:rsid w:val="008D270C"/>
    <w:rsid w:val="009B491A"/>
    <w:rsid w:val="00A17563"/>
    <w:rsid w:val="00B11E97"/>
    <w:rsid w:val="00C019DB"/>
    <w:rsid w:val="00D4625B"/>
    <w:rsid w:val="00E31672"/>
    <w:rsid w:val="00E6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7631"/>
  <w15:chartTrackingRefBased/>
  <w15:docId w15:val="{9C6B3477-EE18-4ED5-B520-4FE09B29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6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6A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65E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A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D6AD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D6AD3"/>
    <w:rPr>
      <w:color w:val="0000FF"/>
      <w:u w:val="single"/>
    </w:rPr>
  </w:style>
  <w:style w:type="character" w:customStyle="1" w:styleId="Heading3Char">
    <w:name w:val="Heading 3 Char"/>
    <w:basedOn w:val="DefaultParagraphFont"/>
    <w:link w:val="Heading3"/>
    <w:uiPriority w:val="9"/>
    <w:semiHidden/>
    <w:rsid w:val="00665EF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65E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8936">
      <w:bodyDiv w:val="1"/>
      <w:marLeft w:val="0"/>
      <w:marRight w:val="0"/>
      <w:marTop w:val="0"/>
      <w:marBottom w:val="0"/>
      <w:divBdr>
        <w:top w:val="none" w:sz="0" w:space="0" w:color="auto"/>
        <w:left w:val="none" w:sz="0" w:space="0" w:color="auto"/>
        <w:bottom w:val="none" w:sz="0" w:space="0" w:color="auto"/>
        <w:right w:val="none" w:sz="0" w:space="0" w:color="auto"/>
      </w:divBdr>
    </w:div>
    <w:div w:id="2040621342">
      <w:bodyDiv w:val="1"/>
      <w:marLeft w:val="0"/>
      <w:marRight w:val="0"/>
      <w:marTop w:val="0"/>
      <w:marBottom w:val="0"/>
      <w:divBdr>
        <w:top w:val="none" w:sz="0" w:space="0" w:color="auto"/>
        <w:left w:val="none" w:sz="0" w:space="0" w:color="auto"/>
        <w:bottom w:val="none" w:sz="0" w:space="0" w:color="auto"/>
        <w:right w:val="none" w:sz="0" w:space="0" w:color="auto"/>
      </w:divBdr>
    </w:div>
    <w:div w:id="20660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nban.chinhphu.vn/?pageid=27160&amp;docid=204830" TargetMode="External"/><Relationship Id="rId4" Type="http://schemas.openxmlformats.org/officeDocument/2006/relationships/hyperlink" Target="https://vanban.chinhphu.vn/?pageid=27160&amp;docid=214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977</Words>
  <Characters>5569</Characters>
  <Application>Microsoft Office Word</Application>
  <DocSecurity>0</DocSecurity>
  <Lines>46</Lines>
  <Paragraphs>13</Paragraphs>
  <ScaleCrop>false</ScaleCrop>
  <Company>Microsoft</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2025-09-19T01:09:00Z</dcterms:created>
  <dcterms:modified xsi:type="dcterms:W3CDTF">2025-09-19T02:21:00Z</dcterms:modified>
</cp:coreProperties>
</file>