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2D" w:rsidRDefault="008A6E2D" w:rsidP="00CB1FFB">
      <w:pPr>
        <w:pBdr>
          <w:top w:val="single" w:sz="2" w:space="0" w:color="E5E7EB"/>
          <w:left w:val="single" w:sz="2" w:space="0" w:color="E5E7EB"/>
          <w:bottom w:val="single" w:sz="2" w:space="0" w:color="E5E7EB"/>
          <w:right w:val="single" w:sz="2" w:space="0" w:color="E5E7EB"/>
        </w:pBdr>
        <w:spacing w:after="75" w:line="240" w:lineRule="auto"/>
        <w:jc w:val="both"/>
        <w:outlineLvl w:val="0"/>
        <w:rPr>
          <w:rFonts w:ascii="Times New Roman" w:eastAsia="Times New Roman" w:hAnsi="Times New Roman" w:cs="Times New Roman"/>
          <w:b/>
          <w:bCs/>
          <w:color w:val="000000" w:themeColor="text1"/>
          <w:kern w:val="36"/>
          <w:sz w:val="40"/>
          <w:szCs w:val="40"/>
        </w:rPr>
      </w:pPr>
      <w:r w:rsidRPr="008A6E2D">
        <w:rPr>
          <w:rFonts w:ascii="Times New Roman" w:eastAsia="Times New Roman" w:hAnsi="Times New Roman" w:cs="Times New Roman"/>
          <w:b/>
          <w:bCs/>
          <w:color w:val="000000" w:themeColor="text1"/>
          <w:kern w:val="36"/>
          <w:sz w:val="40"/>
          <w:szCs w:val="40"/>
        </w:rPr>
        <w:t>Những chính sách nổi bật có hiệu lực từ tháng 8/2025</w:t>
      </w:r>
    </w:p>
    <w:p w:rsidR="004A4C54" w:rsidRPr="008A6E2D" w:rsidRDefault="004A4C54" w:rsidP="00CB1FFB">
      <w:pPr>
        <w:pBdr>
          <w:top w:val="single" w:sz="2" w:space="0" w:color="E5E7EB"/>
          <w:left w:val="single" w:sz="2" w:space="0" w:color="E5E7EB"/>
          <w:bottom w:val="single" w:sz="2" w:space="0" w:color="E5E7EB"/>
          <w:right w:val="single" w:sz="2" w:space="0" w:color="E5E7EB"/>
        </w:pBdr>
        <w:spacing w:after="75" w:line="240" w:lineRule="auto"/>
        <w:jc w:val="both"/>
        <w:outlineLvl w:val="0"/>
        <w:rPr>
          <w:rFonts w:ascii="Times New Roman" w:eastAsia="Times New Roman" w:hAnsi="Times New Roman" w:cs="Times New Roman"/>
          <w:b/>
          <w:bCs/>
          <w:color w:val="000000" w:themeColor="text1"/>
          <w:kern w:val="36"/>
          <w:sz w:val="40"/>
          <w:szCs w:val="40"/>
        </w:rPr>
      </w:pPr>
      <w:bookmarkStart w:id="0" w:name="_GoBack"/>
      <w:bookmarkEnd w:id="0"/>
    </w:p>
    <w:p w:rsidR="008A6E2D" w:rsidRPr="00CB1FFB" w:rsidRDefault="00453C58" w:rsidP="00CB1FFB">
      <w:pPr>
        <w:pStyle w:val="text"/>
        <w:pBdr>
          <w:top w:val="single" w:sz="2" w:space="0" w:color="E5E7EB"/>
          <w:left w:val="single" w:sz="2" w:space="0" w:color="E5E7EB"/>
          <w:bottom w:val="single" w:sz="2" w:space="0" w:color="E5E7EB"/>
          <w:right w:val="single" w:sz="2" w:space="0" w:color="E5E7EB"/>
        </w:pBdr>
        <w:spacing w:before="0" w:beforeAutospacing="0" w:after="225" w:afterAutospacing="0"/>
        <w:jc w:val="both"/>
        <w:rPr>
          <w:color w:val="000000" w:themeColor="text1"/>
          <w:sz w:val="30"/>
          <w:szCs w:val="30"/>
        </w:rPr>
      </w:pPr>
      <w:r>
        <w:rPr>
          <w:rStyle w:val="Strong"/>
          <w:color w:val="000000" w:themeColor="text1"/>
          <w:sz w:val="30"/>
          <w:szCs w:val="30"/>
          <w:bdr w:val="single" w:sz="2" w:space="0" w:color="E5E7EB" w:frame="1"/>
        </w:rPr>
        <w:tab/>
      </w:r>
      <w:r w:rsidR="00CB1FFB" w:rsidRPr="00CB1FFB">
        <w:rPr>
          <w:rStyle w:val="Strong"/>
          <w:color w:val="000000" w:themeColor="text1"/>
          <w:sz w:val="30"/>
          <w:szCs w:val="30"/>
          <w:bdr w:val="single" w:sz="2" w:space="0" w:color="E5E7EB" w:frame="1"/>
        </w:rPr>
        <w:t xml:space="preserve">1. </w:t>
      </w:r>
      <w:r w:rsidR="008A6E2D" w:rsidRPr="00CB1FFB">
        <w:rPr>
          <w:rStyle w:val="Strong"/>
          <w:color w:val="000000" w:themeColor="text1"/>
          <w:sz w:val="30"/>
          <w:szCs w:val="30"/>
          <w:bdr w:val="single" w:sz="2" w:space="0" w:color="E5E7EB" w:frame="1"/>
        </w:rPr>
        <w:t>Người làm chuyên trách về chuyển đổi số được hỗ trợ 5 triệu đồng/tháng</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số 179/2025/NĐ-CP quy định về mức hỗ trợ đối với người làm công tác chuyên trách về chuyển đổi số, an toàn thông tin mạng, an ninh mạng có hiệu lực thi hành từ ngày 15/8/2025.</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này quy định về mức hỗ trợ đối với người làm công tác chuyên trách về chuyển đổi số, an toàn thông tin mạng, an ninh mạng trong cơ quan của Đảng Cộng sản Việt Nam, Nhà nước, Mặt trận Tổ quốc Việt Nam (gồm các tổ chức chính trị - xã hội) từ Trung ương đến cấp xã và lực lượng vũ trang (quân đội, công an, cơ yếu).</w:t>
      </w:r>
    </w:p>
    <w:p w:rsidR="00CE1CF0" w:rsidRPr="00CB1FFB" w:rsidRDefault="00CE1CF0" w:rsidP="00CB1FFB">
      <w:pPr>
        <w:spacing w:after="0"/>
        <w:ind w:firstLine="720"/>
        <w:jc w:val="both"/>
        <w:rPr>
          <w:rFonts w:ascii="Times New Roman" w:hAnsi="Times New Roman" w:cs="Times New Roman"/>
          <w:color w:val="000000" w:themeColor="text1"/>
        </w:rPr>
      </w:pP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Theo đó, đối tượng trên được hưởng mức hỗ trợ 5 triệu đồng/tháng. Mức hỗ trợ trên được trả cùng kỳ lương hằng tháng và không dùng để tính đóng, hưởng </w:t>
      </w:r>
      <w:hyperlink r:id="rId6" w:history="1">
        <w:r w:rsidRPr="00CB1FFB">
          <w:rPr>
            <w:rStyle w:val="Hyperlink"/>
            <w:color w:val="000000" w:themeColor="text1"/>
            <w:sz w:val="30"/>
            <w:szCs w:val="30"/>
            <w:u w:val="none"/>
            <w:bdr w:val="single" w:sz="2" w:space="0" w:color="E5E7EB" w:frame="1"/>
          </w:rPr>
          <w:t>bảo hiểm xã hội</w:t>
        </w:r>
      </w:hyperlink>
      <w:r w:rsidRPr="00CB1FFB">
        <w:rPr>
          <w:color w:val="000000" w:themeColor="text1"/>
          <w:sz w:val="30"/>
          <w:szCs w:val="30"/>
        </w:rPr>
        <w:t> và bảo hiểm y tế. Mức hỗ trợ này được áp dụng cho đến khi thực hiện cải cách chính sách tiền lương theo chủ trương của cấp có thẩm quyền.</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Thời gian không được hưởng mức hỗ trợ gồm: Thời gian nghỉ việc không hưởng lương liên tục từ một tháng trở lên; Thời gian nghỉ việc hưởng các chế độ trợ cấp bảo hiểm xã hội theo quy định của </w:t>
      </w:r>
      <w:hyperlink r:id="rId7" w:history="1">
        <w:r w:rsidRPr="00CB1FFB">
          <w:rPr>
            <w:rStyle w:val="Hyperlink"/>
            <w:color w:val="000000" w:themeColor="text1"/>
            <w:sz w:val="30"/>
            <w:szCs w:val="30"/>
            <w:u w:val="none"/>
            <w:bdr w:val="single" w:sz="2" w:space="0" w:color="E5E7EB" w:frame="1"/>
          </w:rPr>
          <w:t>pháp luật</w:t>
        </w:r>
      </w:hyperlink>
      <w:r w:rsidRPr="00CB1FFB">
        <w:rPr>
          <w:color w:val="000000" w:themeColor="text1"/>
          <w:sz w:val="30"/>
          <w:szCs w:val="30"/>
        </w:rPr>
        <w:t> về bảo hiểm xã hội; Thời gian bị tạm giữ, tạm giam, tạm đình chỉ công tác hoặc đình chỉ công tác; Thời gian không đảm nhiệm công việc chuyên môn, nghiệp vụ quy định trên liên tục từ một tháng trở lên.</w:t>
      </w:r>
    </w:p>
    <w:p w:rsidR="008A6E2D" w:rsidRPr="00CB1FFB" w:rsidRDefault="00453C58"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Pr>
          <w:rStyle w:val="Strong"/>
          <w:color w:val="000000" w:themeColor="text1"/>
          <w:sz w:val="30"/>
          <w:szCs w:val="30"/>
          <w:bdr w:val="single" w:sz="2" w:space="0" w:color="E5E7EB" w:frame="1"/>
        </w:rPr>
        <w:t xml:space="preserve">2. </w:t>
      </w:r>
      <w:r w:rsidR="008A6E2D" w:rsidRPr="00CB1FFB">
        <w:rPr>
          <w:rStyle w:val="Strong"/>
          <w:color w:val="000000" w:themeColor="text1"/>
          <w:sz w:val="30"/>
          <w:szCs w:val="30"/>
          <w:bdr w:val="single" w:sz="2" w:space="0" w:color="E5E7EB" w:frame="1"/>
        </w:rPr>
        <w:t>Quy định mới về đối tượng, mức đóng, mức hỗ trợ đóng bảo hiểm y tế</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số 188/2025/NĐ-CP quy định chi tiết và hướng dẫn thi hành một số điều của Luật Bảo hiểm y tế; có hiệu lực từ ngày 15/8/2025. Nghị định quy định rõ đối tượng, mức đóng, mức hỗ trợ đóng bảo hiểm y tế.</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này có một số điểm mới, như: bổ sung các trường hợp không bị coi là trốn đóng bảo hiểm y tế; bổ sung quy định mức hỗ trợ đóng bảo hiểm y tế cho một số đối tượng; sửa đổi, bổ sung trách nhiệm cơ quan thực hiện chuyển kinh phí đóng bảo hiểm y tế và cơ quan lập danh sách cấp thẻ bảo hiểm y tế của các nhóm đối tượng tham gia bảo hiểm y tế; bổ sung quy định về thủ tục cấp thẻ bảo hiểm y tế.</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 xml:space="preserve">Nghị định cũng hướng dẫn cụ thể việc thực hiện thủ tục cấp thẻ bảo hiểm y tế bản điện tử, bản giấy cho người tham gia bảo hiểm y tế trên Cổng dịch vụ </w:t>
      </w:r>
      <w:r w:rsidRPr="00CB1FFB">
        <w:rPr>
          <w:color w:val="000000" w:themeColor="text1"/>
          <w:sz w:val="30"/>
          <w:szCs w:val="30"/>
        </w:rPr>
        <w:lastRenderedPageBreak/>
        <w:t>công quốc gia hoặc qua ứng dụng của cơ quan bảo hiểm xã hội hoặc trực tiếp tại bộ phận một cửa của cơ quan bảo hiểm xã hội, hoặc gửi qua dịch vụ bưu chính công ích đến cơ quan bảo hiểm xã hội...</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Thời điểm thẻ bảo hiểm y tế của trẻ em có giá trị sử dụng được Nghị định quy định như sau: Trẻ sinh từ 30/9 trở về trước: Từ ngày sinh đến hết 30/9 của năm trẻ đủ 72 tháng tuổi; Trẻ sinh sau ngày 30/9: Từ ngày sinh đến hết ngày cuối của tháng trẻ đủ 72 tháng tuổi.</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Với học sinh đóng bảo hiểm y tế hằng năm thì giá trị sử dụng của thẻ bảo hiểm y tế như sau: Học sinh lớp 1: Từ ngày 1/10 năm đầu tiên cấp tiểu học; từ ngày cuối của tháng trẻ đủ 72 tháng tuổi nếu trẻ sinh sau ngày 30/9; Học sinh lớp 12: Từ ngày 1/1 - hết ngày 30/9 của năm đó. Khuyến khích học sinh lớp 12 đóng bảo hiểm y tế và hưởng mức hỗ trợ đến hết 31/12 của năm học cuối để bảo đảm liên tục quyền lợi bảo hiểm y tế, không phải hoàn trả phần kinh phí hỗ trợ trong trường hợp thay đổi đối tượng.</w:t>
      </w:r>
    </w:p>
    <w:p w:rsidR="008A6E2D" w:rsidRPr="00CB1FFB" w:rsidRDefault="00DA4CF9"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Pr>
          <w:rStyle w:val="Strong"/>
          <w:color w:val="000000" w:themeColor="text1"/>
          <w:sz w:val="30"/>
          <w:szCs w:val="30"/>
          <w:bdr w:val="single" w:sz="2" w:space="0" w:color="E5E7EB" w:frame="1"/>
        </w:rPr>
        <w:t xml:space="preserve">3. </w:t>
      </w:r>
      <w:r w:rsidR="008A6E2D" w:rsidRPr="00CB1FFB">
        <w:rPr>
          <w:rStyle w:val="Strong"/>
          <w:color w:val="000000" w:themeColor="text1"/>
          <w:sz w:val="30"/>
          <w:szCs w:val="30"/>
          <w:bdr w:val="single" w:sz="2" w:space="0" w:color="E5E7EB" w:frame="1"/>
        </w:rPr>
        <w:t>Quyđịnh điều kiện liên kết giáo dục trong các trường công lập ở </w:t>
      </w:r>
      <w:hyperlink r:id="rId8" w:history="1">
        <w:r w:rsidR="008A6E2D" w:rsidRPr="00CB1FFB">
          <w:rPr>
            <w:rStyle w:val="Hyperlink"/>
            <w:b/>
            <w:bCs/>
            <w:color w:val="000000" w:themeColor="text1"/>
            <w:sz w:val="30"/>
            <w:szCs w:val="30"/>
            <w:u w:val="none"/>
            <w:bdr w:val="single" w:sz="2" w:space="0" w:color="E5E7EB" w:frame="1"/>
          </w:rPr>
          <w:t>Hà Nội</w:t>
        </w:r>
      </w:hyperlink>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số 202/2025/NĐ-CP quy định chi tiết về điều kiện, trình tự, thủ tục, chương trình giáo dục, việc cấp văn bằng, chứng chỉ thực hiện liên kết giáo dục, giảng dạy chương trình giáo dục tích hợp đối với cơ sở giáo dục mầm non, giáo dục phổ thông công lập của thành phố </w:t>
      </w:r>
      <w:hyperlink r:id="rId9" w:history="1">
        <w:r w:rsidRPr="00CB1FFB">
          <w:rPr>
            <w:rStyle w:val="Hyperlink"/>
            <w:color w:val="000000" w:themeColor="text1"/>
            <w:sz w:val="30"/>
            <w:szCs w:val="30"/>
            <w:u w:val="none"/>
            <w:bdr w:val="single" w:sz="2" w:space="0" w:color="E5E7EB" w:frame="1"/>
          </w:rPr>
          <w:t>Hà Nội</w:t>
        </w:r>
      </w:hyperlink>
      <w:r w:rsidRPr="00CB1FFB">
        <w:rPr>
          <w:color w:val="000000" w:themeColor="text1"/>
          <w:sz w:val="30"/>
          <w:szCs w:val="30"/>
        </w:rPr>
        <w:t> (có hiệu lực thi hành từ ngày 27/8/2025).</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quy định chi tiết về điều kiện, trình tự, thủ tục, chương trình giáo dục, việc cấp văn bằng, chứng chỉ thực hiện liên kết giáo dục, giảng dạy chương trình giáo dục tích hợp đối với cơ sở giáo dục mầm non, giáo dục phổ thông công lập của thành phố Hà Nội.</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Đối tượng áp dụng là cơ sở giáo dục mầm non, giáo dục phổ thông công lập của thành phố Hà Nội, bao gồm: nhà trẻ, trường mẫu giáo, trường mầm non, trường tiểu học, trường trung học cơ sở, trường trung học phổ thông, trường phổ thông có nhiều cấp học và các tổ chức, cá nhân có liên quan thực hiện liên kết giáo dục với cơ sở giáo dục, tổ chức giáo dục của nước ngoài. Cơ sở giáo dục, tổ chức giáo dục của nước ngoài thực hiện liên kết giáo dục với cơ sở giáo dục mầm non, giáo dục phổ thông công lập của thành phố Hà Nội.</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quy định UBND TP Hà Nội phê duyệt liên kết giáo dục; trình tự phê duyệt liên kết giáo dục. Nghị định quy định thời hạn của liên kết giáo dục không quá 5 năm kể từ ngày được phê duyệt và có thể được gia hạn, mỗi lần gia hạn không quá 5 năm.</w:t>
      </w:r>
    </w:p>
    <w:p w:rsidR="008A6E2D" w:rsidRPr="00CB1FFB" w:rsidRDefault="00AE1F2B"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Pr>
          <w:rStyle w:val="Strong"/>
          <w:color w:val="000000" w:themeColor="text1"/>
          <w:sz w:val="30"/>
          <w:szCs w:val="30"/>
          <w:bdr w:val="single" w:sz="2" w:space="0" w:color="E5E7EB" w:frame="1"/>
        </w:rPr>
        <w:t xml:space="preserve">4. </w:t>
      </w:r>
      <w:r w:rsidR="008A6E2D" w:rsidRPr="00CB1FFB">
        <w:rPr>
          <w:rStyle w:val="Strong"/>
          <w:color w:val="000000" w:themeColor="text1"/>
          <w:sz w:val="30"/>
          <w:szCs w:val="30"/>
          <w:bdr w:val="single" w:sz="2" w:space="0" w:color="E5E7EB" w:frame="1"/>
        </w:rPr>
        <w:t>Triển khai thị trường các-bon trong nước theo quy định mới</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lastRenderedPageBreak/>
        <w:t>Nghị định số 119/2025/NĐ-CP, sửa đổi, bổ sung một số điều của Nghị định số 06/2022/NĐ-CP liên quan đến giảm nhẹ phát thải khí nhà kính và bảo vệ tầng ô-zôn, trong đó điều chỉnh quan trọng về lộ trình triển khai thị trường các-bon trong nước (có hiệu lực thi hành từ ngày 1/8/2025).</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Theo nghị định này, từ nay đến hết năm 2028, Việt Nam sẽ tập trung thiết lập Hệ thống đăng ký quốc gia, tổ chức vận hành thí điểm Sàn giao dịch các-bon trong nước và triển khai cơ chế trao đổi, bù trừ tín chỉ các-bon. Song song, các hoạt động nâng cao năng lực, nhận thức về thị trường các-bon cũng được đẩy mạnh.</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Từ năm 2029, sẽ triển khai cơ chế đấu giá hạn ngạch phát thải khí nhà kính, đồng thời hoàn thiện quy định pháp lý về quản lý tín chỉ các-bon, tổ chức và vận hành thị trường trong nước, tiến tới tham gia thị trường các-bon toàn cầu. Việc ban hành Nghị định 119/2025/NĐ-CP thể hiện quyết tâm của Việt Nam trong việc xây dựng thị trường các-bon minh bạch, hiệu quả, góp phần thực hiện cam kết giảm phát thải khí nhà kính và phát triển kinh tế bền vững.</w:t>
      </w:r>
    </w:p>
    <w:p w:rsidR="008A6E2D" w:rsidRPr="00CB1FFB" w:rsidRDefault="00E141A2"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Pr>
          <w:rStyle w:val="Strong"/>
          <w:color w:val="000000" w:themeColor="text1"/>
          <w:sz w:val="30"/>
          <w:szCs w:val="30"/>
          <w:bdr w:val="single" w:sz="2" w:space="0" w:color="E5E7EB" w:frame="1"/>
        </w:rPr>
        <w:t xml:space="preserve">5. </w:t>
      </w:r>
      <w:r w:rsidR="008A6E2D" w:rsidRPr="00CB1FFB">
        <w:rPr>
          <w:rStyle w:val="Strong"/>
          <w:color w:val="000000" w:themeColor="text1"/>
          <w:sz w:val="30"/>
          <w:szCs w:val="30"/>
          <w:bdr w:val="single" w:sz="2" w:space="0" w:color="E5E7EB" w:frame="1"/>
        </w:rPr>
        <w:t>Quy định mới về quản lý vốn, tài sản tại tổ chức tín dụng</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số 135/2025/NĐ-CP quy định chế độ tài chính đối với tổ chức tín dụng, chi nhánh ngân hàng nước ngoài và công tác giám sát tài chính, đánh giá hiệu quả đầu tư vốn Nhà nước tại các tổ chức tín dụng có vốn Nhà nước có hiệu lực từ ngày 1/8/2025 và thay thế Nghị định số 93/2017/NĐ-CP.</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này quy định rõ các nội dung liên quan đến cơ cấu vốn, sử dụng tài sản, phân phối lợi nhuận, đầu tư tài sản cố định, mua bán cổ phần và đảm bảo an toàn vốn tại tổ chức tín dụng. Trong đó, tổ chức tín dụng, chi nhánh ngân hàng nước ngoài được phép sử dụng vốn để kinh doanh, thay đổi cơ cấu vốn, đầu tư tài sản phục vụ hoạt động và chuyển nhượng tài sản theo quy định của pháp luật. Riêng các tổ chức tín dụng do Nhà nước nắm giữ 100% hoặc có vốn Nhà nước, việc sử dụng và đầu tư phải tuân thủ quy định về quản lý vốn nhà nước tại doanh nghiệp.</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cũng yêu cầu các tổ chức tín dụng đảm bảo an toàn vốn, tham gia bảo hiểm tiền gửi, lập dự phòng rủi ro và thực hiện đầy đủ chế độ kế toán, tài chính theo quy định hiện hành.</w:t>
      </w:r>
    </w:p>
    <w:p w:rsidR="008A6E2D" w:rsidRPr="00CB1FFB" w:rsidRDefault="004A0F31"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Pr>
          <w:rStyle w:val="Strong"/>
          <w:color w:val="000000" w:themeColor="text1"/>
          <w:sz w:val="30"/>
          <w:szCs w:val="30"/>
          <w:bdr w:val="single" w:sz="2" w:space="0" w:color="E5E7EB" w:frame="1"/>
        </w:rPr>
        <w:t xml:space="preserve">6. </w:t>
      </w:r>
      <w:r w:rsidR="008A6E2D" w:rsidRPr="00CB1FFB">
        <w:rPr>
          <w:rStyle w:val="Strong"/>
          <w:color w:val="000000" w:themeColor="text1"/>
          <w:sz w:val="30"/>
          <w:szCs w:val="30"/>
          <w:bdr w:val="single" w:sz="2" w:space="0" w:color="E5E7EB" w:frame="1"/>
        </w:rPr>
        <w:t>Chia sẻ dữ liệu trong giao dịch điện tử của cơ quan nhà nước</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số 194/2025/NĐ-CP quy định chi tiết một số điều của Luật Giao dịch điện tử về cơ sở dữ liệu quốc gia, kết nối và chia sẻ dữ liệu, dữ liệu mở phục vụ giao dịch điện tử của cơ quan nhà nước, có hiệu lực từ ngày 19/8/2025.</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 xml:space="preserve">Nghị định quy định dữ liệu trong cơ quan nhà nước phải được chia sẻ cho cơ quan, tổ chức, cá nhân trong các trường hợp sau, trừ khi pháp luật có quy </w:t>
      </w:r>
      <w:r w:rsidRPr="00CB1FFB">
        <w:rPr>
          <w:color w:val="000000" w:themeColor="text1"/>
          <w:sz w:val="30"/>
          <w:szCs w:val="30"/>
        </w:rPr>
        <w:lastRenderedPageBreak/>
        <w:t>định không chia sẻ: Dữ liệu phát sinh từ cơ quan nhà nước nào, thì cơ quan nhà nước đó được chia sẻ lại; Cơ quan nhà nước quản lý ngành, lĩnh vực tại địa phương được chia sẻ dữ liệu từ các cơ sở dữ liệu quốc gia, cơ sở dữ liệu của bộ, ngành theo phạm vi ngành, lĩnh vực quản lý của cơ quan nhà nước đó; Cơ sở dữ liệu dùng chung của cấp nào thì các đơn vị thuộc, trực thuộc cấp đó được chia sẻ phù hợp với chức năng, nhiệm vụ được giao.</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Ngoài trường hợp quy định trên, dữ liệu sử dụng chung, dữ liệu mở trong cơ quan nhà nước mặc định phải được chia sẻ cho các cơ quan nhà nước để phục vụ các hoạt động quản lý nhà nước theo thẩm quyền khi có đề nghị. Trường hợp từ chối chia sẻ dữ liệu phải trả lời bằng văn bản nêu rõ lý do và chỉ rõ căn cứ pháp luật hạn chế chia sẻ dữ liệu. Trong trường hợp có vướng mắc thì thực hiện theo quy trình xử lý vướng mắc về quản lý, kết nối và chia sẻ dữ liệu số của cơ quan nhà nước.</w:t>
      </w:r>
    </w:p>
    <w:p w:rsidR="008A6E2D" w:rsidRPr="00CB1FFB" w:rsidRDefault="00E51067"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Pr>
          <w:rStyle w:val="Strong"/>
          <w:color w:val="000000" w:themeColor="text1"/>
          <w:sz w:val="30"/>
          <w:szCs w:val="30"/>
          <w:bdr w:val="single" w:sz="2" w:space="0" w:color="E5E7EB" w:frame="1"/>
        </w:rPr>
        <w:t xml:space="preserve">7. </w:t>
      </w:r>
      <w:r w:rsidR="008A6E2D" w:rsidRPr="00CB1FFB">
        <w:rPr>
          <w:rStyle w:val="Strong"/>
          <w:color w:val="000000" w:themeColor="text1"/>
          <w:sz w:val="30"/>
          <w:szCs w:val="30"/>
          <w:bdr w:val="single" w:sz="2" w:space="0" w:color="E5E7EB" w:frame="1"/>
        </w:rPr>
        <w:t>Chính sách đối với người được huy động tham gia hoạt động phòng không nhân dân</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số 198/2025/NĐ-CP quy định chi tiết một số điều và biện pháp thi hành Luật Phòng không nhân dân có hiệu lực từ ngày 22/8/2025. Nghị định quy định chế độ, chính sách đối với người được huy động tham gia hoạt động phòng không nhân dân và nội dung quản lý nhà nước về phòng không nhân dân.</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Nghị định quy định người lao động trong thời gian được huy động tham gia hoạt động phòng không nhân dân nếu bị thương thuộc một trong các trường hợp theo quy định tại khoản 1 Điều 23 Pháp lệnh số 02/2020/UBTVQH14 ngày 9/12/2020 của Ủy ban Thường vụ Quốc hội về ưu đãi người có công với cách mạng;</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Điều 34 Nghị định số 131/2021/NĐ-CP ngày 30/12/2021 của Chính phủ quy định chi tiết, biện pháp thi hành Pháp lệnh về ưu đãi người có công với cách mạng thì được xem xét, công nhận thương binh, người hưởng chính sách như thương binh; nếu bị chết thuộc một trong các trường hợp theo quy định tại khoản 1 Điều 14 Pháp lệnh số 02/2020/UBTVQH14; Điều 14 Nghị định số 131/2021/NĐ-CP thì được xem xét, công nhận liệt sĩ.</w:t>
      </w:r>
    </w:p>
    <w:p w:rsidR="008A6E2D" w:rsidRPr="00CB1FFB" w:rsidRDefault="008A6E2D" w:rsidP="00CB1FFB">
      <w:pPr>
        <w:pStyle w:val="text"/>
        <w:pBdr>
          <w:top w:val="single" w:sz="2" w:space="0" w:color="E5E7EB"/>
          <w:left w:val="single" w:sz="2" w:space="0" w:color="E5E7EB"/>
          <w:bottom w:val="single" w:sz="2" w:space="0" w:color="E5E7EB"/>
          <w:right w:val="single" w:sz="2" w:space="0" w:color="E5E7EB"/>
        </w:pBdr>
        <w:spacing w:before="0" w:beforeAutospacing="0" w:after="0" w:afterAutospacing="0"/>
        <w:ind w:firstLine="720"/>
        <w:jc w:val="both"/>
        <w:rPr>
          <w:color w:val="000000" w:themeColor="text1"/>
          <w:sz w:val="30"/>
          <w:szCs w:val="30"/>
        </w:rPr>
      </w:pPr>
      <w:r w:rsidRPr="00CB1FFB">
        <w:rPr>
          <w:color w:val="000000" w:themeColor="text1"/>
          <w:sz w:val="30"/>
          <w:szCs w:val="30"/>
        </w:rPr>
        <w:t>Hồ sơ, thủ tục công nhận người hưởng chính sách như thương binh, công nhận liệt sĩ thực hiện theo quy định tại Nghị định số 131/2021/NĐ-CP ngày 30/12/2021 của Chính phủ về quy định chi tiết và biện pháp thi hành Pháp lệnh ưu đãi người có công với cách mạng.</w:t>
      </w:r>
    </w:p>
    <w:sectPr w:rsidR="008A6E2D" w:rsidRPr="00CB1FFB" w:rsidSect="00B728AC">
      <w:head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CF" w:rsidRDefault="009752CF" w:rsidP="0074190C">
      <w:pPr>
        <w:spacing w:after="0" w:line="240" w:lineRule="auto"/>
      </w:pPr>
      <w:r>
        <w:separator/>
      </w:r>
    </w:p>
  </w:endnote>
  <w:endnote w:type="continuationSeparator" w:id="0">
    <w:p w:rsidR="009752CF" w:rsidRDefault="009752CF" w:rsidP="0074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CF" w:rsidRDefault="009752CF" w:rsidP="0074190C">
      <w:pPr>
        <w:spacing w:after="0" w:line="240" w:lineRule="auto"/>
      </w:pPr>
      <w:r>
        <w:separator/>
      </w:r>
    </w:p>
  </w:footnote>
  <w:footnote w:type="continuationSeparator" w:id="0">
    <w:p w:rsidR="009752CF" w:rsidRDefault="009752CF" w:rsidP="00741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392173"/>
      <w:docPartObj>
        <w:docPartGallery w:val="Page Numbers (Top of Page)"/>
        <w:docPartUnique/>
      </w:docPartObj>
    </w:sdtPr>
    <w:sdtEndPr>
      <w:rPr>
        <w:noProof/>
      </w:rPr>
    </w:sdtEndPr>
    <w:sdtContent>
      <w:p w:rsidR="0074190C" w:rsidRDefault="0074190C">
        <w:pPr>
          <w:pStyle w:val="Header"/>
          <w:jc w:val="center"/>
        </w:pPr>
        <w:r>
          <w:fldChar w:fldCharType="begin"/>
        </w:r>
        <w:r>
          <w:instrText xml:space="preserve"> PAGE   \* MERGEFORMAT </w:instrText>
        </w:r>
        <w:r>
          <w:fldChar w:fldCharType="separate"/>
        </w:r>
        <w:r w:rsidR="004A4C54">
          <w:rPr>
            <w:noProof/>
          </w:rPr>
          <w:t>4</w:t>
        </w:r>
        <w:r>
          <w:rPr>
            <w:noProof/>
          </w:rPr>
          <w:fldChar w:fldCharType="end"/>
        </w:r>
      </w:p>
    </w:sdtContent>
  </w:sdt>
  <w:p w:rsidR="0074190C" w:rsidRDefault="00741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2D"/>
    <w:rsid w:val="00453C58"/>
    <w:rsid w:val="004A0F31"/>
    <w:rsid w:val="004A4C54"/>
    <w:rsid w:val="0074190C"/>
    <w:rsid w:val="008A6E2D"/>
    <w:rsid w:val="008D65B5"/>
    <w:rsid w:val="009752CF"/>
    <w:rsid w:val="00AE1F2B"/>
    <w:rsid w:val="00B728AC"/>
    <w:rsid w:val="00CB1FFB"/>
    <w:rsid w:val="00CE1CF0"/>
    <w:rsid w:val="00DA4CF9"/>
    <w:rsid w:val="00E141A2"/>
    <w:rsid w:val="00E5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3EB7"/>
  <w15:chartTrackingRefBased/>
  <w15:docId w15:val="{E43AC777-E838-42AA-8D0A-7282ABA3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6E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E2D"/>
    <w:rPr>
      <w:rFonts w:ascii="Times New Roman" w:eastAsia="Times New Roman" w:hAnsi="Times New Roman" w:cs="Times New Roman"/>
      <w:b/>
      <w:bCs/>
      <w:kern w:val="36"/>
      <w:sz w:val="48"/>
      <w:szCs w:val="48"/>
    </w:rPr>
  </w:style>
  <w:style w:type="paragraph" w:customStyle="1" w:styleId="text">
    <w:name w:val="text"/>
    <w:basedOn w:val="Normal"/>
    <w:rsid w:val="008A6E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6E2D"/>
    <w:rPr>
      <w:b/>
      <w:bCs/>
    </w:rPr>
  </w:style>
  <w:style w:type="character" w:styleId="Hyperlink">
    <w:name w:val="Hyperlink"/>
    <w:basedOn w:val="DefaultParagraphFont"/>
    <w:uiPriority w:val="99"/>
    <w:semiHidden/>
    <w:unhideWhenUsed/>
    <w:rsid w:val="008A6E2D"/>
    <w:rPr>
      <w:color w:val="0000FF"/>
      <w:u w:val="single"/>
    </w:rPr>
  </w:style>
  <w:style w:type="paragraph" w:styleId="Header">
    <w:name w:val="header"/>
    <w:basedOn w:val="Normal"/>
    <w:link w:val="HeaderChar"/>
    <w:uiPriority w:val="99"/>
    <w:unhideWhenUsed/>
    <w:rsid w:val="00741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90C"/>
  </w:style>
  <w:style w:type="paragraph" w:styleId="Footer">
    <w:name w:val="footer"/>
    <w:basedOn w:val="Normal"/>
    <w:link w:val="FooterChar"/>
    <w:uiPriority w:val="99"/>
    <w:unhideWhenUsed/>
    <w:rsid w:val="00741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6776">
      <w:bodyDiv w:val="1"/>
      <w:marLeft w:val="0"/>
      <w:marRight w:val="0"/>
      <w:marTop w:val="0"/>
      <w:marBottom w:val="0"/>
      <w:divBdr>
        <w:top w:val="none" w:sz="0" w:space="0" w:color="auto"/>
        <w:left w:val="none" w:sz="0" w:space="0" w:color="auto"/>
        <w:bottom w:val="none" w:sz="0" w:space="0" w:color="auto"/>
        <w:right w:val="none" w:sz="0" w:space="0" w:color="auto"/>
      </w:divBdr>
    </w:div>
    <w:div w:id="600145231">
      <w:bodyDiv w:val="1"/>
      <w:marLeft w:val="0"/>
      <w:marRight w:val="0"/>
      <w:marTop w:val="0"/>
      <w:marBottom w:val="0"/>
      <w:divBdr>
        <w:top w:val="none" w:sz="0" w:space="0" w:color="auto"/>
        <w:left w:val="none" w:sz="0" w:space="0" w:color="auto"/>
        <w:bottom w:val="none" w:sz="0" w:space="0" w:color="auto"/>
        <w:right w:val="none" w:sz="0" w:space="0" w:color="auto"/>
      </w:divBdr>
    </w:div>
    <w:div w:id="16232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moi.com/ha-noi-tag59.epi" TargetMode="External"/><Relationship Id="rId3" Type="http://schemas.openxmlformats.org/officeDocument/2006/relationships/webSettings" Target="webSettings.xml"/><Relationship Id="rId7" Type="http://schemas.openxmlformats.org/officeDocument/2006/relationships/hyperlink" Target="https://baomoi.com/phap-luat.ep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omoi.com/bao-hiem-xa-hoi-tag12838.ep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aomoi.com/tin-dia-phuong/ha-noi.e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2025-08-01T04:25:00Z</dcterms:created>
  <dcterms:modified xsi:type="dcterms:W3CDTF">2025-08-01T04:42:00Z</dcterms:modified>
</cp:coreProperties>
</file>