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5B" w:rsidRDefault="009D063A" w:rsidP="009D063A">
      <w:pPr>
        <w:shd w:val="clear" w:color="auto" w:fill="FFFFFF"/>
        <w:spacing w:before="75" w:after="120" w:line="240" w:lineRule="auto"/>
        <w:ind w:left="75" w:right="75"/>
        <w:jc w:val="center"/>
        <w:rPr>
          <w:rFonts w:eastAsia="Times New Roman" w:cs="Times New Roman"/>
          <w:b/>
          <w:bCs/>
          <w:color w:val="212529"/>
          <w:szCs w:val="28"/>
        </w:rPr>
      </w:pPr>
      <w:r w:rsidRPr="009D063A">
        <w:rPr>
          <w:rFonts w:eastAsia="Times New Roman" w:cs="Times New Roman"/>
          <w:color w:val="212529"/>
          <w:szCs w:val="28"/>
        </w:rPr>
        <w:t> </w:t>
      </w:r>
      <w:r w:rsidRPr="003A10C5">
        <w:rPr>
          <w:rFonts w:eastAsia="Times New Roman" w:cs="Times New Roman"/>
          <w:b/>
          <w:bCs/>
          <w:color w:val="212529"/>
          <w:szCs w:val="28"/>
        </w:rPr>
        <w:t xml:space="preserve">DANH MỤC </w:t>
      </w:r>
      <w:r w:rsidR="0040335B">
        <w:rPr>
          <w:rFonts w:eastAsia="Times New Roman" w:cs="Times New Roman"/>
          <w:b/>
          <w:bCs/>
          <w:color w:val="212529"/>
          <w:szCs w:val="28"/>
        </w:rPr>
        <w:t>THỦ TỤC HÀNH CHÍNH</w:t>
      </w:r>
      <w:r w:rsidRPr="003A10C5">
        <w:rPr>
          <w:rFonts w:eastAsia="Times New Roman" w:cs="Times New Roman"/>
          <w:b/>
          <w:bCs/>
          <w:color w:val="212529"/>
          <w:szCs w:val="28"/>
        </w:rPr>
        <w:t xml:space="preserve"> </w:t>
      </w:r>
    </w:p>
    <w:p w:rsidR="009D063A" w:rsidRPr="009D063A" w:rsidRDefault="009D063A" w:rsidP="009D063A">
      <w:pPr>
        <w:shd w:val="clear" w:color="auto" w:fill="FFFFFF"/>
        <w:spacing w:before="75" w:after="12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LĨNH VỰC QUÂN SỰ CẤP PHƯỜNG</w:t>
      </w:r>
    </w:p>
    <w:p w:rsidR="009D063A" w:rsidRPr="009D063A" w:rsidRDefault="009D063A" w:rsidP="003A10C5">
      <w:pPr>
        <w:shd w:val="clear" w:color="auto" w:fill="FFFFFF"/>
        <w:spacing w:before="75" w:after="0" w:line="240" w:lineRule="auto"/>
        <w:ind w:left="75" w:right="75"/>
        <w:jc w:val="center"/>
        <w:rPr>
          <w:rFonts w:eastAsia="Times New Roman" w:cs="Times New Roman"/>
          <w:color w:val="212529"/>
          <w:szCs w:val="28"/>
        </w:rPr>
      </w:pPr>
      <w:r w:rsidRPr="009D063A">
        <w:rPr>
          <w:rFonts w:eastAsia="Times New Roman" w:cs="Times New Roman"/>
          <w:color w:val="212529"/>
          <w:szCs w:val="28"/>
        </w:rPr>
        <w:t> </w:t>
      </w:r>
    </w:p>
    <w:tbl>
      <w:tblPr>
        <w:tblpPr w:leftFromText="180" w:rightFromText="180" w:vertAnchor="text"/>
        <w:tblW w:w="10058" w:type="dxa"/>
        <w:shd w:val="clear" w:color="auto" w:fill="FFFFFF"/>
        <w:tblCellMar>
          <w:left w:w="0" w:type="dxa"/>
          <w:right w:w="0" w:type="dxa"/>
        </w:tblCellMar>
        <w:tblLook w:val="04A0" w:firstRow="1" w:lastRow="0" w:firstColumn="1" w:lastColumn="0" w:noHBand="0" w:noVBand="1"/>
      </w:tblPr>
      <w:tblGrid>
        <w:gridCol w:w="740"/>
        <w:gridCol w:w="3337"/>
        <w:gridCol w:w="1276"/>
        <w:gridCol w:w="3464"/>
        <w:gridCol w:w="874"/>
        <w:gridCol w:w="20"/>
        <w:gridCol w:w="347"/>
      </w:tblGrid>
      <w:tr w:rsidR="00D766A8" w:rsidRPr="009D063A" w:rsidTr="00D766A8">
        <w:trPr>
          <w:gridAfter w:val="2"/>
          <w:wAfter w:w="367" w:type="dxa"/>
          <w:tblHeader/>
        </w:trPr>
        <w:tc>
          <w:tcPr>
            <w:tcW w:w="7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75" w:after="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TT</w:t>
            </w:r>
          </w:p>
        </w:tc>
        <w:tc>
          <w:tcPr>
            <w:tcW w:w="3337" w:type="dxa"/>
            <w:tcBorders>
              <w:top w:val="single" w:sz="2" w:space="0" w:color="auto"/>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75" w:after="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Lĩnh vực/Thủ tục</w:t>
            </w:r>
          </w:p>
        </w:tc>
        <w:tc>
          <w:tcPr>
            <w:tcW w:w="1276" w:type="dxa"/>
            <w:tcBorders>
              <w:top w:val="single" w:sz="2" w:space="0" w:color="auto"/>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75" w:after="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Mức độ DVC</w:t>
            </w:r>
          </w:p>
        </w:tc>
        <w:tc>
          <w:tcPr>
            <w:tcW w:w="3464" w:type="dxa"/>
            <w:tcBorders>
              <w:top w:val="single" w:sz="2" w:space="0" w:color="auto"/>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75" w:after="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Căn cứ pháp lý</w:t>
            </w:r>
          </w:p>
        </w:tc>
        <w:tc>
          <w:tcPr>
            <w:tcW w:w="874" w:type="dxa"/>
            <w:tcBorders>
              <w:top w:val="single" w:sz="2" w:space="0" w:color="auto"/>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75" w:after="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Ghi chú</w:t>
            </w:r>
          </w:p>
        </w:tc>
      </w:tr>
      <w:tr w:rsidR="00D766A8" w:rsidRPr="009D063A" w:rsidTr="00D766A8">
        <w:trPr>
          <w:gridAfter w:val="2"/>
          <w:wAfter w:w="367" w:type="dxa"/>
          <w:trHeight w:val="710"/>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3A10C5">
              <w:rPr>
                <w:rFonts w:eastAsia="Times New Roman" w:cs="Times New Roman"/>
                <w:b/>
                <w:bCs/>
                <w:color w:val="212529"/>
                <w:szCs w:val="28"/>
              </w:rPr>
              <w:t>I</w:t>
            </w:r>
          </w:p>
        </w:tc>
        <w:tc>
          <w:tcPr>
            <w:tcW w:w="8951" w:type="dxa"/>
            <w:gridSpan w:val="4"/>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3A10C5">
              <w:rPr>
                <w:rFonts w:eastAsia="Times New Roman" w:cs="Times New Roman"/>
                <w:b/>
                <w:bCs/>
                <w:color w:val="212529"/>
                <w:szCs w:val="28"/>
              </w:rPr>
              <w:t>LĨNH VỰC NGHĨA VỤ QUÂN SỰ</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1</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nghĩa vụ quân sự lần đầu</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4"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2</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phục vụ trong ngạch dự bị</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5"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3</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nghĩa vụ quân sự bổ sung</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6"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4</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nghĩa vụ quân sự chuyển đi khi thay đổi nơi cư trú hoặc nơi làm việc, học tập</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7"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5</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nghĩa vụ quân sự chuyển đến khi thay đổi nơi cư trú hoặc nơi làm việc, học tập</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8"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6</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nghĩa vụ quân sự tạm vắng</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9"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lastRenderedPageBreak/>
              <w:t>7</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miễn gọi nhập ngũ thời chiến</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Luật Nghĩa vụ quân sự ngày 19 tháng 6 năm 2015;</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w:t>
            </w:r>
            <w:hyperlink r:id="rId10" w:tgtFrame="_blank" w:tooltip="Nghị định 13/2016/NĐ-CP" w:history="1">
              <w:r w:rsidRPr="003A10C5">
                <w:rPr>
                  <w:rFonts w:eastAsia="Times New Roman" w:cs="Times New Roman"/>
                  <w:color w:val="0E70C3"/>
                  <w:szCs w:val="28"/>
                </w:rPr>
                <w:t>13/2016/NĐ CP</w:t>
              </w:r>
            </w:hyperlink>
            <w:r w:rsidRPr="009D063A">
              <w:rPr>
                <w:rFonts w:eastAsia="Times New Roman" w:cs="Times New Roman"/>
                <w:color w:val="212529"/>
                <w:szCs w:val="28"/>
              </w:rPr>
              <w:t>ngày 19 tháng 02 năm 2016 của Chính phủ;</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Height w:val="728"/>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3A10C5">
              <w:rPr>
                <w:rFonts w:eastAsia="Times New Roman" w:cs="Times New Roman"/>
                <w:b/>
                <w:bCs/>
                <w:color w:val="212529"/>
                <w:szCs w:val="28"/>
              </w:rPr>
              <w:t>II</w:t>
            </w:r>
          </w:p>
        </w:tc>
        <w:tc>
          <w:tcPr>
            <w:tcW w:w="8951" w:type="dxa"/>
            <w:gridSpan w:val="4"/>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3A10C5">
              <w:rPr>
                <w:rFonts w:eastAsia="Times New Roman" w:cs="Times New Roman"/>
                <w:b/>
                <w:bCs/>
                <w:color w:val="212529"/>
                <w:szCs w:val="28"/>
              </w:rPr>
              <w:t>LĨNH VỰC DÂN QUÂN TỰ VỆ</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8</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Trợ cấp đối với dân quân bị ốm hoặc đối với thân nhân khi dân quân bị ốm dẫn đến chết</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Luật Dân quân tự vệ ngày 23 tháng 11 năm 2009;</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Nghị định số</w:t>
            </w:r>
            <w:hyperlink r:id="rId11" w:history="1">
              <w:r w:rsidRPr="003A10C5">
                <w:rPr>
                  <w:rFonts w:eastAsia="Times New Roman" w:cs="Times New Roman"/>
                  <w:color w:val="424242"/>
                  <w:szCs w:val="28"/>
                </w:rPr>
                <w:t>03/2016/NĐ-CP</w:t>
              </w:r>
            </w:hyperlink>
            <w:r w:rsidRPr="009D063A">
              <w:rPr>
                <w:rFonts w:eastAsia="Times New Roman" w:cs="Times New Roman"/>
                <w:color w:val="212529"/>
                <w:szCs w:val="28"/>
              </w:rPr>
              <w:t>ngày 05 tháng 01 năm 2016 của Chính phủ quy định chi tiết và biện pháp thi hành một số điều của Luật Dân quân tự vệ.</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Nghị định số 35/2013/NĐ-CP ngày 22/4/2013 của Chính phủ quy định chức năng, nhiệm vụ, quyền hạn và cơ cấu tổ chức của Bộ Quốc phòng.</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9</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Trợ cấp đối với dân quân bị tai nạn hoặc đối với thân nhân khi dân quân bị tai nạn dẫn đến chết.</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Luật Dân quân tự vệ ngày 23 tháng 11 năm 2009;</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-Nghị định số</w:t>
            </w:r>
            <w:hyperlink r:id="rId12" w:history="1">
              <w:r w:rsidRPr="003A10C5">
                <w:rPr>
                  <w:rFonts w:eastAsia="Times New Roman" w:cs="Times New Roman"/>
                  <w:color w:val="424242"/>
                  <w:szCs w:val="28"/>
                </w:rPr>
                <w:t>03/2016/NĐ-CP</w:t>
              </w:r>
            </w:hyperlink>
            <w:r w:rsidRPr="009D063A">
              <w:rPr>
                <w:rFonts w:eastAsia="Times New Roman" w:cs="Times New Roman"/>
                <w:color w:val="212529"/>
                <w:szCs w:val="28"/>
              </w:rPr>
              <w:t>ngày 05 tháng 01 năm 2016 của Chính phủ quy định chi tiết và biện pháp thi hành một số điềucủa Luật Dân quân tự vệ;</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Nghị định số 35/2013/NĐ-CP ngày 22/4/2013 của Chính phủ quy định chức năng, nhiệm vụ, quyền hạn và cơ cấu tổ chức của Bộ Quốc phòng.</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3A10C5">
              <w:rPr>
                <w:rFonts w:eastAsia="Times New Roman" w:cs="Times New Roman"/>
                <w:b/>
                <w:bCs/>
                <w:color w:val="212529"/>
                <w:szCs w:val="28"/>
              </w:rPr>
              <w:t>III</w:t>
            </w:r>
          </w:p>
        </w:tc>
        <w:tc>
          <w:tcPr>
            <w:tcW w:w="8951" w:type="dxa"/>
            <w:gridSpan w:val="4"/>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3A10C5">
              <w:rPr>
                <w:rFonts w:eastAsia="Times New Roman" w:cs="Times New Roman"/>
                <w:b/>
                <w:bCs/>
                <w:color w:val="212529"/>
                <w:szCs w:val="28"/>
              </w:rPr>
              <w:t>LĨNH VỰC BẢO HIỂM XÃ HỘI</w:t>
            </w:r>
          </w:p>
        </w:tc>
      </w:tr>
      <w:tr w:rsidR="00D766A8" w:rsidRPr="009D063A" w:rsidTr="00D766A8">
        <w:trPr>
          <w:gridAfter w:val="2"/>
          <w:wAfter w:w="367" w:type="dxa"/>
          <w:trHeight w:val="8065"/>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lastRenderedPageBreak/>
              <w:t>10</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Giải quyết chế độ hưu trí hàng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01/4/2020</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Nghị định số 159/2006/NĐ-CP của Chính phủ ban hành ngày 28/12/2006 về việc thực hiện chế độ hưu trí đối với quân nhân trực tiếp tham gia kháng chiến chống Mỹ cứu nước từ ngày 30/4/1975 trở về trước có 20 năm trở lên phục vụ quân đội đã phục viên, xuất ngũ.</w:t>
            </w:r>
          </w:p>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Thông tư liên tịch số 69/2007/TTLT- BQPBLĐTBXH-BTC của Bộ Lao động – thương binh và xã hội ban hành ngày 16/4/2007 v/v hướng dẫn thực hiện Nghị định số 159/2006/NĐ-CP về việc thực hiện chế độ hưu trí đối với quân nhân trực tiếp tham gia kháng chiến chống Mỹ cứu nước từ ngày 30/4/1975 trở về trước có 20 năm trở lên phục vụ quân đội đã phục viên, xuất ngũ</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3A10C5">
              <w:rPr>
                <w:rFonts w:eastAsia="Times New Roman" w:cs="Times New Roman"/>
                <w:b/>
                <w:bCs/>
                <w:color w:val="212529"/>
                <w:szCs w:val="28"/>
              </w:rPr>
              <w:t>IV</w:t>
            </w:r>
          </w:p>
        </w:tc>
        <w:tc>
          <w:tcPr>
            <w:tcW w:w="8951" w:type="dxa"/>
            <w:gridSpan w:val="4"/>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3A10C5">
              <w:rPr>
                <w:rFonts w:eastAsia="Times New Roman" w:cs="Times New Roman"/>
                <w:b/>
                <w:bCs/>
                <w:color w:val="212529"/>
                <w:szCs w:val="28"/>
              </w:rPr>
              <w:t>LĨNH VỰC CHÍNH SÁCH</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11</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Thủ tục giải quyết chế độ hưu trí đối với quân nhân, người làm việc công tác cơ yếu nhập ngũ sau ngày 30/4/1975, trực tiếp tham gia chiến tranh bảo vệ Tổ quốc và làm nhiệm vụ quốc tế, có đủ từ 20 năm trở lên phục vụ trong quân đội, cơ yếu đã phục viên xuất ngũ, thôi việc</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Nghị định số 23/2012/NĐ-CP của Chính phủ ban hành ngày 03/4/2012 v/v Quy định một số chế độ đối với quân nhân, công an nhân dân trực tiếp tham gia chiến tranh bảo vệ Tổ quốc, làm nhiệm vụ quốc tế ở Căm-pu-chi-a, giúp bạn Lào sau ngày 30 tháng 4 năm 1975 có từ đủ 20 năm trở lên phục vụ trong quân đội, công an đã phục viên, xuất ngũ, thôi việc</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-Thông tư liên tịch số </w:t>
            </w:r>
            <w:r w:rsidRPr="003A10C5">
              <w:rPr>
                <w:rFonts w:eastAsia="Times New Roman" w:cs="Times New Roman"/>
                <w:b/>
                <w:bCs/>
                <w:color w:val="212529"/>
                <w:szCs w:val="28"/>
              </w:rPr>
              <w:t xml:space="preserve">102/2012/TTLT-BQP-BLĐTBXH-BTC của Bộ </w:t>
            </w:r>
            <w:r w:rsidRPr="003A10C5">
              <w:rPr>
                <w:rFonts w:eastAsia="Times New Roman" w:cs="Times New Roman"/>
                <w:b/>
                <w:bCs/>
                <w:color w:val="212529"/>
                <w:szCs w:val="28"/>
              </w:rPr>
              <w:lastRenderedPageBreak/>
              <w:t>quốc phòng ban hành ngày 19/10/2012 v/v hướng</w:t>
            </w:r>
            <w:r w:rsidRPr="009D063A">
              <w:rPr>
                <w:rFonts w:eastAsia="Times New Roman" w:cs="Times New Roman"/>
                <w:color w:val="212529"/>
                <w:szCs w:val="28"/>
              </w:rPr>
              <w:t>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từ đủ 20 năm trở lên phục vụ trong quân đội, cơ yếu đã phục viên, xuất ngũ, thôi việc</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lastRenderedPageBreak/>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lastRenderedPageBreak/>
              <w:t>12</w:t>
            </w:r>
          </w:p>
        </w:tc>
        <w:tc>
          <w:tcPr>
            <w:tcW w:w="3337"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Thủ tục giải quyết chế độ trợ cấp 01 lần đối với quân nhân, người làm công tác cơ yếu hưởng lương như đối với quân nhân, công an nhân dân nhập ngũ sau ngày 30/4/1975, trực tiếp tham gia chiến tranh bảo vệ Tổ quốc và làm nhiệm vụ quốc tế, có đủ từ 20 năm trở lên phụv vụ trong quân đội, cơ yếu đã phục viên xuất ngũ, thôi việc (đối tượng từ trần)</w:t>
            </w:r>
          </w:p>
        </w:tc>
        <w:tc>
          <w:tcPr>
            <w:tcW w:w="1276" w:type="dxa"/>
            <w:tcBorders>
              <w:top w:val="nil"/>
              <w:left w:val="nil"/>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 </w:t>
            </w:r>
          </w:p>
        </w:tc>
        <w:tc>
          <w:tcPr>
            <w:tcW w:w="346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Nghị định số 23/2012/NĐ-CP của Chính phủ ban hành ngày 03/4/2012 v/v Quy định một số chế độ đối với quân nhân, công an nhân dân trực tiếp tham gia chiến tranh bảo vệ Tổ quốc, làm nhiệm vụ quốc tế ở Căm-pu-chi-a, giúp bạn Lào sau ngày 30 tháng 4 năm 1975 có từ đủ 20 năm trở lên phục vụ trong quân đội, công an đã phục viên, xuất ngũ, thôi việc</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-Thông tư liên tịch số </w:t>
            </w:r>
            <w:r w:rsidRPr="003A10C5">
              <w:rPr>
                <w:rFonts w:eastAsia="Times New Roman" w:cs="Times New Roman"/>
                <w:b/>
                <w:bCs/>
                <w:color w:val="212529"/>
                <w:szCs w:val="28"/>
              </w:rPr>
              <w:t>102/2012/TTLT-BQP-BLĐTBXH-BTC của Bộ quốc phòng ban hành ngày 19/10/2012 v/v hướng</w:t>
            </w:r>
            <w:r w:rsidRPr="009D063A">
              <w:rPr>
                <w:rFonts w:eastAsia="Times New Roman" w:cs="Times New Roman"/>
                <w:color w:val="212529"/>
                <w:szCs w:val="28"/>
              </w:rPr>
              <w:t xml:space="preserve">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từ đủ 20 năm trở lên phục vụ trong quân </w:t>
            </w:r>
            <w:r w:rsidRPr="009D063A">
              <w:rPr>
                <w:rFonts w:eastAsia="Times New Roman" w:cs="Times New Roman"/>
                <w:color w:val="212529"/>
                <w:szCs w:val="28"/>
              </w:rPr>
              <w:lastRenderedPageBreak/>
              <w:t>đội, cơ yếu đã phục viên, xuất ngũ, thôi việc</w:t>
            </w:r>
          </w:p>
        </w:tc>
        <w:tc>
          <w:tcPr>
            <w:tcW w:w="874" w:type="dxa"/>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lastRenderedPageBreak/>
              <w:t> </w:t>
            </w:r>
          </w:p>
        </w:tc>
      </w:tr>
      <w:tr w:rsidR="00D766A8" w:rsidRPr="009D063A" w:rsidTr="00D766A8">
        <w:trPr>
          <w:gridAfter w:val="2"/>
          <w:wAfter w:w="367" w:type="dxa"/>
        </w:trPr>
        <w:tc>
          <w:tcPr>
            <w:tcW w:w="740" w:type="dxa"/>
            <w:tcBorders>
              <w:top w:val="nil"/>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3A10C5">
              <w:rPr>
                <w:rFonts w:eastAsia="Times New Roman" w:cs="Times New Roman"/>
                <w:b/>
                <w:bCs/>
                <w:color w:val="212529"/>
                <w:szCs w:val="28"/>
              </w:rPr>
              <w:lastRenderedPageBreak/>
              <w:t>V</w:t>
            </w:r>
          </w:p>
        </w:tc>
        <w:tc>
          <w:tcPr>
            <w:tcW w:w="8951" w:type="dxa"/>
            <w:gridSpan w:val="4"/>
            <w:tcBorders>
              <w:top w:val="nil"/>
              <w:left w:val="nil"/>
              <w:bottom w:val="single" w:sz="2"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3A10C5">
              <w:rPr>
                <w:rFonts w:eastAsia="Times New Roman" w:cs="Times New Roman"/>
                <w:b/>
                <w:bCs/>
                <w:color w:val="212529"/>
                <w:szCs w:val="28"/>
              </w:rPr>
              <w:t>LĨNH VỰC ĐỘNG VIÊN QUÂN ĐỘI</w:t>
            </w:r>
          </w:p>
        </w:tc>
      </w:tr>
      <w:tr w:rsidR="00D766A8" w:rsidRPr="009D063A" w:rsidTr="00985ED5">
        <w:trPr>
          <w:gridAfter w:val="2"/>
          <w:wAfter w:w="367" w:type="dxa"/>
          <w:trHeight w:val="1526"/>
        </w:trPr>
        <w:tc>
          <w:tcPr>
            <w:tcW w:w="740"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13</w:t>
            </w:r>
          </w:p>
        </w:tc>
        <w:tc>
          <w:tcPr>
            <w:tcW w:w="3337"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Đăng ký tạm vắng đối với phương tiện kỹ thuật đã sắp xếp trong kế hoạch bổ sung cho lực lượng thường trực của quân đội (chủ phương tiện là cá nhân)</w:t>
            </w:r>
          </w:p>
        </w:tc>
        <w:tc>
          <w:tcPr>
            <w:tcW w:w="127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w:t>
            </w:r>
            <w:hyperlink r:id="rId13" w:history="1">
              <w:r w:rsidRPr="003A10C5">
                <w:rPr>
                  <w:rFonts w:eastAsia="Times New Roman" w:cs="Times New Roman"/>
                  <w:color w:val="000000"/>
                  <w:szCs w:val="28"/>
                </w:rPr>
                <w:t>Nghị định 168/1999/NĐ-CP</w:t>
              </w:r>
            </w:hyperlink>
            <w:r w:rsidRPr="009D063A">
              <w:rPr>
                <w:rFonts w:eastAsia="Times New Roman" w:cs="Times New Roman"/>
                <w:color w:val="212529"/>
                <w:szCs w:val="28"/>
              </w:rPr>
              <w:t>;</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w:t>
            </w:r>
            <w:hyperlink r:id="rId14" w:history="1">
              <w:r w:rsidRPr="003A10C5">
                <w:rPr>
                  <w:rFonts w:eastAsia="Times New Roman" w:cs="Times New Roman"/>
                  <w:color w:val="000000"/>
                  <w:szCs w:val="28"/>
                </w:rPr>
                <w:t>Nghị định 125/2005/NĐ-CP</w:t>
              </w:r>
            </w:hyperlink>
            <w:r w:rsidRPr="009D063A">
              <w:rPr>
                <w:rFonts w:eastAsia="Times New Roman" w:cs="Times New Roman"/>
                <w:color w:val="212529"/>
                <w:szCs w:val="28"/>
              </w:rPr>
              <w:t>;</w:t>
            </w:r>
          </w:p>
          <w:p w:rsidR="00D766A8" w:rsidRPr="009D063A" w:rsidRDefault="00D766A8" w:rsidP="009D063A">
            <w:pPr>
              <w:spacing w:before="120" w:after="120" w:line="320" w:lineRule="atLeast"/>
              <w:jc w:val="both"/>
              <w:rPr>
                <w:rFonts w:eastAsia="Times New Roman" w:cs="Times New Roman"/>
                <w:color w:val="212529"/>
                <w:szCs w:val="28"/>
              </w:rPr>
            </w:pPr>
            <w:r w:rsidRPr="003A10C5">
              <w:rPr>
                <w:rFonts w:eastAsia="Times New Roman" w:cs="Times New Roman"/>
                <w:b/>
                <w:bCs/>
                <w:color w:val="212529"/>
                <w:szCs w:val="28"/>
              </w:rPr>
              <w:t>-</w:t>
            </w:r>
            <w:hyperlink r:id="rId15" w:history="1">
              <w:r w:rsidRPr="003A10C5">
                <w:rPr>
                  <w:rFonts w:eastAsia="Times New Roman" w:cs="Times New Roman"/>
                  <w:color w:val="000000"/>
                  <w:szCs w:val="28"/>
                </w:rPr>
                <w:t>Nghị định 44/2012/NĐ-CP</w:t>
              </w:r>
            </w:hyperlink>
            <w:r w:rsidRPr="009D063A">
              <w:rPr>
                <w:rFonts w:eastAsia="Times New Roman" w:cs="Times New Roman"/>
                <w:color w:val="212529"/>
                <w:szCs w:val="28"/>
              </w:rPr>
              <w:t>.</w:t>
            </w:r>
          </w:p>
        </w:tc>
        <w:tc>
          <w:tcPr>
            <w:tcW w:w="874" w:type="dxa"/>
            <w:tcBorders>
              <w:top w:val="nil"/>
              <w:left w:val="single" w:sz="4" w:space="0" w:color="auto"/>
              <w:right w:val="single" w:sz="2"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D766A8" w:rsidRPr="009D063A" w:rsidTr="00985ED5">
        <w:trPr>
          <w:gridAfter w:val="2"/>
          <w:wAfter w:w="367" w:type="dxa"/>
        </w:trPr>
        <w:tc>
          <w:tcPr>
            <w:tcW w:w="740"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14</w:t>
            </w:r>
          </w:p>
        </w:tc>
        <w:tc>
          <w:tcPr>
            <w:tcW w:w="3337"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rPr>
                <w:rFonts w:eastAsia="Times New Roman" w:cs="Times New Roman"/>
                <w:color w:val="212529"/>
                <w:szCs w:val="28"/>
              </w:rPr>
            </w:pPr>
            <w:r w:rsidRPr="009D063A">
              <w:rPr>
                <w:rFonts w:eastAsia="Times New Roman" w:cs="Times New Roman"/>
                <w:color w:val="212529"/>
                <w:szCs w:val="28"/>
              </w:rPr>
              <w:t>Xoá đăng ký tạm vắng đối với phương tiện kỹ thuật đã sắp xếp trong kế hoạch bổ sung cho lực lượng thường trực của quân đội (chủ phương tiện là cá nhân)</w:t>
            </w:r>
          </w:p>
        </w:tc>
        <w:tc>
          <w:tcPr>
            <w:tcW w:w="1276"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766A8" w:rsidRPr="009D063A" w:rsidRDefault="00D766A8" w:rsidP="009D063A">
            <w:pPr>
              <w:spacing w:before="120" w:after="120" w:line="320" w:lineRule="atLeast"/>
              <w:jc w:val="center"/>
              <w:rPr>
                <w:rFonts w:eastAsia="Times New Roman" w:cs="Times New Roman"/>
                <w:color w:val="212529"/>
                <w:szCs w:val="28"/>
              </w:rPr>
            </w:pPr>
            <w:r w:rsidRPr="009D063A">
              <w:rPr>
                <w:rFonts w:eastAsia="Times New Roman" w:cs="Times New Roman"/>
                <w:color w:val="212529"/>
                <w:szCs w:val="28"/>
              </w:rPr>
              <w:t> </w:t>
            </w:r>
          </w:p>
        </w:tc>
        <w:tc>
          <w:tcPr>
            <w:tcW w:w="3464"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w:t>
            </w:r>
            <w:hyperlink r:id="rId16" w:history="1">
              <w:r w:rsidRPr="003A10C5">
                <w:rPr>
                  <w:rFonts w:eastAsia="Times New Roman" w:cs="Times New Roman"/>
                  <w:color w:val="000000"/>
                  <w:szCs w:val="28"/>
                </w:rPr>
                <w:t>Nghị định 168/1999/NĐ-CP</w:t>
              </w:r>
            </w:hyperlink>
            <w:r w:rsidRPr="009D063A">
              <w:rPr>
                <w:rFonts w:eastAsia="Times New Roman" w:cs="Times New Roman"/>
                <w:color w:val="212529"/>
                <w:szCs w:val="28"/>
              </w:rPr>
              <w:t>;</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w:t>
            </w:r>
            <w:hyperlink r:id="rId17" w:history="1">
              <w:r w:rsidRPr="003A10C5">
                <w:rPr>
                  <w:rFonts w:eastAsia="Times New Roman" w:cs="Times New Roman"/>
                  <w:color w:val="000000"/>
                  <w:szCs w:val="28"/>
                </w:rPr>
                <w:t>Nghị định 125/2005/NĐ-CP</w:t>
              </w:r>
            </w:hyperlink>
            <w:r w:rsidRPr="009D063A">
              <w:rPr>
                <w:rFonts w:eastAsia="Times New Roman" w:cs="Times New Roman"/>
                <w:color w:val="212529"/>
                <w:szCs w:val="28"/>
              </w:rPr>
              <w:t>;</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w:t>
            </w:r>
            <w:hyperlink r:id="rId18" w:history="1">
              <w:r w:rsidRPr="003A10C5">
                <w:rPr>
                  <w:rFonts w:eastAsia="Times New Roman" w:cs="Times New Roman"/>
                  <w:color w:val="000000"/>
                  <w:szCs w:val="28"/>
                </w:rPr>
                <w:t>Nghị định 44/2012/NĐ-CP</w:t>
              </w:r>
            </w:hyperlink>
            <w:r w:rsidRPr="009D063A">
              <w:rPr>
                <w:rFonts w:eastAsia="Times New Roman" w:cs="Times New Roman"/>
                <w:color w:val="212529"/>
                <w:szCs w:val="28"/>
              </w:rPr>
              <w:t>.</w:t>
            </w:r>
          </w:p>
          <w:p w:rsidR="00D766A8" w:rsidRPr="009D063A" w:rsidRDefault="00D766A8" w:rsidP="009D063A">
            <w:pPr>
              <w:spacing w:before="120" w:after="120" w:line="320" w:lineRule="atLeast"/>
              <w:jc w:val="both"/>
              <w:rPr>
                <w:rFonts w:eastAsia="Times New Roman" w:cs="Times New Roman"/>
                <w:color w:val="212529"/>
                <w:szCs w:val="28"/>
              </w:rPr>
            </w:pPr>
            <w:r w:rsidRPr="009D063A">
              <w:rPr>
                <w:rFonts w:eastAsia="Times New Roman" w:cs="Times New Roman"/>
                <w:color w:val="212529"/>
                <w:szCs w:val="28"/>
              </w:rPr>
              <w:t> </w:t>
            </w:r>
          </w:p>
        </w:tc>
        <w:tc>
          <w:tcPr>
            <w:tcW w:w="874"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766A8" w:rsidRPr="009D063A" w:rsidRDefault="00D766A8" w:rsidP="009D063A">
            <w:pPr>
              <w:spacing w:before="75" w:after="0" w:line="240" w:lineRule="auto"/>
              <w:ind w:left="75" w:right="75"/>
              <w:rPr>
                <w:rFonts w:eastAsia="Times New Roman" w:cs="Times New Roman"/>
                <w:color w:val="212529"/>
                <w:szCs w:val="28"/>
              </w:rPr>
            </w:pPr>
            <w:r w:rsidRPr="009D063A">
              <w:rPr>
                <w:rFonts w:eastAsia="Times New Roman" w:cs="Times New Roman"/>
                <w:color w:val="212529"/>
                <w:szCs w:val="28"/>
              </w:rPr>
              <w:t> </w:t>
            </w:r>
          </w:p>
        </w:tc>
      </w:tr>
      <w:tr w:rsidR="009D063A" w:rsidRPr="009D063A" w:rsidTr="00985ED5">
        <w:tc>
          <w:tcPr>
            <w:tcW w:w="740" w:type="dxa"/>
            <w:tcBorders>
              <w:top w:val="single" w:sz="4" w:space="0" w:color="auto"/>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3337" w:type="dxa"/>
            <w:tcBorders>
              <w:top w:val="single" w:sz="4" w:space="0" w:color="auto"/>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1276" w:type="dxa"/>
            <w:tcBorders>
              <w:top w:val="single" w:sz="4" w:space="0" w:color="auto"/>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3464" w:type="dxa"/>
            <w:tcBorders>
              <w:top w:val="single" w:sz="4" w:space="0" w:color="auto"/>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874" w:type="dxa"/>
            <w:tcBorders>
              <w:top w:val="single" w:sz="4" w:space="0" w:color="auto"/>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20" w:type="dxa"/>
            <w:tcBorders>
              <w:top w:val="nil"/>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c>
          <w:tcPr>
            <w:tcW w:w="347" w:type="dxa"/>
            <w:tcBorders>
              <w:top w:val="nil"/>
              <w:left w:val="nil"/>
              <w:bottom w:val="nil"/>
              <w:right w:val="nil"/>
            </w:tcBorders>
            <w:shd w:val="clear" w:color="auto" w:fill="FFFFFF"/>
            <w:vAlign w:val="center"/>
            <w:hideMark/>
          </w:tcPr>
          <w:p w:rsidR="009D063A" w:rsidRPr="009D063A" w:rsidRDefault="009D063A" w:rsidP="009D063A">
            <w:pPr>
              <w:spacing w:after="0" w:line="240" w:lineRule="auto"/>
              <w:rPr>
                <w:rFonts w:eastAsia="Times New Roman" w:cs="Times New Roman"/>
                <w:color w:val="212529"/>
                <w:szCs w:val="28"/>
              </w:rPr>
            </w:pPr>
          </w:p>
        </w:tc>
      </w:tr>
    </w:tbl>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br w:type="textWrapping" w:clear="all"/>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Pr="009D063A" w:rsidRDefault="009D063A" w:rsidP="009D063A">
      <w:pPr>
        <w:shd w:val="clear" w:color="auto" w:fill="FFFFFF"/>
        <w:spacing w:before="75" w:after="120" w:line="240" w:lineRule="auto"/>
        <w:ind w:left="75" w:right="75"/>
        <w:rPr>
          <w:rFonts w:eastAsia="Times New Roman" w:cs="Times New Roman"/>
          <w:color w:val="212529"/>
          <w:szCs w:val="28"/>
        </w:rPr>
      </w:pPr>
      <w:r w:rsidRPr="009D063A">
        <w:rPr>
          <w:rFonts w:eastAsia="Times New Roman" w:cs="Times New Roman"/>
          <w:color w:val="212529"/>
          <w:szCs w:val="28"/>
        </w:rPr>
        <w:t> </w:t>
      </w:r>
    </w:p>
    <w:p w:rsidR="009D063A" w:rsidRDefault="009D063A" w:rsidP="009D063A">
      <w:pPr>
        <w:shd w:val="clear" w:color="auto" w:fill="FFFFFF"/>
        <w:spacing w:before="75" w:after="120" w:line="240" w:lineRule="auto"/>
        <w:ind w:left="75" w:right="75"/>
        <w:jc w:val="both"/>
        <w:rPr>
          <w:rFonts w:eastAsia="Times New Roman" w:cs="Times New Roman"/>
          <w:color w:val="212529"/>
          <w:szCs w:val="28"/>
        </w:rPr>
      </w:pPr>
      <w:r w:rsidRPr="009D063A">
        <w:rPr>
          <w:rFonts w:eastAsia="Times New Roman" w:cs="Times New Roman"/>
          <w:color w:val="212529"/>
          <w:szCs w:val="28"/>
        </w:rPr>
        <w:t> </w:t>
      </w:r>
    </w:p>
    <w:p w:rsidR="00D766A8" w:rsidRDefault="00D766A8" w:rsidP="009D063A">
      <w:pPr>
        <w:shd w:val="clear" w:color="auto" w:fill="FFFFFF"/>
        <w:spacing w:before="75" w:after="120" w:line="240" w:lineRule="auto"/>
        <w:ind w:left="75" w:right="75"/>
        <w:jc w:val="both"/>
        <w:rPr>
          <w:rFonts w:eastAsia="Times New Roman" w:cs="Times New Roman"/>
          <w:color w:val="212529"/>
          <w:szCs w:val="28"/>
        </w:rPr>
      </w:pPr>
    </w:p>
    <w:p w:rsidR="00D766A8" w:rsidRDefault="00D766A8" w:rsidP="009D063A">
      <w:pPr>
        <w:shd w:val="clear" w:color="auto" w:fill="FFFFFF"/>
        <w:spacing w:before="75" w:after="120" w:line="240" w:lineRule="auto"/>
        <w:ind w:left="75" w:right="75"/>
        <w:jc w:val="both"/>
        <w:rPr>
          <w:rFonts w:eastAsia="Times New Roman" w:cs="Times New Roman"/>
          <w:color w:val="212529"/>
          <w:szCs w:val="28"/>
        </w:rPr>
      </w:pPr>
    </w:p>
    <w:p w:rsidR="00D766A8" w:rsidRDefault="00D766A8" w:rsidP="009D063A">
      <w:pPr>
        <w:shd w:val="clear" w:color="auto" w:fill="FFFFFF"/>
        <w:spacing w:before="75" w:after="120" w:line="240" w:lineRule="auto"/>
        <w:ind w:left="75" w:right="75"/>
        <w:jc w:val="both"/>
        <w:rPr>
          <w:rFonts w:eastAsia="Times New Roman" w:cs="Times New Roman"/>
          <w:color w:val="212529"/>
          <w:szCs w:val="28"/>
        </w:rPr>
      </w:pPr>
    </w:p>
    <w:p w:rsidR="00D766A8" w:rsidRDefault="00D766A8" w:rsidP="009D063A">
      <w:pPr>
        <w:shd w:val="clear" w:color="auto" w:fill="FFFFFF"/>
        <w:spacing w:before="75" w:after="120" w:line="240" w:lineRule="auto"/>
        <w:ind w:left="75" w:right="75"/>
        <w:jc w:val="both"/>
        <w:rPr>
          <w:rFonts w:eastAsia="Times New Roman" w:cs="Times New Roman"/>
          <w:color w:val="212529"/>
          <w:szCs w:val="28"/>
        </w:rPr>
      </w:pPr>
    </w:p>
    <w:p w:rsidR="00D766A8" w:rsidRPr="009D063A" w:rsidRDefault="00D766A8" w:rsidP="009D063A">
      <w:pPr>
        <w:shd w:val="clear" w:color="auto" w:fill="FFFFFF"/>
        <w:spacing w:before="75" w:after="120" w:line="240" w:lineRule="auto"/>
        <w:ind w:left="75" w:right="75"/>
        <w:jc w:val="both"/>
        <w:rPr>
          <w:rFonts w:eastAsia="Times New Roman" w:cs="Times New Roman"/>
          <w:color w:val="212529"/>
          <w:szCs w:val="28"/>
        </w:rPr>
      </w:pPr>
    </w:p>
    <w:p w:rsidR="009D063A" w:rsidRPr="009D063A" w:rsidRDefault="009D063A" w:rsidP="009D063A">
      <w:pPr>
        <w:shd w:val="clear" w:color="auto" w:fill="FFFFFF"/>
        <w:spacing w:before="75" w:after="12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lastRenderedPageBreak/>
        <w:t>NỘI DUNG THỦ TỤC HÀNH CHÍNH</w:t>
      </w:r>
    </w:p>
    <w:p w:rsidR="009D063A" w:rsidRPr="009D063A" w:rsidRDefault="009D063A" w:rsidP="009D063A">
      <w:pPr>
        <w:shd w:val="clear" w:color="auto" w:fill="FFFFFF"/>
        <w:spacing w:before="75" w:after="120" w:line="240" w:lineRule="auto"/>
        <w:ind w:left="75" w:right="75"/>
        <w:jc w:val="center"/>
        <w:rPr>
          <w:rFonts w:eastAsia="Times New Roman" w:cs="Times New Roman"/>
          <w:color w:val="212529"/>
          <w:szCs w:val="28"/>
        </w:rPr>
      </w:pPr>
      <w:r w:rsidRPr="003A10C5">
        <w:rPr>
          <w:rFonts w:eastAsia="Times New Roman" w:cs="Times New Roman"/>
          <w:b/>
          <w:bCs/>
          <w:color w:val="212529"/>
          <w:szCs w:val="28"/>
        </w:rPr>
        <w:t>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1. Thủ tục đăng ký nghĩa vụ quân sự lần đầu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Trước thời hạn 10 ngày, tính đến ngày đăng ký nghĩa vụ quân sự, Ban Chỉ huy quân sự cấp xã có trách nhiệm chuyển Lệnh gọi đăng ký nghĩa vụ quân sự đến công dân. Trường hợp cơ quan, tổ chức không có Ban Chỉ huy quân sự, thì người đứng đầu hoặc người đại diện hợp pháp của cơ quan, tổ chức có trách nhiệm chuyển Lệnh gọi đăng ký nghĩa vụ quân sự đến công dân;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Sau khi nhận được Lệnh gọi đăng ký nghĩa vụ quân sự của Chỉ huy trưởng Ban Chỉ huy quân sự huyện, quận, thị xã, thành phố thuộc tỉnh và đơn vị hành chính tương đương (sau đây gọi chung là Chỉ huy trưởng Ban Chỉ huy quân sự cấp huyện) công dân có trách nhiệm đến Ban Chỉ huy quân sự xã, phường, thị trấn, cơ quan, tổ chức (sau đây gọi chung là Ban Chỉ huy quân sự cấp xã) để trực tiếp đăng ký nghĩa vụ quân sự.</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3</w:t>
      </w:r>
      <w:r w:rsidRPr="003A10C5">
        <w:rPr>
          <w:rFonts w:eastAsia="Times New Roman" w:cs="Times New Roman"/>
          <w:i/>
          <w:iCs/>
          <w:color w:val="212529"/>
          <w:szCs w:val="28"/>
        </w:rPr>
        <w:t>:</w:t>
      </w:r>
      <w:r w:rsidRPr="009D063A">
        <w:rPr>
          <w:rFonts w:eastAsia="Times New Roman" w:cs="Times New Roman"/>
          <w:color w:val="212529"/>
          <w:szCs w:val="28"/>
        </w:rPr>
        <w:t> Trong thời hạn 01 ngày, Ban Chỉ huy quân sự cấp xã có trách nhiệm đối chiếu bản gốc giấy chứng minh nhân dân hoặc giấy khai sinh; hướng dẫn công dân kê khai Phiếu tự khai sức khỏe nghĩa vụ quân sự, đăng ký các thông tin cần thiết của công dân vào Sổ danh sách công dân nam đủ 17 tuổi trong năm, Sổ đăng ký công dân sẵn sàng nhập ngũ và chuyển Giấy chứng nhận đăng ký nghĩa vụ quân sự cho công dân ngay sau khi đăng ký.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nghĩa vụ quân sự.</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tự khai sức khỏe nghĩa vụ quân sự;</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chụp giấy CMND hoặc giấy khai sinh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Kết quả thực hiện TTHC:</w:t>
      </w:r>
      <w:r w:rsidRPr="009D063A">
        <w:rPr>
          <w:rFonts w:eastAsia="Times New Roman" w:cs="Times New Roman"/>
          <w:color w:val="212529"/>
          <w:szCs w:val="28"/>
        </w:rPr>
        <w:t> Giấy chứng nhận đăng ký nghĩa vụ quân sự.</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19"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2. Thủ tục đăng ký phục vụ trong ngạch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Trước thời hạn 10 ngày, tính đến ngày đăng ký phục vụ trong ngạch dự bị, Ban Chỉ huy quân sự cấp xã có trách nhiệm chuyển Lệnh gọi đăng ký nghĩa vụ quân sự đến công dân thuộc đối tượng quy định tại Khoản 1, Khoản 2 Điều 18 Luật Nghĩa vụ quân sự vào tháng 4 hằng năm. Trường hợp cơ quan, tổ chức không có Ban Chỉ huy quân sự, thì người đứng đầu hoặc người đại diện hợp pháp của cơ quan, tổ chức có trách nhiệm chuyển Lệnh gọi đăng ký nghĩa vụ quân sự đến công dân.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Trong thời hạn 15 ngày làm việc, kể từ ngày công dân thuộc đối tượng quy định tại khoản 3 Điều 18 Luật nghĩa vụ quân sự về địa phương cư trú có trách nhiệm đến Ban Chỉ huy quân sự cấp xã để trực tiếp đăng ký phục vụ trong ngạch dự bị vào các ngày trong năm (theo lịch làm việc của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3</w:t>
      </w:r>
      <w:r w:rsidRPr="003A10C5">
        <w:rPr>
          <w:rFonts w:eastAsia="Times New Roman" w:cs="Times New Roman"/>
          <w:i/>
          <w:iCs/>
          <w:color w:val="212529"/>
          <w:szCs w:val="28"/>
        </w:rPr>
        <w:t>:</w:t>
      </w:r>
      <w:r w:rsidRPr="009D063A">
        <w:rPr>
          <w:rFonts w:eastAsia="Times New Roman" w:cs="Times New Roman"/>
          <w:color w:val="212529"/>
          <w:szCs w:val="28"/>
        </w:rPr>
        <w:t> Trong thời hạn 01 ngày, Ban Chỉ huy quân sự cấp xã có trách nhiệm lập phiếu quân nhân dự bị, vào Sổ đăng ký quân nhân dự bị và chuyển Giấy chứng nhận đăng ký quân nhân dự bị cho công dân đã đăng ký phục vụ trong ngạch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phục vụ trong ngạch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chụp quyết định xuất ngũ, thôi việc trong Quân đội nhân dân hoặc thôi phục vụ trong lực lượng Công an nhân dân (mang theo bản chính để đối chiếu) đối với hạ sĩ quan, binh sĩ; quân nhân chuyên nghiệp; công nhân và viên chức quốc phòng xuất ngũ, thôi việc trong Quân đội nhân dân, lực lượng Cảnh sát biển và công dân thôi phục vụ trong Công an nhân dân.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TTHC:</w:t>
      </w:r>
      <w:r w:rsidRPr="009D063A">
        <w:rPr>
          <w:rFonts w:eastAsia="Times New Roman" w:cs="Times New Roman"/>
          <w:color w:val="212529"/>
          <w:szCs w:val="28"/>
        </w:rPr>
        <w:t> Giấy chứng nhận đăng ký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0"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3. Thủ tục Đăng ký nghĩa vụ quân sự bổ sung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Trong thời hạn 10 ngày, kể từ ngày có sự thay đổi chức vụ công tác, trình độ học vấn, trình độ chuyên môn, tình trạng sức khỏe và thông tin khác có liên quan đến nghĩa vụ quân sự, công dân phải trực tiếp đến Ban Chỉ huy quân sự cấp xã để trực tiếp đăng ký nghĩa vụ quân sự bổ sung.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Trong thời hạn 01 ngày, Ban Chỉ huy quân sự cấp xã thực hiện đăng ký nghĩa vụ quân sự bổ sung; sửa đổi, bổ sung những thông tin thay đổi của công dân vào Sổ đăng ký công dân sẵn sàng nhập ngũ, Sổ đăng ký quân nhân dự bị, Phiếu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nghĩa vụ quân sự bổ sung.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chụp Giấy chứng nhận đăng ký nghĩa vụ quân sự hoặc Giấy chứng nhận đăng ký quân nhân dự bị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chụp các giấy tờ liên quan đến những thay đổi chức vụ công tác, trình độ học vấn, trình độ chuyên môn, tình trạng sức khỏe và thông tin khác có liên quan đến nghĩa vụ quân sự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TTHC:</w:t>
      </w:r>
      <w:r w:rsidRPr="009D063A">
        <w:rPr>
          <w:rFonts w:eastAsia="Times New Roman" w:cs="Times New Roman"/>
          <w:color w:val="212529"/>
          <w:szCs w:val="28"/>
        </w:rPr>
        <w:t> Công dân được bổ sung thay đổi vào Sổ đăng ký công dân sẵn sàng nhập ngũ, Sổ đăng ký quân nhân dự bị, Phiếu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1"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r w:rsidRPr="003A10C5">
        <w:rPr>
          <w:rFonts w:eastAsia="Times New Roman" w:cs="Times New Roman"/>
          <w:b/>
          <w:bCs/>
          <w:color w:val="212529"/>
          <w:szCs w:val="28"/>
        </w:rPr>
        <w:t>4. Thủ tục đăng ký nghĩa vụ quân sự chuyển đi khi thay đổi nơi cư trú hoặc nơi làm việc, học tập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Công dân đã đăng ký nghĩa vụ quân sự khi thay đổi nơi cư trú hoặc nơi làm việc, học tập trực tiếp đến Ban Chỉ huy quân sự cấp xã làm thủ tục đăng ký nghĩa vụ quân sự chuyển đi. Trường hợp cơ quan, tổ chức không có Ban Chỉ huy quân sự, thì người đứng đầu hoặc người đại diện hợp pháp của cơ quan, tổ chức có trách nhiệm tổ chức cho công dân làm thủ tục đăng ký nghĩa vụ quân sự chuyển đi tại nơi cư trú;</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Trong thời hạn 01 ngày, Ban Chỉ huy quân sự cấp xã có trách nhiệm làm thủ tục cho công dân thực hiện đăng ký nghĩa vụ quân sự chuyển đi và cấp Giấy giới thiệu di chuyển đăng ký nghĩa vụ quân sự hoặc Giấy giới thiệu di chuyển quân nhân dự bị cho công dân, Phiếu quân nhân dự bị; đưa ra khỏi Sổ đăng ký công dân sẵn sàng nhập ngũ hoặc Sổ đăng ký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nghĩa vụ quân sự chuyển đi.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giới thiệu di chuyển đăng ký nghĩa vụ quân sự hoặc Giấy giới thiệu di chuyển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lastRenderedPageBreak/>
        <w:t>- Bản chụp Giấy chứng nhận đăng ký nghĩa vụ quân sự hoặc Giấy chứng nhận đăng ký quân nhân dự bị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chụp giấy giới thiệu chuyển hộ khẩu do cơ quan công an huyện, quận, thị xã, thành phố thuộc tỉnh và đơn vị hành chính tương đương về thay đổi nơi cư trú hoặc quyết định của người đứng đầu cơ quan, tổ chức về thay đổi nơi làm việc, học tập mới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hiệnTTHC:</w:t>
      </w:r>
      <w:r w:rsidRPr="009D063A">
        <w:rPr>
          <w:rFonts w:eastAsia="Times New Roman" w:cs="Times New Roman"/>
          <w:color w:val="212529"/>
          <w:szCs w:val="28"/>
        </w:rPr>
        <w:t> Giấy giới thiệu di chuyển đăng ký nghĩa vụ quân sự hoặc Giấy giới thiệu di chuyển quân nhân dự bị cho công dân.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2"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5. Thủ tục đăng ký nghĩa vụ quân sự chuyển đến khi thay đổi nơi cư trú hoặc nơi làm việc, học tập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Trong thời hạn 10 ngày, kể từ ngày đến nơi cư trú hoặc nơi làm việc, học tập mới, công dân có trách nhiệm đến Ban Chỉ huy quân sự cấp xã để trực tiếp đăng ký nghĩa vụ quân sự chuyển đến. Trường hợp cơ quan, tổ chức không có Ban Chỉ huy quân sự thì người đứng đầu hoặc người đại diện hợp pháp của cơ quan, tổ chức có trách nhiệm tổ chức cho công dân đăng ký nghĩa vụ quân sự chuyển đến tại nơi cư trú.</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xml:space="preserve"> Trong thời hạn 01 ngày, Ban Chỉ huy quân sự cấp xã, cơ quan, tổ chức có trách nhiệm hướng dẫn cho công dân đăng ký nghĩa vụ quân sự chuyển đến; vào Sổ </w:t>
      </w:r>
      <w:r w:rsidRPr="009D063A">
        <w:rPr>
          <w:rFonts w:eastAsia="Times New Roman" w:cs="Times New Roman"/>
          <w:color w:val="212529"/>
          <w:szCs w:val="28"/>
        </w:rPr>
        <w:lastRenderedPageBreak/>
        <w:t>đăng ký công dân sẵn sàng nhập ngũ hoặc Sổ đăng ký quân nhân dự bị; lập Phiếu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nghĩa vụ quân sự chuyển đến.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giới thiệu di chuyển đăng ký nghĩa vụ quân sự hoặc Giấy giới thiệu di chuyển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quân nhân dự bị.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 </w:t>
      </w:r>
      <w:r w:rsidRPr="009D063A">
        <w:rPr>
          <w:rFonts w:eastAsia="Times New Roman" w:cs="Times New Roman"/>
          <w:color w:val="212529"/>
          <w:szCs w:val="28"/>
        </w:rPr>
        <w:t>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 </w:t>
      </w:r>
      <w:r w:rsidRPr="009D063A">
        <w:rPr>
          <w:rFonts w:eastAsia="Times New Roman" w:cs="Times New Roman"/>
          <w:color w:val="212529"/>
          <w:szCs w:val="28"/>
        </w:rPr>
        <w:t>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pacing w:val="8"/>
          <w:szCs w:val="28"/>
        </w:rPr>
        <w:t>Kết quả thực hiện TTHC:</w:t>
      </w:r>
      <w:r w:rsidRPr="009D063A">
        <w:rPr>
          <w:rFonts w:eastAsia="Times New Roman" w:cs="Times New Roman"/>
          <w:color w:val="212529"/>
          <w:spacing w:val="8"/>
          <w:szCs w:val="28"/>
        </w:rPr>
        <w:t> Công dân hoàn thành đăng ký nghĩa vụ quân sự chuyển đến.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 </w:t>
      </w:r>
      <w:r w:rsidRPr="009D063A">
        <w:rPr>
          <w:rFonts w:eastAsia="Times New Roman" w:cs="Times New Roman"/>
          <w:color w:val="212529"/>
          <w:szCs w:val="28"/>
        </w:rPr>
        <w:t>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3"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6. Thủ tục đăng ký nghĩa vụ quân sự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Công dân đã đăng ký nghĩa vụ quân sự, khi đi khỏi nơi cư trú hoặc nơi làm việc, học tập từ 03 tháng trở lên phải đến Ban Chỉ huy quân sự cấp xã đã đăng ký nghĩa vụ quân sự để trực tiếp đăng ký nghĩa vụ quân sự tạm vắng. Trường hợp cơ quan, tổ chức không có Ban Chỉ huy quân sự, thì người đứng đầu hoặc người đại diện hợp pháp của cơ quan, tổ chức có trách nhiệm tổ chức cho công dân đăng ký nghĩa vụ quân sự tạm vắng tại nơi cư trú.</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lastRenderedPageBreak/>
        <w:t>Trong thời hạn 10 ngày, kể từ ngày trở về nơi cư trú hoặc nơi làm việc, học tập, công dân đã đăng ký nghĩa vụ quân sự tạm vắng phải đến Ban Chỉ huy quân sự cấp xã để trực tiếp đăng ký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Trong thời hạn 01 ngày, Ban Chỉ huy quân sự cấp xã có trách nhiệm làm thủ tục đăng ký nghĩa vụ quân sự tạm vắng; bổ sung các thông tin vào Sổ đăng ký công dân sẵn sàng nhập ngũ hoặc Sổ đăng ký quân nhân dự bị; lập danh sách công dân đăng ký nghĩa vụ quân sự tạm vắng hoặc đăng ký lại cho công dân (trường hợp công dân trở về);</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làm thủ tục trực tiếp đến Ban Chỉ huy quân sự cấp xã đăng ký nghĩa vụ quân sự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Bản chụp Giấy chứng nhận đăng ký nghĩa vụ quân sự hoặc Giấy chứng nhận đăng ký quân nhân dự bị (mang theo bản chính để đối chiếu).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pacing w:val="-4"/>
          <w:szCs w:val="28"/>
        </w:rPr>
        <w:t>Kết quả thực hiện TTHC:</w:t>
      </w:r>
      <w:r w:rsidRPr="009D063A">
        <w:rPr>
          <w:rFonts w:eastAsia="Times New Roman" w:cs="Times New Roman"/>
          <w:color w:val="212529"/>
          <w:spacing w:val="-4"/>
          <w:szCs w:val="28"/>
        </w:rPr>
        <w:t> Đăng ký nghĩa vụ quân sự tạm vắng và đăng ký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4"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 </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7. Thủ tục đăng ký miễn gọi nhập ngũ thời chiến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xml:space="preserve"> Trong thời hạn 10 ngày, kể từ ngày công dân đã đăng ký nghĩa vụ quân sự nhận được quyết định bổ nhiệm hoặc được biên chế vào chức danh thuộc diện miễn gọi </w:t>
      </w:r>
      <w:r w:rsidRPr="009D063A">
        <w:rPr>
          <w:rFonts w:eastAsia="Times New Roman" w:cs="Times New Roman"/>
          <w:color w:val="212529"/>
          <w:szCs w:val="28"/>
        </w:rPr>
        <w:lastRenderedPageBreak/>
        <w:t>nhập ngũ trong thời chiến, thì cơ quan, tổ chức nơi công dân công tác cử đại diện mang quyết định bổ nhiệm hoặc giấy xác nhận chức danh thuộc diện miễn gọi nhập ngũ trong thời chiến đến Ban Chỉ huy quân sự cấp xã để làm thủ tục đưa ra khỏi danh sách đăng ký nghĩa vụ quân sự.</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Công dân đã được đưa ra khỏi danh sách đăng ký nghĩa vụ quân sự nếu không còn giữ chức vụ hoặc chức danh thuộc diện miễn gọi nhập ngũ trong thời chiến thì cơ quan, tổ chức nơi công dân công tác cử đại diện đến Ban Chỉ huy quân sự cấp xã để đăng ký nghĩa vụ quân sự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Ban Chỉ huy quân sự cấp xã có trách nhiệm đăng ký miễn gọi nhập ngũ trong thời chiến hoặc đăng ký nghĩa vụ quân sự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Người đại diện của cơ quan, tổ chức làm thủ tục trực tiếp tại Ban Chỉ huy quân sự cấp xã đăng ký miễn gọi nhập ngũ trong thời chiến hoặc đăng ký nghĩa vụ quân sự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Bản chụp Quyết định bổ nhiệm chức vụ (mang theo bản chính để đối chiếu) hoặc giấy xác nhận của người đứng đầu cơ quan, tổ chức đối với chức danh công tác thuộc diện miễn gọi nhập ngũ trong thời chiến.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01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TTHC:</w:t>
      </w:r>
      <w:r w:rsidRPr="009D063A">
        <w:rPr>
          <w:rFonts w:eastAsia="Times New Roman" w:cs="Times New Roman"/>
          <w:color w:val="212529"/>
          <w:szCs w:val="28"/>
        </w:rPr>
        <w:t> Người đại diện cơ quan, tổ chức.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Ban Chỉ huy quân sự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Chỉ huy quân sự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Các cơ quan, đơn vị liên quan.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thủ tục hành chính:</w:t>
      </w:r>
      <w:r w:rsidRPr="009D063A">
        <w:rPr>
          <w:rFonts w:eastAsia="Times New Roman" w:cs="Times New Roman"/>
          <w:color w:val="212529"/>
          <w:szCs w:val="28"/>
        </w:rPr>
        <w:t> Đăng ký miễn gọi nhập ngũ trong thời chiến cho công dân.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nghĩa vụ quân sự năm 2015;</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5" w:tgtFrame="_blank" w:tooltip="Nghị định 13/2016/NĐ-CP" w:history="1">
        <w:r w:rsidRPr="003A10C5">
          <w:rPr>
            <w:rFonts w:eastAsia="Times New Roman" w:cs="Times New Roman"/>
            <w:color w:val="0E70C3"/>
            <w:szCs w:val="28"/>
          </w:rPr>
          <w:t>13/2016/NĐ-CP</w:t>
        </w:r>
      </w:hyperlink>
      <w:r w:rsidRPr="009D063A">
        <w:rPr>
          <w:rFonts w:eastAsia="Times New Roman" w:cs="Times New Roman"/>
          <w:color w:val="212529"/>
          <w:szCs w:val="28"/>
        </w:rPr>
        <w:t> ngày 19 tháng 02 năm 2016 của Chính phủ quy định trình tự, thủ tục đăng ký và chế độ, chính sách của công dân trong thời gian đăng ký, khám, kiểm tra sức khỏe nghĩa vụ quân sự</w:t>
      </w:r>
    </w:p>
    <w:p w:rsidR="009D063A" w:rsidRPr="009D063A" w:rsidRDefault="009D063A" w:rsidP="009D063A">
      <w:pPr>
        <w:shd w:val="clear" w:color="auto" w:fill="FFFFFF"/>
        <w:spacing w:before="120" w:after="120" w:line="360" w:lineRule="atLeast"/>
        <w:rPr>
          <w:rFonts w:eastAsia="Times New Roman" w:cs="Times New Roman"/>
          <w:color w:val="212529"/>
          <w:szCs w:val="28"/>
        </w:rPr>
      </w:pPr>
      <w:r w:rsidRPr="003A10C5">
        <w:rPr>
          <w:rFonts w:eastAsia="Times New Roman" w:cs="Times New Roman"/>
          <w:b/>
          <w:bCs/>
          <w:color w:val="212529"/>
          <w:szCs w:val="28"/>
        </w:rPr>
        <w:lastRenderedPageBreak/>
        <w:t>8. Thủ tục trợ cấp đối với dân quân bị ốm hoặc đối với thân nhân khi dân quân bị ốm dẫn đến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Dân quân hoặc người đại diện hợp pháp của dân quân đối với trường hợp ốm dẫn đến chết lập hồ sơ nộp trực tiếp cho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9D063A">
        <w:rPr>
          <w:rFonts w:eastAsia="Times New Roman" w:cs="Times New Roman"/>
          <w:color w:val="212529"/>
          <w:szCs w:val="28"/>
        </w:rPr>
        <w:t> Trong thời hạn 05 ngày làm việc, kể từ ngày nhận được hồ sơ, Ban CHQS cấp xã có trách nhiệm kiểm tra tính hợp lệ. Trường hợp hồ sơ không hợp lệ, Ban CHQS cấp xã phải hướng dẫn cho dân quân hoặc người đại diện hợp pháp của dân quân bổ sung, hoàn thiện hồ sơ. Trường hợp hồ sơ hợp lệ, Ban CHQS cấp xã gửi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3</w:t>
      </w:r>
      <w:r w:rsidRPr="003A10C5">
        <w:rPr>
          <w:rFonts w:eastAsia="Times New Roman" w:cs="Times New Roman"/>
          <w:i/>
          <w:iCs/>
          <w:color w:val="212529"/>
          <w:szCs w:val="28"/>
        </w:rPr>
        <w:t>:</w:t>
      </w:r>
      <w:r w:rsidRPr="009D063A">
        <w:rPr>
          <w:rFonts w:eastAsia="Times New Roman" w:cs="Times New Roman"/>
          <w:color w:val="212529"/>
          <w:szCs w:val="28"/>
        </w:rPr>
        <w:t> Trong thời hạn 10 ngày làm việc, kể từ ngày nhận đủ hồ sơ hợp lệ: Trường hợp hồ sơ không đủ điều kiện giải quyết thì Ban CHQS cấp huyện phải có văn bản thông báo lý do cho đối tượng biết; trường hợp hồ sơ đủ điều kiện giải quyết, Ban CHQS cấp huyện có trách nhiệm thẩm định, trình chủ tịch UBND cấp huyện ra quyết định trợ cấp cho dân quân hoặc người đại diện hợp pháp của dân quân;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4:</w:t>
      </w:r>
      <w:r w:rsidRPr="009D063A">
        <w:rPr>
          <w:rFonts w:eastAsia="Times New Roman" w:cs="Times New Roman"/>
          <w:color w:val="212529"/>
          <w:szCs w:val="28"/>
        </w:rPr>
        <w:t> Trong thời hạn 10 ngày làm việc, kể từ ngày ra quyết định trợ cấp các cơ quan chức năng phải giải quyết chế độ ốm đau cho dân quân hoặc người đại diện hợp pháp của dân quân.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 </w:t>
      </w:r>
      <w:r w:rsidRPr="009D063A">
        <w:rPr>
          <w:rFonts w:eastAsia="Times New Roman" w:cs="Times New Roman"/>
          <w:color w:val="212529"/>
          <w:szCs w:val="28"/>
        </w:rPr>
        <w:t>Gửi trực tiếp.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Đơn đề nghị trợ cấp của dân quân hoặc người đại diện hợp pháp của dân quân có ý kiến của Ban CHQS cấp xã và xác nhận của UBND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xét nghiệm, đơn thuốc, hóa đơn thu tiền, giấy xuất viện, giấy chứng tử đối với trường hợp ốm dẫn đến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Văn bản thẩm định của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25 ngày làm việc, kể từ ngày nhận được hồ sơ hợp lệ, cụ thể:</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- 05 ngày làm việc cho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- 10 ngày làm việc cho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- 10 ngày làm việc cho cơ quan chức năng giải quyết chế độ.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Chủ tịch UBND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lastRenderedPageBreak/>
        <w:t>- Cơ quan phối hợp: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TTHC:</w:t>
      </w:r>
      <w:r w:rsidRPr="009D063A">
        <w:rPr>
          <w:rFonts w:eastAsia="Times New Roman" w:cs="Times New Roman"/>
          <w:color w:val="212529"/>
          <w:szCs w:val="28"/>
        </w:rPr>
        <w:t> Quyết định trợ cấp cho dân quân hoặc người đại diện hợp pháp của dân quân.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 </w:t>
      </w:r>
      <w:r w:rsidRPr="009D063A">
        <w:rPr>
          <w:rFonts w:eastAsia="Times New Roman" w:cs="Times New Roman"/>
          <w:color w:val="212529"/>
          <w:szCs w:val="28"/>
        </w:rPr>
        <w:t>Cán bộ, chiến sỹ dân quân chưa tham gia bảo hiểm y tế, bảo hiểm xã hội khi thực hiện nhiệm vụ quy định tại Điều 8 của Luật Dân quân tự vệ và quyết định điều động của cấp có thẩm quyền nếu bị ốm hoặc bị ốm dẫn đến chết thì được hưởng các chế độ, chính sách như sau: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Đối với trường hợp bị ốm: Được khám bệnh, chữa bệnh và thanh toán tiền khám bệnh, chữa bệnh như mức hưởng bảo hiểm y tế cho chiến sỹ Quân đội nhân dân Việt Nam quy định tại Điểm a Khoản 1 Điều 22 Luật sửa đổi, bổ sung một số điều của Luật Bảo hiểm y tế; trong thời gian điều trị được trợ cấp tiền ăn bằng mức tiền ăn cơ bản của chiến sỹ bộ binh Quân đội nhân dân Việt Nam;</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Đối với trường hợp bị ốm dẫn đến chết: Thân nhân hoặc người lo mai táng được hỗ trợ tiền mai táng bằng 05 (năm) lần mức lương cơ sở tại tháng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Dân quân tự vệ ngày 23 tháng 11 năm 2009;</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6" w:history="1">
        <w:r w:rsidRPr="003A10C5">
          <w:rPr>
            <w:rFonts w:eastAsia="Times New Roman" w:cs="Times New Roman"/>
            <w:color w:val="424242"/>
            <w:szCs w:val="28"/>
          </w:rPr>
          <w:t>03/2016/NĐ-CP</w:t>
        </w:r>
      </w:hyperlink>
      <w:r w:rsidRPr="009D063A">
        <w:rPr>
          <w:rFonts w:eastAsia="Times New Roman" w:cs="Times New Roman"/>
          <w:color w:val="212529"/>
          <w:szCs w:val="28"/>
        </w:rPr>
        <w:t> ngày 05 tháng 01 năm 2016 của Chính phủ quy định chi tiết và biện pháp thi hành một số điều của Luật Dân quân tự vệ.</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35/2013/NĐ-CP ngày 22/4/2013 của Chính phủ quy định chức năng, nhiệm vụ, quyền hạn và cơ cấu tổ chức của Bộ Quốc phòng.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9. Thủ tục trợ cấp đối với dân quân bị tai nạn hoặc đối với thân nhân khi dân quân bị tai nạn dẫn đến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1</w:t>
      </w:r>
      <w:r w:rsidRPr="003A10C5">
        <w:rPr>
          <w:rFonts w:eastAsia="Times New Roman" w:cs="Times New Roman"/>
          <w:i/>
          <w:iCs/>
          <w:color w:val="212529"/>
          <w:szCs w:val="28"/>
        </w:rPr>
        <w:t>:</w:t>
      </w:r>
      <w:r w:rsidRPr="009D063A">
        <w:rPr>
          <w:rFonts w:eastAsia="Times New Roman" w:cs="Times New Roman"/>
          <w:color w:val="212529"/>
          <w:szCs w:val="28"/>
        </w:rPr>
        <w:t> Dân quân hoặc người đại diện hợp pháp của dân quân đối với trường hợp bị tai nạn dẫn đến chết, lập hồ sơ nộp trực tiếp cho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2</w:t>
      </w:r>
      <w:r w:rsidRPr="003A10C5">
        <w:rPr>
          <w:rFonts w:eastAsia="Times New Roman" w:cs="Times New Roman"/>
          <w:i/>
          <w:iCs/>
          <w:color w:val="212529"/>
          <w:szCs w:val="28"/>
        </w:rPr>
        <w:t>:</w:t>
      </w:r>
      <w:r w:rsidRPr="009D063A">
        <w:rPr>
          <w:rFonts w:eastAsia="Times New Roman" w:cs="Times New Roman"/>
          <w:color w:val="212529"/>
          <w:szCs w:val="28"/>
        </w:rPr>
        <w:t> Trong thời hạn 05 ngày làm việc, kể từ ngày nhận được hồ sơ, Ban CHQS cấp xã có trách nhiệm kiểm tra tính hợp lệ. Trường hợp hồ sơ không hợp lệ, Ban CHQS cấp xã phải hướng dẫn cho dân quân hoặc nhân thân, người đại diện hợp pháp của dân quân bổ sung, hoàn thiện hồ sơ. Trường hợp hồ sơ hợp lệ, Ban CHQS cấp xã gửi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3</w:t>
      </w:r>
      <w:r w:rsidRPr="003A10C5">
        <w:rPr>
          <w:rFonts w:eastAsia="Times New Roman" w:cs="Times New Roman"/>
          <w:i/>
          <w:iCs/>
          <w:color w:val="212529"/>
          <w:szCs w:val="28"/>
        </w:rPr>
        <w:t>:</w:t>
      </w:r>
      <w:r w:rsidRPr="009D063A">
        <w:rPr>
          <w:rFonts w:eastAsia="Times New Roman" w:cs="Times New Roman"/>
          <w:color w:val="212529"/>
          <w:szCs w:val="28"/>
        </w:rPr>
        <w:t xml:space="preserve"> Trong thời hạn 10 ngày làm việc, kể từ ngày nhận đủ hồ sơ hợp lệ, trường hợp hồ sơ không đủ điều kiện giải quyết thì Ban CHQS cấp huyện phải có văn bản thông báo rõ lý do cho người đề nghị biết. Trường hợp hồ sơ đủ điều kiện giải quyết, Ban </w:t>
      </w:r>
      <w:r w:rsidRPr="009D063A">
        <w:rPr>
          <w:rFonts w:eastAsia="Times New Roman" w:cs="Times New Roman"/>
          <w:color w:val="212529"/>
          <w:szCs w:val="28"/>
        </w:rPr>
        <w:lastRenderedPageBreak/>
        <w:t>CHQS cấp huyện có trách nhiệm thẩm tra và có công văn kèm theo hồ sơ gửi Bộ CHQS tỉnh;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4:</w:t>
      </w:r>
      <w:r w:rsidRPr="009D063A">
        <w:rPr>
          <w:rFonts w:eastAsia="Times New Roman" w:cs="Times New Roman"/>
          <w:color w:val="212529"/>
          <w:szCs w:val="28"/>
        </w:rPr>
        <w:t> Trong thời hạn 10 ngày làm việc, kể từ ngày nhận đủ hồ sơ hợp lệ, cơ quan quân sự tỉnh có trách nhiệm thẩm định, trình Chủ tịch UBND tỉnh ra quyết định trợ cấp cho dân quân hoặc người đại diện hợp pháp của dân quân;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Bước 5:</w:t>
      </w:r>
      <w:r w:rsidRPr="009D063A">
        <w:rPr>
          <w:rFonts w:eastAsia="Times New Roman" w:cs="Times New Roman"/>
          <w:color w:val="212529"/>
          <w:szCs w:val="28"/>
        </w:rPr>
        <w:t> Trong thời hạn 10 ngày làm việc, kể từ ngày ra quyết định trợ cấp, các cơ quan chức năng phải giải quyết chế độ cho dân quân hoặc người đại diện hợp pháp của dân quân.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w:t>
      </w:r>
      <w:r w:rsidRPr="009D063A">
        <w:rPr>
          <w:rFonts w:eastAsia="Times New Roman" w:cs="Times New Roman"/>
          <w:color w:val="212529"/>
          <w:szCs w:val="28"/>
        </w:rPr>
        <w:t> Gửi trực tiếp.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Đơn đề nghị trợ cấp của dân quân hoặc thân nhân có ý kiến của Ban CHQS cấp xã và xác nhận của UBND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Biên bản điều tra tai nạn của công an hoặc Ban CHQS cấp xã trở lên;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xét nghiệm, đơn thuốc, hóa đơn thu tiền, giấy xuất viện, giấy chứng tử đối với trường hợp tai nạn dẫn đến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Văn bản thẩm định của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35 ngày làm việc, kể từ ngày nhận được hồ sơ hợp lệ, cụ thể:</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- 05 ngày làm việc cho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- 10 ngày làm việc cho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- 10 ngày làm việc cho Bộ CHQS tỉnh;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- 10 ngày làm việc cho cơ quan chức năng giải quyết chế độ.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có thẩm quyền quyết định: Chủ tịch UBND tỉnh.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hoặc người có thẩm quyền được ủy quyền hoặc phân cấp thực hiện: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trực tiếp thực hiện thủ tục hành chính: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Cơ quan phối hợp: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TTHC:</w:t>
      </w:r>
      <w:r w:rsidRPr="009D063A">
        <w:rPr>
          <w:rFonts w:eastAsia="Times New Roman" w:cs="Times New Roman"/>
          <w:color w:val="212529"/>
          <w:szCs w:val="28"/>
        </w:rPr>
        <w:t> Quyết định trợ cấp cho dân quân hoặc người đại diện hợp pháp của dân quân. Chế độ, chính sách được hưởng như sau: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Đối với trường hợp bị tai nạn: Trong thời gian điều trị tai nạn được hưởng như quy định tại Điểm a Khoản 1 Điều 21 Nghị định số </w:t>
      </w:r>
      <w:hyperlink r:id="rId27" w:history="1">
        <w:r w:rsidRPr="003A10C5">
          <w:rPr>
            <w:rFonts w:eastAsia="Times New Roman" w:cs="Times New Roman"/>
            <w:color w:val="424242"/>
            <w:szCs w:val="28"/>
          </w:rPr>
          <w:t>03/2016/NĐ-CP</w:t>
        </w:r>
      </w:hyperlink>
      <w:r w:rsidRPr="009D063A">
        <w:rPr>
          <w:rFonts w:eastAsia="Times New Roman" w:cs="Times New Roman"/>
          <w:color w:val="212529"/>
          <w:szCs w:val="28"/>
        </w:rPr>
        <w:t xml:space="preserve"> ngày 05 tháng 01 năm 2016 của Chính phủ quy định chi tiết và biện pháp thi hành một số điều của Luật Dân quân tự vệ, kể cả trường hợp vết thương tái phát cho đến khi xuất viện. Nếu tai nạn </w:t>
      </w:r>
      <w:r w:rsidRPr="009D063A">
        <w:rPr>
          <w:rFonts w:eastAsia="Times New Roman" w:cs="Times New Roman"/>
          <w:color w:val="212529"/>
          <w:szCs w:val="28"/>
        </w:rPr>
        <w:lastRenderedPageBreak/>
        <w:t>làm: Suy giảm từ 5% đến 21% được hưởng trợ cấp một lần ít nhất bằng 12 lần mức lương cơ sở; bị suy giảm từ 22% đến 80%, cứ 1% suy giảm thêm thì được hưởng thêm 0,4 lần mức lương cơ sở; bị suy giảm từ 81% trở lên thì được trợ cấp một lần ít nhất bằng 60 lần mức lương cơ sở;</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Đối với trường hợp bị tai nạn dẫn đến chết: Thân nhân được trợ cấp một lần bằng 36 lần mức lương cơ sở và người lo mai táng được nhận một lần trợ cấp mai táng bằng 10 lần mức lương cơ sở tại tháng chết.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 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 </w:t>
      </w:r>
      <w:r w:rsidRPr="009D063A">
        <w:rPr>
          <w:rFonts w:eastAsia="Times New Roman" w:cs="Times New Roman"/>
          <w:color w:val="212529"/>
          <w:szCs w:val="28"/>
        </w:rPr>
        <w:t>Cán bộ, chiến sỹ dân quân chưa tham gia bảo hiểm y tế, bảo hiểm xã hội khi thực hiện nhiệm vụ quy định tại Khoản 4, Khoản 5, Khoản 6 Điều 8 của Luật Dân quân tự vệ và quyết định điều động của cấp có thẩm quyền được hưởng chế độ chính sách trong các trường hợp sau: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Trong thời gian và tại nơi làm nhiệm vụ quy định tại Khoản 4, Khoản 5, Khoản 6 Điều 8 của Luật Dân quân tự vệ theo quyết định điều động của cấp có thẩm quyền;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Ngoài nơi làm nhiệm vụ hoặc ngoài giờ làm nhiệm vụ theo mệnh lệnh của cấp có thẩm quyền;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Trên tuyến đường đi và về từ nơi ở đến nơi làm nhiệm vụ trong khoảng thời gian và tuyến đường hợp lý.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Luật Dân quân tự vệ ngày 23 tháng 11 năm 2009;</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w:t>
      </w:r>
      <w:hyperlink r:id="rId28" w:history="1">
        <w:r w:rsidRPr="003A10C5">
          <w:rPr>
            <w:rFonts w:eastAsia="Times New Roman" w:cs="Times New Roman"/>
            <w:color w:val="424242"/>
            <w:szCs w:val="28"/>
          </w:rPr>
          <w:t>03/2016/NĐ-CP</w:t>
        </w:r>
      </w:hyperlink>
      <w:r w:rsidRPr="009D063A">
        <w:rPr>
          <w:rFonts w:eastAsia="Times New Roman" w:cs="Times New Roman"/>
          <w:color w:val="212529"/>
          <w:szCs w:val="28"/>
        </w:rPr>
        <w:t> ngày 05 tháng 01 năm 2016 của Chính phủ quy định chi tiết và biện pháp thi hành một số điều của Luật Dân quân tự vệ;</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35/2013/NĐ-CP ngày 22/4/2013 của Chính phủ quy định chức năng, nhiệm vụ, quyền hạn và cơ cấu tổ chức của Bộ Quốc phòng.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10. Giải quyết chế độ hưu trí hàng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01/4/2020</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r w:rsidRPr="003A10C5">
        <w:rPr>
          <w:rFonts w:eastAsia="Times New Roman" w:cs="Times New Roman"/>
          <w:b/>
          <w:b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Bước 1: Đối tượng nộp các giấy tờ theo quy định cho cơ quan quân sự xã (phường).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Bước 2: Hồ sơ của đối tượng được thẩm định qua cơ quan quân sự các cấp huyện (quận), tỉnh (thành phố), quân khu và gửi về Bảo hiểm xã hội Bộ Quốc phòng.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Bước 3: Bảo hiểm xã hội Bộ Quốc phòng xét duyệt, ra quyết định hưởng chế độ hưu trí.</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Cách thức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lastRenderedPageBreak/>
        <w:t>- Hình thức nộp: trực tiếp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Thời hạn giải quyết: 30 ngày kể từ ngày nhận đủ hồ sơ hợp lệ</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Thành phần hồ sơ:</w:t>
      </w:r>
    </w:p>
    <w:p w:rsidR="009D063A" w:rsidRPr="009D063A" w:rsidRDefault="009D063A" w:rsidP="009D063A">
      <w:pPr>
        <w:shd w:val="clear" w:color="auto" w:fill="F2F6F9"/>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Bao gồm</w:t>
      </w:r>
    </w:p>
    <w:tbl>
      <w:tblPr>
        <w:tblW w:w="9364" w:type="dxa"/>
        <w:tblInd w:w="10" w:type="dxa"/>
        <w:shd w:val="clear" w:color="auto" w:fill="FFFFFF"/>
        <w:tblCellMar>
          <w:left w:w="0" w:type="dxa"/>
          <w:right w:w="0" w:type="dxa"/>
        </w:tblCellMar>
        <w:tblLook w:val="04A0" w:firstRow="1" w:lastRow="0" w:firstColumn="1" w:lastColumn="0" w:noHBand="0" w:noVBand="1"/>
      </w:tblPr>
      <w:tblGrid>
        <w:gridCol w:w="5387"/>
        <w:gridCol w:w="1843"/>
        <w:gridCol w:w="2134"/>
      </w:tblGrid>
      <w:tr w:rsidR="009D063A" w:rsidRPr="009D063A" w:rsidTr="00D766A8">
        <w:trPr>
          <w:trHeight w:val="408"/>
        </w:trPr>
        <w:tc>
          <w:tcPr>
            <w:tcW w:w="538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D063A" w:rsidRPr="009D063A" w:rsidRDefault="009D063A" w:rsidP="00D766A8">
            <w:pPr>
              <w:spacing w:before="120" w:after="120" w:line="360" w:lineRule="atLeast"/>
              <w:jc w:val="center"/>
              <w:rPr>
                <w:rFonts w:eastAsia="Times New Roman" w:cs="Times New Roman"/>
                <w:color w:val="212529"/>
                <w:szCs w:val="28"/>
              </w:rPr>
            </w:pPr>
            <w:r w:rsidRPr="003A10C5">
              <w:rPr>
                <w:rFonts w:eastAsia="Times New Roman" w:cs="Times New Roman"/>
                <w:b/>
                <w:bCs/>
                <w:color w:val="212529"/>
                <w:szCs w:val="28"/>
              </w:rPr>
              <w:t>Tên giấy tờ</w:t>
            </w:r>
          </w:p>
        </w:tc>
        <w:tc>
          <w:tcPr>
            <w:tcW w:w="1843" w:type="dxa"/>
            <w:tcBorders>
              <w:top w:val="single" w:sz="2" w:space="0" w:color="auto"/>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D766A8">
            <w:pPr>
              <w:spacing w:before="120" w:after="120" w:line="360" w:lineRule="atLeast"/>
              <w:jc w:val="center"/>
              <w:rPr>
                <w:rFonts w:eastAsia="Times New Roman" w:cs="Times New Roman"/>
                <w:color w:val="212529"/>
                <w:szCs w:val="28"/>
              </w:rPr>
            </w:pPr>
            <w:r w:rsidRPr="003A10C5">
              <w:rPr>
                <w:rFonts w:eastAsia="Times New Roman" w:cs="Times New Roman"/>
                <w:b/>
                <w:bCs/>
                <w:color w:val="212529"/>
                <w:szCs w:val="28"/>
              </w:rPr>
              <w:t>Mẫu đơn, tờ khai</w:t>
            </w:r>
          </w:p>
        </w:tc>
        <w:tc>
          <w:tcPr>
            <w:tcW w:w="2134" w:type="dxa"/>
            <w:tcBorders>
              <w:top w:val="single" w:sz="2" w:space="0" w:color="auto"/>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D766A8">
            <w:pPr>
              <w:spacing w:before="120" w:after="120" w:line="360" w:lineRule="atLeast"/>
              <w:jc w:val="center"/>
              <w:rPr>
                <w:rFonts w:eastAsia="Times New Roman" w:cs="Times New Roman"/>
                <w:color w:val="212529"/>
                <w:szCs w:val="28"/>
              </w:rPr>
            </w:pPr>
            <w:r w:rsidRPr="003A10C5">
              <w:rPr>
                <w:rFonts w:eastAsia="Times New Roman" w:cs="Times New Roman"/>
                <w:b/>
                <w:bCs/>
                <w:color w:val="212529"/>
                <w:szCs w:val="28"/>
              </w:rPr>
              <w:t>Số lượng</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Giấy chứng nhận hưu trí.</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Đơn đề nghị của đối tượng;</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Mau 01-ND 159 (1).pdf</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Quyết định phục viên, xuất ngũ (bản gốc) đối với đối tượng phục viên, xuất ngũ; Trường hợp quyết định không đầy đủ yếu tố xét hưởng chế độ hưu trí thì kèm theo lý lịch quân nhân hoặc lý lịch cán bộ hoặc lý lịch đảng viên;</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Các giấy tờ hồ sơ khác có liên quan: quyết định thăng quân hàm, nâng lương, đề bạt bổ nhiệm, sổ bảo hiểm xã hội… (nếu có);</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Bản khai quá trình tham gia bảo hiểm xã hội;</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Quyết định thực hiện chế độ hưu trí của Bộ Tư lệnh Quân khu;</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Công văn đề nghị của các cấp;</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r w:rsidR="009D063A" w:rsidRPr="009D063A" w:rsidTr="00D766A8">
        <w:tc>
          <w:tcPr>
            <w:tcW w:w="5387" w:type="dxa"/>
            <w:tcBorders>
              <w:top w:val="nil"/>
              <w:left w:val="single" w:sz="2" w:space="0" w:color="auto"/>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Giấy giới thiệu trả lương hưu hàng tháng;</w:t>
            </w:r>
          </w:p>
        </w:tc>
        <w:tc>
          <w:tcPr>
            <w:tcW w:w="1843"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 </w:t>
            </w:r>
          </w:p>
        </w:tc>
        <w:tc>
          <w:tcPr>
            <w:tcW w:w="2134" w:type="dxa"/>
            <w:tcBorders>
              <w:top w:val="nil"/>
              <w:left w:val="nil"/>
              <w:bottom w:val="single" w:sz="2" w:space="0" w:color="auto"/>
              <w:right w:val="single" w:sz="2" w:space="0" w:color="auto"/>
            </w:tcBorders>
            <w:shd w:val="clear" w:color="auto" w:fill="FFFFFF"/>
            <w:tcMar>
              <w:top w:w="0" w:type="dxa"/>
              <w:left w:w="10" w:type="dxa"/>
              <w:bottom w:w="0" w:type="dxa"/>
              <w:right w:w="10" w:type="dxa"/>
            </w:tcMar>
            <w:hideMark/>
          </w:tcPr>
          <w:p w:rsidR="009D063A" w:rsidRPr="009D063A" w:rsidRDefault="009D063A" w:rsidP="009D063A">
            <w:pPr>
              <w:spacing w:before="120" w:after="120" w:line="360" w:lineRule="atLeast"/>
              <w:rPr>
                <w:rFonts w:eastAsia="Times New Roman" w:cs="Times New Roman"/>
                <w:color w:val="212529"/>
                <w:szCs w:val="28"/>
              </w:rPr>
            </w:pPr>
            <w:r w:rsidRPr="009D063A">
              <w:rPr>
                <w:rFonts w:eastAsia="Times New Roman" w:cs="Times New Roman"/>
                <w:color w:val="212529"/>
                <w:szCs w:val="28"/>
              </w:rPr>
              <w:t>Bản chính: 5</w:t>
            </w:r>
            <w:r w:rsidRPr="009D063A">
              <w:rPr>
                <w:rFonts w:eastAsia="Times New Roman" w:cs="Times New Roman"/>
                <w:color w:val="212529"/>
                <w:szCs w:val="28"/>
              </w:rPr>
              <w:br/>
              <w:t>Bản sao: 0</w:t>
            </w:r>
          </w:p>
        </w:tc>
      </w:tr>
    </w:tbl>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Đối tượng thực hiện: </w:t>
      </w:r>
      <w:r w:rsidRPr="009D063A">
        <w:rPr>
          <w:rFonts w:eastAsia="Times New Roman" w:cs="Times New Roman"/>
          <w:color w:val="212529"/>
          <w:szCs w:val="28"/>
        </w:rPr>
        <w:t>Công dân Việt Nam, Cán bộ, công chức, viên chức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Cơ quan thực hiện: </w:t>
      </w:r>
      <w:r w:rsidRPr="009D063A">
        <w:rPr>
          <w:rFonts w:eastAsia="Times New Roman" w:cs="Times New Roman"/>
          <w:color w:val="212529"/>
          <w:szCs w:val="28"/>
        </w:rPr>
        <w:t>Cơ quan quân sự xã (phường)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Cơ quan có thẩm quyền: </w:t>
      </w:r>
      <w:r w:rsidRPr="009D063A">
        <w:rPr>
          <w:rFonts w:eastAsia="Times New Roman" w:cs="Times New Roman"/>
          <w:color w:val="212529"/>
          <w:szCs w:val="28"/>
        </w:rPr>
        <w:t>Bảo hiểm xã hội BQP</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Địa chỉ tiếp nhận HS: </w:t>
      </w:r>
      <w:r w:rsidRPr="009D063A">
        <w:rPr>
          <w:rFonts w:eastAsia="Times New Roman" w:cs="Times New Roman"/>
          <w:color w:val="212529"/>
          <w:szCs w:val="28"/>
        </w:rPr>
        <w:t>Không có thông tin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Cơ quan được ủy quyền: </w:t>
      </w:r>
      <w:r w:rsidRPr="009D063A">
        <w:rPr>
          <w:rFonts w:eastAsia="Times New Roman" w:cs="Times New Roman"/>
          <w:color w:val="212529"/>
          <w:szCs w:val="28"/>
        </w:rPr>
        <w:t>Không có thông tin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Cơ quan phối hợp: </w:t>
      </w:r>
      <w:r w:rsidRPr="009D063A">
        <w:rPr>
          <w:rFonts w:eastAsia="Times New Roman" w:cs="Times New Roman"/>
          <w:color w:val="212529"/>
          <w:szCs w:val="28"/>
        </w:rPr>
        <w:t>Không có thông tin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lastRenderedPageBreak/>
        <w:t>Kết quả thực hiện: </w:t>
      </w:r>
      <w:r w:rsidRPr="009D063A">
        <w:rPr>
          <w:rFonts w:eastAsia="Times New Roman" w:cs="Times New Roman"/>
          <w:color w:val="212529"/>
          <w:szCs w:val="28"/>
        </w:rPr>
        <w:t>Quyết định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Căn cứ pháp lý: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159/2006/NĐ-CP ngày 28/12/2002 của Chính phủ về việc thực hiện chế độ hưu trí đối với quân nhân trực tiếp tham gia kháng chiến chống Mỹ cứu nước từ ngày 30/4/1975 trở về trước có 20 năm trở lên phục vụ quân đội đã phục viên, xuất ngũ.</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Thông tư liên tịch 69/2007/TTLT/BQP-BLĐTBXH-BTC ngày 16/04/2007 của Bộ Quốc phòng về hướng dẫn thực hiện Nghị định số 159/2006/NĐ-CP ngày 28 tháng 12 năm 2006 của Chính phủ về việc thực hiện chế độ hưu trí đối với quân nhân trực tiếp tham gia kháng chiến chống Mỹ cứu nước từ 30/04/1975 trở về trước có 20 năm trở lên phục vụ quân đội đã phục viên, xuất ngũ</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Yêu cầu, điều kiện thực hiện: </w:t>
      </w:r>
      <w:r w:rsidRPr="009D063A">
        <w:rPr>
          <w:rFonts w:eastAsia="Times New Roman" w:cs="Times New Roman"/>
          <w:color w:val="212529"/>
          <w:szCs w:val="28"/>
        </w:rPr>
        <w:t>Không có thông tin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12. Thủ tục giải quyết chế độ trợ cấp một lần đối với quân nhân, người làm công tác cơ yếu hưởng lương như đối với quân nhân, công an nhân dân nhập ngũ sau ngày 30/4/1975, trực tiếp tham gia chiến tranh bảo vệ Tổ quốc và làm nhiệm vụ quốc tế có từ đủ 20 năm trở lên phục vụ trong Quân đội, cơ yếu đã phục viên, xuất ngũ, thôi việc (đối tượng từ trần).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1: </w:t>
      </w:r>
      <w:r w:rsidRPr="009D063A">
        <w:rPr>
          <w:rFonts w:eastAsia="Times New Roman" w:cs="Times New Roman"/>
          <w:color w:val="212529"/>
          <w:szCs w:val="28"/>
        </w:rPr>
        <w:t>Thân nhân đối tượng nộp hồ sơ theo quy định cho UBND cấp xã nơi đăng ký hộ khẩu thường trú theo từng đợt (mỗi đợt vào ngày đầu tuần trong tuần đầu, tháng đầu của mỗi quý);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2:</w:t>
      </w:r>
      <w:r w:rsidRPr="009D063A">
        <w:rPr>
          <w:rFonts w:eastAsia="Times New Roman" w:cs="Times New Roman"/>
          <w:color w:val="212529"/>
          <w:szCs w:val="28"/>
        </w:rPr>
        <w:t> UBND cấp xã tổng hợp, lập hồ sơ báo cáo Ban CHQS cấp huyện;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3:</w:t>
      </w:r>
      <w:r w:rsidRPr="009D063A">
        <w:rPr>
          <w:rFonts w:eastAsia="Times New Roman" w:cs="Times New Roman"/>
          <w:color w:val="212529"/>
          <w:szCs w:val="28"/>
        </w:rPr>
        <w:t> Ban CHQS cấp huyện hoàn thành việc xét duyệt, tổng hợp báo cáo Bộ CHQS tỉnh;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4:</w:t>
      </w:r>
      <w:r w:rsidRPr="009D063A">
        <w:rPr>
          <w:rFonts w:eastAsia="Times New Roman" w:cs="Times New Roman"/>
          <w:color w:val="212529"/>
          <w:szCs w:val="28"/>
        </w:rPr>
        <w:t> Bộ CHQS tỉnh hoàn thành việc xét duyệt, hoàn thiện 05 bộ hồ sơ báo cáo Bộ Tư lệnh quân khu; Bộ Tư lệnh Thủ đô Hà Nội tiếp nhận hồ sơ do Ban CHQS cấp huyện báo cáo (qua Cục Chính trị);</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5:</w:t>
      </w:r>
      <w:r w:rsidRPr="009D063A">
        <w:rPr>
          <w:rFonts w:eastAsia="Times New Roman" w:cs="Times New Roman"/>
          <w:color w:val="212529"/>
          <w:szCs w:val="28"/>
        </w:rPr>
        <w:t> Cấp quân khu, Bộ Tư lệnh Thủ đô Hà Nội hoàn thành việc thẩm định, hoàn thiện hồ sơ chuyển Bảo hiểm xã hội Bộ Quốc phòng;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6:</w:t>
      </w:r>
      <w:r w:rsidRPr="009D063A">
        <w:rPr>
          <w:rFonts w:eastAsia="Times New Roman" w:cs="Times New Roman"/>
          <w:color w:val="212529"/>
          <w:szCs w:val="28"/>
        </w:rPr>
        <w:t> Bảo hiểm xã hội Bộ Quốc phòng tiến hành xét duyệt, ra quyết định hưởng chế độ trợ cấp một lần cho các đối tượng, chuyển hồ sơ đến Bảo hiểm xã hội Việt Nam và các cơ quan, đơn vị, đối tượng theo quy định.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 </w:t>
      </w:r>
      <w:r w:rsidRPr="009D063A">
        <w:rPr>
          <w:rFonts w:eastAsia="Times New Roman" w:cs="Times New Roman"/>
          <w:color w:val="212529"/>
          <w:szCs w:val="28"/>
        </w:rPr>
        <w:t>Nộp hồ sơ cho UBND xã nơi đối tượng đăng ký hộ khẩu thường trú.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Đơn đề nghị hưởng chế độ một lần (01 bản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lastRenderedPageBreak/>
        <w:t>* Một hoặc một số giấy tờ làm căn cứ xét duyệt, đủ yếu tố chứng minh đúng đối tượng, điều kiện hưởng chế độ và thời gian công tác của đối tượng (bản chính hoặc bản sao của cấp có thẩm quyền) như:</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Quyết định phục viên, xuất ngũ, thôi việc, chuyển ngành, chuyển sang công tác khác trong tổ chức cơ yếu hoặc chuyển sang công nhân viên chức quốc phòng, quyết định của cơ quan có thẩm quyền cử đi lao động hợp tác quốc tế;</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Lý lịch quân nhân, lý lịch cán bộ công chức, viên chức, lý lịch cán bộ hoặc bản trích yếu 63 đối với sĩ quan; lý lịch đảng viên;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Phiếu lập sổ trợ cấp phục viên, xuất ngũ, chuyển ngành; sổ bảo hiểm xã hội; quyết định cấp giấy chứng nhận thương binh và trợ cấp thương tật hoặc bản trích lục hồ sơ thương tật (đối với thương binh);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xác nhận quá trình công tác của cơ quan, đơn vị cũ trước khi quân nhân phục viên, xuất ngũ, chuyển ngành, thôi việc do thủ trưởng cơ quan, đơn vị từ cấp Trung đoàn và tương tương trở lên theo phân cấp quản lý đối tượng trước khi phục viên, xuất ngũ hoặc cử đi lao động hợp tác quốc tế, chuyển ngành hoặc chuyển sang công nhân viên chức quốc phòng, ký, đóng dấu, kèm theo bản photocoppy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chứng tử hoặc giấy báo tử (bản chính hoặc bản sao, 01 bản).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Bản chính giấy ủy quyền (nếu có).</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(một)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Mẫu đơn, mẫu tờ khai: </w:t>
      </w:r>
      <w:r w:rsidRPr="009D063A">
        <w:rPr>
          <w:rFonts w:eastAsia="Times New Roman" w:cs="Times New Roman"/>
          <w:color w:val="212529"/>
          <w:szCs w:val="28"/>
        </w:rPr>
        <w:t>Mẫu số 02, 03.</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hạn giải quyết</w:t>
      </w:r>
      <w:r w:rsidRPr="003A10C5">
        <w:rPr>
          <w:rFonts w:eastAsia="Times New Roman" w:cs="Times New Roman"/>
          <w:i/>
          <w:iCs/>
          <w:color w:val="212529"/>
          <w:szCs w:val="28"/>
        </w:rPr>
        <w:t>:</w:t>
      </w:r>
      <w:r w:rsidRPr="009D063A">
        <w:rPr>
          <w:rFonts w:eastAsia="Times New Roman" w:cs="Times New Roman"/>
          <w:color w:val="212529"/>
          <w:szCs w:val="28"/>
        </w:rPr>
        <w:t> Tổng thời gian giải quyết ở các cấp là 61 ngày làm việc, cụ thể:</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UBND cấp xã: Không quá 07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Ban CHQS cấp huyện: Không quá 07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Bộ CHQS tỉnh: Không quá 07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Bộ Tư lệnh Quân khu: Không quá 10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Bảo hiểm xã hội Bộ Quốc phòng: Không quá 30 ngày làm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w:t>
      </w:r>
      <w:r w:rsidRPr="009D063A">
        <w:rPr>
          <w:rFonts w:eastAsia="Times New Roman" w:cs="Times New Roman"/>
          <w:color w:val="212529"/>
          <w:szCs w:val="28"/>
        </w:rPr>
        <w:t>: UBND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có thẩm quyền quyết định:</w:t>
      </w:r>
      <w:r w:rsidRPr="009D063A">
        <w:rPr>
          <w:rFonts w:eastAsia="Times New Roman" w:cs="Times New Roman"/>
          <w:color w:val="212529"/>
          <w:szCs w:val="28"/>
        </w:rPr>
        <w:t> Bảo hiểm xã hội Bộ Quốc phòng.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Cơ quan phối hợp:</w:t>
      </w:r>
      <w:r w:rsidRPr="009D063A">
        <w:rPr>
          <w:rFonts w:eastAsia="Times New Roman" w:cs="Times New Roman"/>
          <w:color w:val="212529"/>
          <w:szCs w:val="28"/>
        </w:rPr>
        <w:t> Cơ quan quân sự các cấp huyện, tỉnh; Quân khu.</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w:t>
      </w:r>
      <w:r w:rsidRPr="009D063A">
        <w:rPr>
          <w:rFonts w:eastAsia="Times New Roman" w:cs="Times New Roman"/>
          <w:color w:val="212529"/>
          <w:szCs w:val="28"/>
        </w:rPr>
        <w:t> Quyết định hưởng chế độ trợ cấp một lần.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Nghị định số 23/2012/NĐ-CP của Chính phủ ban hành ngày 03/4/2012 v/v Quy định một số chế độ đối với quân nhân, công an nhân dân trực tiếp tham gia chiến tranh bảo vệ Tổ quốc, làm nhiệm vụ quốc tế ở Căm-pu-chi-a, giúp bạn Lào sau ngày 30 tháng 4 năm 1975 có từ đủ 20 năm trở lên phục vụ trong quân đội, công an đã phục viên, xuất ngũ, thôi việc</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29" w:history="1">
        <w:r w:rsidRPr="003A10C5">
          <w:rPr>
            <w:rFonts w:eastAsia="Times New Roman" w:cs="Times New Roman"/>
            <w:color w:val="000000"/>
            <w:szCs w:val="28"/>
          </w:rPr>
          <w:t>Thông tư liên tịch số 102/2012/TTLT-BQP-BLĐTBXH-BTC ngày 19/10/2012 của Bộ Quốc phòng, Bộ Lao động Thương binh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30/4/1975 có từ đủ 20 năm trở lên phục vụ trong Quân đội, cơ yếu đã phục viên, xuất ngũ, thôi việc</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hoặc điều kiện để thực hiện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Quân nhân, người làm công tác cơ yếu hưởng lương như đối với quân nhân, công an nhân dân nhập ngũ, tuyển dụng sau ngày 30/4/1975, trực tiếp tham gia chiến tranh bảo vệ Tổ quốc và làm nhiệm vụ quốc tế, có từ đủ 20 năm trở lên phục vụ trong Quân đội, cơ yếu đã phục viên, xuất ngũ, thôi việc (đối tượng đã từ trần).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Không thuộc diện đang hưởng chế độ hưu trí, mất sức lao động, bệnh binh hàng tháng.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Không thuộc các trường hợp sau: Đào ngũ, đầu hàng, phản bội, chiêu hồi; bị tước danh hiệu quân nhân, bị buộc thôi việc; từ trần khi thi hành án tù hoặc từ trần khi ở tại nước ngoài do đi bất hợp pháp hoặc bị toà án tuyên là mất tích./.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13. Thủ tục đăng ký tạm vắng đối với phương tiện kỹ thuật đã sắp xếp trong kế hoạch bổ sung cho lực lượng thường trực của quân đội (chủ phương tiện là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1:</w:t>
      </w:r>
      <w:r w:rsidRPr="009D063A">
        <w:rPr>
          <w:rFonts w:eastAsia="Times New Roman" w:cs="Times New Roman"/>
          <w:color w:val="212529"/>
          <w:szCs w:val="28"/>
        </w:rPr>
        <w:t> Trong thời hạn 30 ngày kể từ khi đưa phương tiện kỹ thuật hoạt động ngoài địa bàn của tỉnh hoặc từ khi làm xong thủ tục cầm cố, thế chấp, cầm giữ phương tiện kỹ thuật, chủ phương tiện kỹ thuật (hoặc người đại diện) trực tiếp đến Ban CHQS cấp xã, thị trấn (sau đây gọi là cấp xã) để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2:</w:t>
      </w:r>
      <w:r w:rsidRPr="009D063A">
        <w:rPr>
          <w:rFonts w:eastAsia="Times New Roman" w:cs="Times New Roman"/>
          <w:color w:val="212529"/>
          <w:szCs w:val="28"/>
        </w:rPr>
        <w:t> Ban CHQS cấp xã tiếp nhận, ghi vào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 </w:t>
      </w:r>
      <w:r w:rsidRPr="009D063A">
        <w:rPr>
          <w:rFonts w:eastAsia="Times New Roman" w:cs="Times New Roman"/>
          <w:color w:val="212529"/>
          <w:szCs w:val="28"/>
        </w:rPr>
        <w:t>Trực tiếp tại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r w:rsidRPr="009D063A">
        <w:rPr>
          <w:rFonts w:eastAsia="Times New Roman" w:cs="Times New Roman"/>
          <w:color w:val="212529"/>
          <w:szCs w:val="28"/>
        </w:rPr>
        <w:t> Giấy tờ liên quan đến hoạt động của phương tiện hoặc cầm cố, thế chấp, cầm giữ phương tiện.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Ngay sau khi kết thúc đăng ký.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r w:rsidRPr="009D063A">
        <w:rPr>
          <w:rFonts w:eastAsia="Times New Roman" w:cs="Times New Roman"/>
          <w:color w:val="212529"/>
          <w:szCs w:val="28"/>
        </w:rPr>
        <w:t>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có thẩm quyền quyết định:</w:t>
      </w:r>
      <w:r w:rsidRPr="009D063A">
        <w:rPr>
          <w:rFonts w:eastAsia="Times New Roman" w:cs="Times New Roman"/>
          <w:color w:val="212529"/>
          <w:szCs w:val="28"/>
        </w:rPr>
        <w:t>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thủ tục hành chính:</w:t>
      </w:r>
      <w:r w:rsidRPr="009D063A">
        <w:rPr>
          <w:rFonts w:eastAsia="Times New Roman" w:cs="Times New Roman"/>
          <w:color w:val="212529"/>
          <w:szCs w:val="28"/>
        </w:rPr>
        <w:t> </w:t>
      </w:r>
      <w:r w:rsidRPr="003A10C5">
        <w:rPr>
          <w:rFonts w:eastAsia="Times New Roman" w:cs="Times New Roman"/>
          <w:b/>
          <w:bCs/>
          <w:i/>
          <w:iCs/>
          <w:color w:val="212529"/>
          <w:szCs w:val="28"/>
        </w:rPr>
        <w:t> </w:t>
      </w:r>
      <w:r w:rsidRPr="009D063A">
        <w:rPr>
          <w:rFonts w:eastAsia="Times New Roman" w:cs="Times New Roman"/>
          <w:color w:val="212529"/>
          <w:szCs w:val="28"/>
        </w:rPr>
        <w:t>Ghi tên phương tiện kỹ thuật vào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 </w:t>
      </w:r>
      <w:r w:rsidRPr="009D063A">
        <w:rPr>
          <w:rFonts w:eastAsia="Times New Roman" w:cs="Times New Roman"/>
          <w:color w:val="212529"/>
          <w:szCs w:val="28"/>
        </w:rPr>
        <w:t>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30" w:history="1">
        <w:r w:rsidRPr="003A10C5">
          <w:rPr>
            <w:rFonts w:eastAsia="Times New Roman" w:cs="Times New Roman"/>
            <w:color w:val="000000"/>
            <w:szCs w:val="28"/>
          </w:rPr>
          <w:t>Nghị định 168/1999/NĐ-CP</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31" w:history="1">
        <w:r w:rsidRPr="003A10C5">
          <w:rPr>
            <w:rFonts w:eastAsia="Times New Roman" w:cs="Times New Roman"/>
            <w:color w:val="000000"/>
            <w:szCs w:val="28"/>
          </w:rPr>
          <w:t>Nghị định 125/2005/NĐ-CP</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color w:val="212529"/>
          <w:szCs w:val="28"/>
        </w:rPr>
        <w:t>- </w:t>
      </w:r>
      <w:hyperlink r:id="rId32" w:history="1">
        <w:r w:rsidRPr="003A10C5">
          <w:rPr>
            <w:rFonts w:eastAsia="Times New Roman" w:cs="Times New Roman"/>
            <w:color w:val="000000"/>
            <w:szCs w:val="28"/>
          </w:rPr>
          <w:t>Nghị định 44/2012/NĐ-CP</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rPr>
          <w:rFonts w:eastAsia="Times New Roman" w:cs="Times New Roman"/>
          <w:color w:val="212529"/>
          <w:szCs w:val="28"/>
        </w:rPr>
      </w:pPr>
      <w:r w:rsidRPr="003A10C5">
        <w:rPr>
          <w:rFonts w:eastAsia="Times New Roman" w:cs="Times New Roman"/>
          <w:b/>
          <w:bCs/>
          <w:color w:val="212529"/>
          <w:szCs w:val="28"/>
        </w:rPr>
        <w:t>14. Thủ tục xóa đăng ký tạm vắng đối với phương tiện kỹ thuật đã sắp xếp trong kế hoạch bổ sung cho lực lượng thường trực của quân đội (chủ phương tiện là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Trình tự thực hiện: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1:</w:t>
      </w:r>
      <w:r w:rsidRPr="009D063A">
        <w:rPr>
          <w:rFonts w:eastAsia="Times New Roman" w:cs="Times New Roman"/>
          <w:color w:val="212529"/>
          <w:szCs w:val="28"/>
        </w:rPr>
        <w:t> Trong thời hạn 30 ngày kể từ khi phương tiện kỹ thuật không còn hoạt động ngoài địa bàn của tỉnh hoặc không còn cầm cố, thế chấp, cầm giữ thì chủ phương tiện kỹ thuật (hoặc người đại diện) trực tiếp đến Ban CHQS cấp xã để xóa tên trong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i/>
          <w:iCs/>
          <w:color w:val="212529"/>
          <w:szCs w:val="28"/>
        </w:rPr>
        <w:t>Bước 2:</w:t>
      </w:r>
      <w:r w:rsidRPr="009D063A">
        <w:rPr>
          <w:rFonts w:eastAsia="Times New Roman" w:cs="Times New Roman"/>
          <w:color w:val="212529"/>
          <w:szCs w:val="28"/>
        </w:rPr>
        <w:t> Ban CHQS cấp xã tiếp nhận, ghi vào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Cách thức thực hiện: </w:t>
      </w:r>
      <w:r w:rsidRPr="009D063A">
        <w:rPr>
          <w:rFonts w:eastAsia="Times New Roman" w:cs="Times New Roman"/>
          <w:color w:val="212529"/>
          <w:szCs w:val="28"/>
        </w:rPr>
        <w:t>Trực tiếp tại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Thành phần hồ sơ:</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thông báo phương tiện kỹ thuật hết thời hạn tạm vắng có xác nhận của tổ chức hoặc UBND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Giấy tờ liên quan đến hoạt động của phương tiện hoặc hết thời hạn cầm cố, thế chấp, cầm giữ phương tiện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Số lượng hồ sơ:</w:t>
      </w:r>
      <w:r w:rsidRPr="009D063A">
        <w:rPr>
          <w:rFonts w:eastAsia="Times New Roman" w:cs="Times New Roman"/>
          <w:color w:val="212529"/>
          <w:szCs w:val="28"/>
        </w:rPr>
        <w:t> 01 bộ.</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Thời gian giải quyết:</w:t>
      </w:r>
      <w:r w:rsidRPr="009D063A">
        <w:rPr>
          <w:rFonts w:eastAsia="Times New Roman" w:cs="Times New Roman"/>
          <w:color w:val="212529"/>
          <w:szCs w:val="28"/>
        </w:rPr>
        <w:t> Ngay sau khi kết thúc đăng ký</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lastRenderedPageBreak/>
        <w:t>Đối tượng thực hiện thủ tục hành chính:</w:t>
      </w:r>
      <w:r w:rsidRPr="009D063A">
        <w:rPr>
          <w:rFonts w:eastAsia="Times New Roman" w:cs="Times New Roman"/>
          <w:color w:val="212529"/>
          <w:szCs w:val="28"/>
        </w:rPr>
        <w:t> Cá nhân.</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thực hiện thủ tục hành chính:</w:t>
      </w:r>
      <w:r w:rsidRPr="009D063A">
        <w:rPr>
          <w:rFonts w:eastAsia="Times New Roman" w:cs="Times New Roman"/>
          <w:color w:val="212529"/>
          <w:szCs w:val="28"/>
        </w:rPr>
        <w:t>  Ban CHQS cấp xã.</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Cơ quan có thẩm quyền quyết định:</w:t>
      </w:r>
      <w:r w:rsidRPr="009D063A">
        <w:rPr>
          <w:rFonts w:eastAsia="Times New Roman" w:cs="Times New Roman"/>
          <w:color w:val="212529"/>
          <w:szCs w:val="28"/>
        </w:rPr>
        <w:t>  Ban CHQS cấp xã.</w:t>
      </w:r>
      <w:bookmarkStart w:id="0" w:name="_GoBack"/>
      <w:bookmarkEnd w:id="0"/>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Kết quả thực hiện thủ tục hành chính:</w:t>
      </w:r>
      <w:r w:rsidRPr="003A10C5">
        <w:rPr>
          <w:rFonts w:eastAsia="Times New Roman" w:cs="Times New Roman"/>
          <w:i/>
          <w:iCs/>
          <w:color w:val="212529"/>
          <w:szCs w:val="28"/>
        </w:rPr>
        <w:t> </w:t>
      </w:r>
      <w:r w:rsidRPr="003A10C5">
        <w:rPr>
          <w:rFonts w:eastAsia="Times New Roman" w:cs="Times New Roman"/>
          <w:b/>
          <w:bCs/>
          <w:i/>
          <w:iCs/>
          <w:color w:val="212529"/>
          <w:szCs w:val="28"/>
        </w:rPr>
        <w:t> </w:t>
      </w:r>
      <w:r w:rsidRPr="009D063A">
        <w:rPr>
          <w:rFonts w:eastAsia="Times New Roman" w:cs="Times New Roman"/>
          <w:color w:val="212529"/>
          <w:szCs w:val="28"/>
        </w:rPr>
        <w:t>Xóa tên phương tiện kỹ thuật trong sổ đăng ký phương tiện kỹ thuật tạm vắng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Lệ phí:</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Tên mẫu đơn, mẫu tờ khai:</w:t>
      </w:r>
      <w:r w:rsidRPr="009D063A">
        <w:rPr>
          <w:rFonts w:eastAsia="Times New Roman" w:cs="Times New Roman"/>
          <w:color w:val="212529"/>
          <w:szCs w:val="28"/>
        </w:rPr>
        <w:t> 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Yêu cầu, điều kiện thực hiện thủ tục hành chính: </w:t>
      </w:r>
      <w:r w:rsidRPr="009D063A">
        <w:rPr>
          <w:rFonts w:eastAsia="Times New Roman" w:cs="Times New Roman"/>
          <w:color w:val="212529"/>
          <w:szCs w:val="28"/>
        </w:rPr>
        <w:t>không</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3A10C5">
        <w:rPr>
          <w:rFonts w:eastAsia="Times New Roman" w:cs="Times New Roman"/>
          <w:b/>
          <w:bCs/>
          <w:i/>
          <w:iCs/>
          <w:color w:val="212529"/>
          <w:szCs w:val="28"/>
        </w:rPr>
        <w:t>Căn cứ pháp lý của thủ tục hành chính:</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33" w:history="1">
        <w:r w:rsidRPr="003A10C5">
          <w:rPr>
            <w:rFonts w:eastAsia="Times New Roman" w:cs="Times New Roman"/>
            <w:color w:val="000000"/>
            <w:szCs w:val="28"/>
          </w:rPr>
          <w:t>Nghị định 168/1999/NĐ-CP</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34" w:history="1">
        <w:r w:rsidRPr="003A10C5">
          <w:rPr>
            <w:rFonts w:eastAsia="Times New Roman" w:cs="Times New Roman"/>
            <w:color w:val="000000"/>
            <w:szCs w:val="28"/>
          </w:rPr>
          <w:t>Nghị định 125/2005/NĐ-CP</w:t>
        </w:r>
      </w:hyperlink>
      <w:r w:rsidRPr="009D063A">
        <w:rPr>
          <w:rFonts w:eastAsia="Times New Roman" w:cs="Times New Roman"/>
          <w:color w:val="212529"/>
          <w:szCs w:val="28"/>
        </w:rPr>
        <w:t>;</w:t>
      </w:r>
    </w:p>
    <w:p w:rsidR="009D063A" w:rsidRPr="009D063A" w:rsidRDefault="009D063A" w:rsidP="009D063A">
      <w:pPr>
        <w:shd w:val="clear" w:color="auto" w:fill="FFFFFF"/>
        <w:spacing w:before="120" w:after="120" w:line="360" w:lineRule="atLeast"/>
        <w:jc w:val="both"/>
        <w:rPr>
          <w:rFonts w:eastAsia="Times New Roman" w:cs="Times New Roman"/>
          <w:color w:val="212529"/>
          <w:szCs w:val="28"/>
        </w:rPr>
      </w:pPr>
      <w:r w:rsidRPr="009D063A">
        <w:rPr>
          <w:rFonts w:eastAsia="Times New Roman" w:cs="Times New Roman"/>
          <w:color w:val="212529"/>
          <w:szCs w:val="28"/>
        </w:rPr>
        <w:t>- </w:t>
      </w:r>
      <w:hyperlink r:id="rId35" w:history="1">
        <w:r w:rsidRPr="003A10C5">
          <w:rPr>
            <w:rFonts w:eastAsia="Times New Roman" w:cs="Times New Roman"/>
            <w:color w:val="000000"/>
            <w:szCs w:val="28"/>
          </w:rPr>
          <w:t>Nghị định 44/2012/NĐ-CP</w:t>
        </w:r>
      </w:hyperlink>
      <w:r w:rsidRPr="009D063A">
        <w:rPr>
          <w:rFonts w:eastAsia="Times New Roman" w:cs="Times New Roman"/>
          <w:color w:val="212529"/>
          <w:szCs w:val="28"/>
        </w:rPr>
        <w:t>.</w:t>
      </w:r>
    </w:p>
    <w:p w:rsidR="00463BEF" w:rsidRPr="003A10C5" w:rsidRDefault="00463BEF">
      <w:pPr>
        <w:rPr>
          <w:rFonts w:cs="Times New Roman"/>
          <w:szCs w:val="28"/>
        </w:rPr>
      </w:pPr>
    </w:p>
    <w:sectPr w:rsidR="00463BEF" w:rsidRPr="003A10C5" w:rsidSect="009D063A">
      <w:pgSz w:w="11907" w:h="16840" w:code="9"/>
      <w:pgMar w:top="907" w:right="907"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3A"/>
    <w:rsid w:val="003A10C5"/>
    <w:rsid w:val="0040335B"/>
    <w:rsid w:val="00463BEF"/>
    <w:rsid w:val="00985ED5"/>
    <w:rsid w:val="009D063A"/>
    <w:rsid w:val="00D7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74AE"/>
  <w15:docId w15:val="{37400FF1-7E12-4556-A96D-493302E5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6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D063A"/>
    <w:rPr>
      <w:b/>
      <w:bCs/>
    </w:rPr>
  </w:style>
  <w:style w:type="character" w:styleId="Hyperlink">
    <w:name w:val="Hyperlink"/>
    <w:basedOn w:val="DefaultParagraphFont"/>
    <w:uiPriority w:val="99"/>
    <w:semiHidden/>
    <w:unhideWhenUsed/>
    <w:rsid w:val="009D063A"/>
    <w:rPr>
      <w:color w:val="0000FF"/>
      <w:u w:val="single"/>
    </w:rPr>
  </w:style>
  <w:style w:type="character" w:styleId="FollowedHyperlink">
    <w:name w:val="FollowedHyperlink"/>
    <w:basedOn w:val="DefaultParagraphFont"/>
    <w:uiPriority w:val="99"/>
    <w:semiHidden/>
    <w:unhideWhenUsed/>
    <w:rsid w:val="009D063A"/>
    <w:rPr>
      <w:color w:val="800080"/>
      <w:u w:val="single"/>
    </w:rPr>
  </w:style>
  <w:style w:type="character" w:styleId="Emphasis">
    <w:name w:val="Emphasis"/>
    <w:basedOn w:val="DefaultParagraphFont"/>
    <w:uiPriority w:val="20"/>
    <w:qFormat/>
    <w:rsid w:val="009D0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bpl.vn/TW/Pages/vbpq-thuoctinh.aspx?ItemID=6537" TargetMode="External"/><Relationship Id="rId18" Type="http://schemas.openxmlformats.org/officeDocument/2006/relationships/hyperlink" Target="http://vbpl.vn/TW/Pages/vbpq-thuoctinh.aspx?ItemID=27677" TargetMode="External"/><Relationship Id="rId26" Type="http://schemas.openxmlformats.org/officeDocument/2006/relationships/hyperlink" Target="https://thuvienphapluat.vn/van-ban/bo-may-hanh-chinh/nghi-dinh-03-2016-nd-cp-quy-dinh-chi-tiet-bien-phap-thi-hanh-mot-so-dieu-luat-dan-quan-tu-ve-299881.aspx" TargetMode="External"/><Relationship Id="rId21" Type="http://schemas.openxmlformats.org/officeDocument/2006/relationships/hyperlink" Target="https://thuvienphapluat.vn/van-ban/bo-may-hanh-chinh/nghi-dinh-13-2016-nd-cp-dang-ky-che-do-cong-dan-kham-kiem-tra-suc-khoe-nghia-vu-quan-su-292021.aspx" TargetMode="External"/><Relationship Id="rId34" Type="http://schemas.openxmlformats.org/officeDocument/2006/relationships/hyperlink" Target="http://vbpl.vn/TW/Pages/vbpq-thuoctinh.aspx?ItemID=6537" TargetMode="External"/><Relationship Id="rId7" Type="http://schemas.openxmlformats.org/officeDocument/2006/relationships/hyperlink" Target="https://thuvienphapluat.vn/van-ban/bo-may-hanh-chinh/nghi-dinh-13-2016-nd-cp-dang-ky-che-do-cong-dan-kham-kiem-tra-suc-khoe-nghia-vu-quan-su-292021.aspx" TargetMode="External"/><Relationship Id="rId12" Type="http://schemas.openxmlformats.org/officeDocument/2006/relationships/hyperlink" Target="https://thuvienphapluat.vn/van-ban/bo-may-hanh-chinh/nghi-dinh-03-2016-nd-cp-quy-dinh-chi-tiet-bien-phap-thi-hanh-mot-so-dieu-luat-dan-quan-tu-ve-299881.aspx" TargetMode="External"/><Relationship Id="rId17" Type="http://schemas.openxmlformats.org/officeDocument/2006/relationships/hyperlink" Target="http://vbpl.vn/TW/Pages/vbpq-thuoctinh.aspx?ItemID=6537" TargetMode="External"/><Relationship Id="rId25" Type="http://schemas.openxmlformats.org/officeDocument/2006/relationships/hyperlink" Target="https://thuvienphapluat.vn/van-ban/bo-may-hanh-chinh/nghi-dinh-13-2016-nd-cp-dang-ky-che-do-cong-dan-kham-kiem-tra-suc-khoe-nghia-vu-quan-su-292021.aspx" TargetMode="External"/><Relationship Id="rId33" Type="http://schemas.openxmlformats.org/officeDocument/2006/relationships/hyperlink" Target="http://vbpl.vn/TW/Pages/vbpq-thuoctinh.aspx?ItemID=6537" TargetMode="External"/><Relationship Id="rId2" Type="http://schemas.openxmlformats.org/officeDocument/2006/relationships/settings" Target="settings.xml"/><Relationship Id="rId16" Type="http://schemas.openxmlformats.org/officeDocument/2006/relationships/hyperlink" Target="http://vbpl.vn/TW/Pages/vbpq-thuoctinh.aspx?ItemID=6537" TargetMode="External"/><Relationship Id="rId20" Type="http://schemas.openxmlformats.org/officeDocument/2006/relationships/hyperlink" Target="https://thuvienphapluat.vn/van-ban/bo-may-hanh-chinh/nghi-dinh-13-2016-nd-cp-dang-ky-che-do-cong-dan-kham-kiem-tra-suc-khoe-nghia-vu-quan-su-292021.aspx" TargetMode="External"/><Relationship Id="rId29" Type="http://schemas.openxmlformats.org/officeDocument/2006/relationships/hyperlink" Target="http://csdl.thutuchanhchinh.vn/TW/Pages/chitiet-vb-qdtthc-khac.aspx?ItemID=1179" TargetMode="External"/><Relationship Id="rId1" Type="http://schemas.openxmlformats.org/officeDocument/2006/relationships/styles" Target="styles.xml"/><Relationship Id="rId6" Type="http://schemas.openxmlformats.org/officeDocument/2006/relationships/hyperlink" Target="https://thuvienphapluat.vn/van-ban/bo-may-hanh-chinh/nghi-dinh-13-2016-nd-cp-dang-ky-che-do-cong-dan-kham-kiem-tra-suc-khoe-nghia-vu-quan-su-292021.aspx" TargetMode="External"/><Relationship Id="rId11" Type="http://schemas.openxmlformats.org/officeDocument/2006/relationships/hyperlink" Target="https://thuvienphapluat.vn/van-ban/bo-may-hanh-chinh/nghi-dinh-03-2016-nd-cp-quy-dinh-chi-tiet-bien-phap-thi-hanh-mot-so-dieu-luat-dan-quan-tu-ve-299881.aspx" TargetMode="External"/><Relationship Id="rId24" Type="http://schemas.openxmlformats.org/officeDocument/2006/relationships/hyperlink" Target="https://thuvienphapluat.vn/van-ban/bo-may-hanh-chinh/nghi-dinh-13-2016-nd-cp-dang-ky-che-do-cong-dan-kham-kiem-tra-suc-khoe-nghia-vu-quan-su-292021.aspx" TargetMode="External"/><Relationship Id="rId32" Type="http://schemas.openxmlformats.org/officeDocument/2006/relationships/hyperlink" Target="http://vbpl.vn/TW/Pages/vbpq-thuoctinh.aspx?ItemID=27677" TargetMode="External"/><Relationship Id="rId37" Type="http://schemas.openxmlformats.org/officeDocument/2006/relationships/theme" Target="theme/theme1.xml"/><Relationship Id="rId5" Type="http://schemas.openxmlformats.org/officeDocument/2006/relationships/hyperlink" Target="https://thuvienphapluat.vn/van-ban/bo-may-hanh-chinh/nghi-dinh-13-2016-nd-cp-dang-ky-che-do-cong-dan-kham-kiem-tra-suc-khoe-nghia-vu-quan-su-292021.aspx" TargetMode="External"/><Relationship Id="rId15" Type="http://schemas.openxmlformats.org/officeDocument/2006/relationships/hyperlink" Target="http://vbpl.vn/TW/Pages/vbpq-thuoctinh.aspx?ItemID=27677" TargetMode="External"/><Relationship Id="rId23" Type="http://schemas.openxmlformats.org/officeDocument/2006/relationships/hyperlink" Target="https://thuvienphapluat.vn/van-ban/bo-may-hanh-chinh/nghi-dinh-13-2016-nd-cp-dang-ky-che-do-cong-dan-kham-kiem-tra-suc-khoe-nghia-vu-quan-su-292021.aspx" TargetMode="External"/><Relationship Id="rId28" Type="http://schemas.openxmlformats.org/officeDocument/2006/relationships/hyperlink" Target="https://thuvienphapluat.vn/van-ban/bo-may-hanh-chinh/nghi-dinh-03-2016-nd-cp-quy-dinh-chi-tiet-bien-phap-thi-hanh-mot-so-dieu-luat-dan-quan-tu-ve-299881.aspx" TargetMode="External"/><Relationship Id="rId36" Type="http://schemas.openxmlformats.org/officeDocument/2006/relationships/fontTable" Target="fontTable.xml"/><Relationship Id="rId10" Type="http://schemas.openxmlformats.org/officeDocument/2006/relationships/hyperlink" Target="https://thuvienphapluat.vn/van-ban/bo-may-hanh-chinh/nghi-dinh-13-2016-nd-cp-dang-ky-che-do-cong-dan-kham-kiem-tra-suc-khoe-nghia-vu-quan-su-292021.aspx" TargetMode="External"/><Relationship Id="rId19" Type="http://schemas.openxmlformats.org/officeDocument/2006/relationships/hyperlink" Target="https://thuvienphapluat.vn/van-ban/bo-may-hanh-chinh/nghi-dinh-13-2016-nd-cp-dang-ky-che-do-cong-dan-kham-kiem-tra-suc-khoe-nghia-vu-quan-su-292021.aspx" TargetMode="External"/><Relationship Id="rId31" Type="http://schemas.openxmlformats.org/officeDocument/2006/relationships/hyperlink" Target="http://vbpl.vn/TW/Pages/vbpq-thuoctinh.aspx?ItemID=6537" TargetMode="External"/><Relationship Id="rId4" Type="http://schemas.openxmlformats.org/officeDocument/2006/relationships/hyperlink" Target="https://thuvienphapluat.vn/van-ban/bo-may-hanh-chinh/nghi-dinh-13-2016-nd-cp-dang-ky-che-do-cong-dan-kham-kiem-tra-suc-khoe-nghia-vu-quan-su-292021.aspx" TargetMode="External"/><Relationship Id="rId9" Type="http://schemas.openxmlformats.org/officeDocument/2006/relationships/hyperlink" Target="https://thuvienphapluat.vn/van-ban/bo-may-hanh-chinh/nghi-dinh-13-2016-nd-cp-dang-ky-che-do-cong-dan-kham-kiem-tra-suc-khoe-nghia-vu-quan-su-292021.aspx" TargetMode="External"/><Relationship Id="rId14" Type="http://schemas.openxmlformats.org/officeDocument/2006/relationships/hyperlink" Target="http://vbpl.vn/TW/Pages/vbpq-thuoctinh.aspx?ItemID=6537" TargetMode="External"/><Relationship Id="rId22" Type="http://schemas.openxmlformats.org/officeDocument/2006/relationships/hyperlink" Target="https://thuvienphapluat.vn/van-ban/bo-may-hanh-chinh/nghi-dinh-13-2016-nd-cp-dang-ky-che-do-cong-dan-kham-kiem-tra-suc-khoe-nghia-vu-quan-su-292021.aspx" TargetMode="External"/><Relationship Id="rId27" Type="http://schemas.openxmlformats.org/officeDocument/2006/relationships/hyperlink" Target="https://thuvienphapluat.vn/van-ban/bo-may-hanh-chinh/nghi-dinh-03-2016-nd-cp-quy-dinh-chi-tiet-bien-phap-thi-hanh-mot-so-dieu-luat-dan-quan-tu-ve-299881.aspx" TargetMode="External"/><Relationship Id="rId30" Type="http://schemas.openxmlformats.org/officeDocument/2006/relationships/hyperlink" Target="http://vbpl.vn/TW/Pages/vbpq-thuoctinh.aspx?ItemID=6537" TargetMode="External"/><Relationship Id="rId35" Type="http://schemas.openxmlformats.org/officeDocument/2006/relationships/hyperlink" Target="http://vbpl.vn/TW/Pages/vbpq-thuoctinh.aspx?ItemID=27677" TargetMode="External"/><Relationship Id="rId8" Type="http://schemas.openxmlformats.org/officeDocument/2006/relationships/hyperlink" Target="https://thuvienphapluat.vn/van-ban/bo-may-hanh-chinh/nghi-dinh-13-2016-nd-cp-dang-ky-che-do-cong-dan-kham-kiem-tra-suc-khoe-nghia-vu-quan-su-292021.asp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6721</Words>
  <Characters>38314</Characters>
  <Application>Microsoft Office Word</Application>
  <DocSecurity>0</DocSecurity>
  <Lines>319</Lines>
  <Paragraphs>89</Paragraphs>
  <ScaleCrop>false</ScaleCrop>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cp:lastModifiedBy>
  <cp:revision>5</cp:revision>
  <dcterms:created xsi:type="dcterms:W3CDTF">2024-10-25T02:10:00Z</dcterms:created>
  <dcterms:modified xsi:type="dcterms:W3CDTF">2025-11-16T11:39:00Z</dcterms:modified>
</cp:coreProperties>
</file>