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F5" w:rsidRPr="003D4ED4" w:rsidRDefault="00C94EF5" w:rsidP="00C94EF5">
      <w:pPr>
        <w:spacing w:before="60" w:after="60" w:line="360" w:lineRule="exact"/>
        <w:jc w:val="center"/>
        <w:rPr>
          <w:rFonts w:ascii="Times New Roman" w:hAnsi="Times New Roman" w:cs="Times New Roman"/>
          <w:b/>
          <w:sz w:val="28"/>
          <w:szCs w:val="28"/>
        </w:rPr>
      </w:pPr>
      <w:r w:rsidRPr="003D4ED4">
        <w:rPr>
          <w:rFonts w:ascii="Times New Roman" w:hAnsi="Times New Roman" w:cs="Times New Roman"/>
          <w:b/>
          <w:sz w:val="28"/>
          <w:szCs w:val="28"/>
        </w:rPr>
        <w:t>Phụ lục I</w:t>
      </w:r>
      <w:r w:rsidR="00D446BF">
        <w:rPr>
          <w:rFonts w:ascii="Times New Roman" w:hAnsi="Times New Roman" w:cs="Times New Roman"/>
          <w:b/>
          <w:sz w:val="28"/>
          <w:szCs w:val="28"/>
        </w:rPr>
        <w:t>I</w:t>
      </w:r>
    </w:p>
    <w:p w:rsidR="00C94EF5" w:rsidRPr="003D4ED4" w:rsidRDefault="00C94EF5" w:rsidP="00113733">
      <w:pPr>
        <w:spacing w:before="60" w:after="6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TẬP HỢP, THỐNG KÊ </w:t>
      </w:r>
      <w:r w:rsidRPr="00C94EF5">
        <w:rPr>
          <w:rFonts w:ascii="Times New Roman" w:hAnsi="Times New Roman" w:cs="Times New Roman"/>
          <w:b/>
          <w:sz w:val="28"/>
          <w:szCs w:val="28"/>
        </w:rPr>
        <w:t xml:space="preserve">QUY ĐỊNH </w:t>
      </w:r>
      <w:r w:rsidR="001A1DBB">
        <w:rPr>
          <w:rFonts w:ascii="Times New Roman" w:hAnsi="Times New Roman" w:cs="Times New Roman"/>
          <w:b/>
          <w:sz w:val="28"/>
          <w:szCs w:val="28"/>
        </w:rPr>
        <w:t xml:space="preserve">CỦA </w:t>
      </w:r>
      <w:r w:rsidR="001A1DBB" w:rsidRPr="001A1DBB">
        <w:rPr>
          <w:rFonts w:ascii="Times New Roman" w:hAnsi="Times New Roman" w:cs="Times New Roman"/>
          <w:b/>
          <w:sz w:val="28"/>
          <w:szCs w:val="28"/>
        </w:rPr>
        <w:t xml:space="preserve">NGHỊ ĐỊNH SỐ 218/2025/NĐ-CP NGÀY 05/8/2025 CỦA CHÍNH PHỦ QUY ĐỊNH XỬ PHẠT VI PHẠM HÀNH CHÍNH TRONG LĨNH VỰC QUỐC PHÒNG, CƠ YẾU </w:t>
      </w:r>
      <w:r w:rsidRPr="00C94EF5">
        <w:rPr>
          <w:rFonts w:ascii="Times New Roman" w:hAnsi="Times New Roman" w:cs="Times New Roman"/>
          <w:b/>
          <w:sz w:val="28"/>
          <w:szCs w:val="28"/>
        </w:rPr>
        <w:t>VỀ HÀNH VI VI PHẠM, HÌNH THỨC XỬ PHẠT, MỨC XỬ PHẠ</w:t>
      </w:r>
      <w:r w:rsidR="00113733">
        <w:rPr>
          <w:rFonts w:ascii="Times New Roman" w:hAnsi="Times New Roman" w:cs="Times New Roman"/>
          <w:b/>
          <w:sz w:val="28"/>
          <w:szCs w:val="28"/>
        </w:rPr>
        <w:t>T,</w:t>
      </w:r>
      <w:r w:rsidRPr="00C94EF5">
        <w:rPr>
          <w:rFonts w:ascii="Times New Roman" w:hAnsi="Times New Roman" w:cs="Times New Roman"/>
          <w:b/>
          <w:sz w:val="28"/>
          <w:szCs w:val="28"/>
        </w:rPr>
        <w:t xml:space="preserve"> BIỆN PHÁP KHẮC PHỤC HẬU QUẢ</w:t>
      </w:r>
      <w:r w:rsidRPr="003D4ED4">
        <w:rPr>
          <w:rFonts w:ascii="Times New Roman" w:hAnsi="Times New Roman" w:cs="Times New Roman"/>
          <w:b/>
          <w:sz w:val="28"/>
          <w:szCs w:val="28"/>
        </w:rPr>
        <w:t xml:space="preserve"> </w:t>
      </w:r>
      <w:r w:rsidR="00113733">
        <w:rPr>
          <w:rFonts w:ascii="Times New Roman" w:hAnsi="Times New Roman" w:cs="Times New Roman"/>
          <w:b/>
          <w:sz w:val="28"/>
          <w:szCs w:val="28"/>
        </w:rPr>
        <w:t xml:space="preserve">VÀ THẨM QUYỀN XỬ PHẠT </w:t>
      </w:r>
      <w:r w:rsidRPr="003D4ED4">
        <w:rPr>
          <w:rFonts w:ascii="Times New Roman" w:hAnsi="Times New Roman" w:cs="Times New Roman"/>
          <w:b/>
          <w:sz w:val="28"/>
          <w:szCs w:val="28"/>
        </w:rPr>
        <w:t>LIÊN QUAN ĐẾN THỰC HIỆN NGHĨA VỤ QUÂN SỰ, NGHĨA VỤ THAM GIA CÔNG AN NHÂN DÂN</w:t>
      </w:r>
    </w:p>
    <w:p w:rsidR="00C94EF5" w:rsidRPr="00F6767E" w:rsidRDefault="00C94EF5" w:rsidP="00C94EF5">
      <w:pPr>
        <w:spacing w:before="120" w:after="120" w:line="360" w:lineRule="exact"/>
        <w:jc w:val="center"/>
        <w:rPr>
          <w:rFonts w:ascii="Times New Roman" w:hAnsi="Times New Roman" w:cs="Times New Roman"/>
          <w:bCs/>
          <w:i/>
          <w:sz w:val="28"/>
          <w:szCs w:val="28"/>
        </w:rPr>
      </w:pPr>
      <w:r w:rsidRPr="00F6767E">
        <w:rPr>
          <w:rFonts w:ascii="Times New Roman" w:hAnsi="Times New Roman" w:cs="Times New Roman"/>
          <w:bCs/>
          <w:i/>
          <w:sz w:val="28"/>
          <w:szCs w:val="28"/>
        </w:rPr>
        <w:t>(Kèm theo Công văn số …/STP-QLXLVPHC&amp;KTTDTHPL ngày …/…/2025)</w:t>
      </w:r>
    </w:p>
    <w:p w:rsidR="00C94EF5" w:rsidRDefault="00D446BF" w:rsidP="00C94EF5">
      <w:pPr>
        <w:spacing w:before="120" w:after="120" w:line="360" w:lineRule="exact"/>
        <w:ind w:firstLine="720"/>
        <w:rPr>
          <w:rFonts w:ascii="Times New Roman" w:hAnsi="Times New Roman" w:cs="Times New Roman"/>
          <w:b/>
          <w:bCs/>
          <w:sz w:val="28"/>
          <w:szCs w:val="28"/>
        </w:rPr>
      </w:pPr>
      <w:r>
        <w:rPr>
          <w:rFonts w:ascii="Times New Roman" w:hAnsi="Times New Roman" w:cs="Times New Roman"/>
          <w:bCs/>
          <w:i/>
          <w:noProof/>
          <w:sz w:val="28"/>
          <w:szCs w:val="28"/>
        </w:rPr>
        <mc:AlternateContent>
          <mc:Choice Requires="wps">
            <w:drawing>
              <wp:anchor distT="0" distB="0" distL="114300" distR="114300" simplePos="0" relativeHeight="251659264" behindDoc="0" locked="0" layoutInCell="1" allowOverlap="1" wp14:anchorId="77252265" wp14:editId="66A56883">
                <wp:simplePos x="0" y="0"/>
                <wp:positionH relativeFrom="page">
                  <wp:align>center</wp:align>
                </wp:positionH>
                <wp:positionV relativeFrom="paragraph">
                  <wp:posOffset>32385</wp:posOffset>
                </wp:positionV>
                <wp:extent cx="1724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A7E2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55pt" to="13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" strokecolor="black [3200]" strokeweight=".5pt">
                <v:stroke joinstyle="miter"/>
                <w10:wrap anchorx="page"/>
              </v:line>
            </w:pict>
          </mc:Fallback>
        </mc:AlternateContent>
      </w:r>
    </w:p>
    <w:tbl>
      <w:tblPr>
        <w:tblStyle w:val="TableGrid"/>
        <w:tblW w:w="14454" w:type="dxa"/>
        <w:tblLook w:val="04A0" w:firstRow="1" w:lastRow="0" w:firstColumn="1" w:lastColumn="0" w:noHBand="0" w:noVBand="1"/>
      </w:tblPr>
      <w:tblGrid>
        <w:gridCol w:w="720"/>
        <w:gridCol w:w="4095"/>
        <w:gridCol w:w="2126"/>
        <w:gridCol w:w="4253"/>
        <w:gridCol w:w="3260"/>
      </w:tblGrid>
      <w:tr w:rsidR="00113733" w:rsidTr="00F45FA3">
        <w:trPr>
          <w:tblHeader/>
        </w:trPr>
        <w:tc>
          <w:tcPr>
            <w:tcW w:w="720" w:type="dxa"/>
            <w:vAlign w:val="center"/>
          </w:tcPr>
          <w:p w:rsidR="00113733" w:rsidRPr="005A6020" w:rsidRDefault="00113733" w:rsidP="00EB4AAB">
            <w:pPr>
              <w:spacing w:before="60" w:after="60"/>
              <w:jc w:val="center"/>
              <w:rPr>
                <w:rFonts w:ascii="Times New Roman" w:hAnsi="Times New Roman" w:cs="Times New Roman"/>
                <w:b/>
                <w:sz w:val="24"/>
                <w:szCs w:val="28"/>
              </w:rPr>
            </w:pPr>
            <w:r w:rsidRPr="005A6020">
              <w:rPr>
                <w:rFonts w:ascii="Times New Roman" w:hAnsi="Times New Roman" w:cs="Times New Roman"/>
                <w:b/>
                <w:sz w:val="24"/>
                <w:szCs w:val="28"/>
              </w:rPr>
              <w:t>STT</w:t>
            </w:r>
          </w:p>
        </w:tc>
        <w:tc>
          <w:tcPr>
            <w:tcW w:w="4095" w:type="dxa"/>
            <w:vAlign w:val="center"/>
          </w:tcPr>
          <w:p w:rsidR="00113733" w:rsidRPr="005A6020" w:rsidRDefault="00113733" w:rsidP="00EB4AAB">
            <w:pPr>
              <w:spacing w:before="60" w:after="60"/>
              <w:jc w:val="center"/>
              <w:rPr>
                <w:rFonts w:ascii="Times New Roman" w:hAnsi="Times New Roman" w:cs="Times New Roman"/>
                <w:b/>
                <w:sz w:val="24"/>
                <w:szCs w:val="28"/>
              </w:rPr>
            </w:pPr>
            <w:r w:rsidRPr="005A6020">
              <w:rPr>
                <w:rFonts w:ascii="Times New Roman" w:hAnsi="Times New Roman" w:cs="Times New Roman"/>
                <w:b/>
                <w:sz w:val="24"/>
                <w:szCs w:val="28"/>
              </w:rPr>
              <w:t>HÀNH VI</w:t>
            </w:r>
          </w:p>
        </w:tc>
        <w:tc>
          <w:tcPr>
            <w:tcW w:w="2126" w:type="dxa"/>
            <w:vAlign w:val="center"/>
          </w:tcPr>
          <w:p w:rsidR="00113733" w:rsidRPr="005A6020" w:rsidRDefault="00113733" w:rsidP="0094659B">
            <w:pPr>
              <w:spacing w:before="60" w:after="60"/>
              <w:jc w:val="center"/>
              <w:rPr>
                <w:rFonts w:ascii="Times New Roman" w:hAnsi="Times New Roman" w:cs="Times New Roman"/>
                <w:b/>
                <w:sz w:val="24"/>
                <w:szCs w:val="28"/>
              </w:rPr>
            </w:pPr>
            <w:r w:rsidRPr="005A6020">
              <w:rPr>
                <w:rFonts w:ascii="Times New Roman" w:hAnsi="Times New Roman" w:cs="Times New Roman"/>
                <w:b/>
                <w:sz w:val="24"/>
                <w:szCs w:val="28"/>
              </w:rPr>
              <w:t>QUY ĐỊNH</w:t>
            </w:r>
          </w:p>
        </w:tc>
        <w:tc>
          <w:tcPr>
            <w:tcW w:w="4253" w:type="dxa"/>
            <w:vAlign w:val="center"/>
          </w:tcPr>
          <w:p w:rsidR="00113733" w:rsidRPr="005A6020" w:rsidRDefault="00113733" w:rsidP="00EB4AAB">
            <w:pPr>
              <w:spacing w:before="60" w:after="60"/>
              <w:jc w:val="center"/>
              <w:rPr>
                <w:rFonts w:ascii="Times New Roman" w:hAnsi="Times New Roman" w:cs="Times New Roman"/>
                <w:b/>
                <w:sz w:val="24"/>
                <w:szCs w:val="28"/>
              </w:rPr>
            </w:pPr>
            <w:r>
              <w:rPr>
                <w:rFonts w:ascii="Times New Roman" w:hAnsi="Times New Roman" w:cs="Times New Roman"/>
                <w:b/>
                <w:sz w:val="24"/>
                <w:szCs w:val="28"/>
              </w:rPr>
              <w:t xml:space="preserve">HÌNH THỨC XỬ PHẠT, </w:t>
            </w:r>
            <w:r w:rsidR="00F45FA3">
              <w:rPr>
                <w:rFonts w:ascii="Times New Roman" w:hAnsi="Times New Roman" w:cs="Times New Roman"/>
                <w:b/>
                <w:sz w:val="24"/>
                <w:szCs w:val="28"/>
              </w:rPr>
              <w:br/>
            </w:r>
            <w:r>
              <w:rPr>
                <w:rFonts w:ascii="Times New Roman" w:hAnsi="Times New Roman" w:cs="Times New Roman"/>
                <w:b/>
                <w:sz w:val="24"/>
                <w:szCs w:val="28"/>
              </w:rPr>
              <w:t>BIỆN PHÁP KHẮC PHỤC HẬU QUẢ</w:t>
            </w:r>
          </w:p>
        </w:tc>
        <w:tc>
          <w:tcPr>
            <w:tcW w:w="3260" w:type="dxa"/>
            <w:vAlign w:val="center"/>
          </w:tcPr>
          <w:p w:rsidR="00113733" w:rsidRPr="005A6020" w:rsidRDefault="00113733" w:rsidP="00EB4AAB">
            <w:pPr>
              <w:spacing w:before="60" w:after="60"/>
              <w:jc w:val="center"/>
              <w:rPr>
                <w:rFonts w:ascii="Times New Roman" w:hAnsi="Times New Roman" w:cs="Times New Roman"/>
                <w:b/>
                <w:sz w:val="24"/>
                <w:szCs w:val="28"/>
              </w:rPr>
            </w:pPr>
            <w:r>
              <w:rPr>
                <w:rFonts w:ascii="Times New Roman" w:hAnsi="Times New Roman" w:cs="Times New Roman"/>
                <w:b/>
                <w:sz w:val="24"/>
                <w:szCs w:val="28"/>
              </w:rPr>
              <w:t>THẨM QUYỀN XỬ PHẠT TẠI ĐỊA PHƯƠNG</w:t>
            </w:r>
          </w:p>
        </w:tc>
      </w:tr>
      <w:tr w:rsidR="00113733" w:rsidTr="00113733">
        <w:tc>
          <w:tcPr>
            <w:tcW w:w="14454" w:type="dxa"/>
            <w:gridSpan w:val="5"/>
            <w:vAlign w:val="center"/>
          </w:tcPr>
          <w:p w:rsidR="00113733" w:rsidRPr="005A6020" w:rsidRDefault="00113733" w:rsidP="0094659B">
            <w:pPr>
              <w:spacing w:before="60" w:after="60"/>
              <w:jc w:val="both"/>
              <w:rPr>
                <w:rFonts w:ascii="Times New Roman" w:hAnsi="Times New Roman" w:cs="Times New Roman"/>
                <w:b/>
                <w:sz w:val="24"/>
                <w:szCs w:val="28"/>
              </w:rPr>
            </w:pPr>
            <w:r w:rsidRPr="0026081E">
              <w:rPr>
                <w:rFonts w:ascii="Times New Roman" w:hAnsi="Times New Roman" w:cs="Times New Roman"/>
                <w:b/>
                <w:sz w:val="28"/>
                <w:szCs w:val="28"/>
              </w:rPr>
              <w:t>I. Hành vi vi phạm các quy định về đăng ký nghĩa vụ quân sự (Điều 8</w:t>
            </w:r>
            <w:r>
              <w:rPr>
                <w:rFonts w:ascii="Times New Roman" w:hAnsi="Times New Roman" w:cs="Times New Roman"/>
                <w:b/>
                <w:sz w:val="28"/>
                <w:szCs w:val="28"/>
              </w:rPr>
              <w:t>)</w:t>
            </w:r>
          </w:p>
        </w:tc>
      </w:tr>
      <w:tr w:rsidR="00113733" w:rsidTr="00F45FA3">
        <w:tc>
          <w:tcPr>
            <w:tcW w:w="720" w:type="dxa"/>
            <w:vAlign w:val="center"/>
          </w:tcPr>
          <w:p w:rsidR="00113733" w:rsidRPr="0013555E" w:rsidRDefault="00113733" w:rsidP="00BC7340">
            <w:pPr>
              <w:pStyle w:val="ListParagraph"/>
              <w:numPr>
                <w:ilvl w:val="0"/>
                <w:numId w:val="1"/>
              </w:numPr>
              <w:spacing w:before="60" w:after="60"/>
              <w:jc w:val="center"/>
              <w:rPr>
                <w:rFonts w:ascii="Times New Roman" w:hAnsi="Times New Roman" w:cs="Times New Roman"/>
                <w:sz w:val="28"/>
                <w:szCs w:val="28"/>
              </w:rPr>
            </w:pPr>
          </w:p>
        </w:tc>
        <w:tc>
          <w:tcPr>
            <w:tcW w:w="4095" w:type="dxa"/>
            <w:vAlign w:val="center"/>
          </w:tcPr>
          <w:p w:rsidR="00113733" w:rsidRPr="00C27C3F"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412292">
              <w:rPr>
                <w:rFonts w:ascii="Times New Roman" w:hAnsi="Times New Roman" w:cs="Times New Roman"/>
                <w:sz w:val="28"/>
                <w:szCs w:val="28"/>
              </w:rPr>
              <w:t>hông đăng ký nghĩa vụ quân sự lần đầu đối với công dân nam đủ 17 tuổi trong năm thuộc diện phải đăng ký nghĩa vụ quân sự</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466D03">
              <w:rPr>
                <w:rFonts w:ascii="Times New Roman" w:hAnsi="Times New Roman" w:cs="Times New Roman"/>
                <w:sz w:val="28"/>
                <w:szCs w:val="28"/>
              </w:rPr>
              <w:t>Khoả</w:t>
            </w:r>
            <w:r>
              <w:rPr>
                <w:rFonts w:ascii="Times New Roman" w:hAnsi="Times New Roman" w:cs="Times New Roman"/>
                <w:sz w:val="28"/>
                <w:szCs w:val="28"/>
              </w:rPr>
              <w:t>n 1</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Phạt cảnh cáo</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13555E" w:rsidRDefault="00113733" w:rsidP="00BC7340">
            <w:pPr>
              <w:pStyle w:val="ListParagraph"/>
              <w:numPr>
                <w:ilvl w:val="0"/>
                <w:numId w:val="1"/>
              </w:numPr>
              <w:spacing w:before="60" w:after="60"/>
              <w:jc w:val="center"/>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043232">
              <w:rPr>
                <w:rFonts w:ascii="Times New Roman" w:hAnsi="Times New Roman" w:cs="Times New Roman"/>
                <w:sz w:val="28"/>
                <w:szCs w:val="28"/>
              </w:rPr>
              <w:t xml:space="preserve">Tái phạm đối với hành vi vi phạm hành chính quy định tại khoản 1 Điều </w:t>
            </w:r>
            <w:r>
              <w:rPr>
                <w:rFonts w:ascii="Times New Roman" w:hAnsi="Times New Roman" w:cs="Times New Roman"/>
                <w:sz w:val="28"/>
                <w:szCs w:val="28"/>
              </w:rPr>
              <w:t>8</w:t>
            </w:r>
            <w:r w:rsidRPr="00466D03">
              <w:rPr>
                <w:rFonts w:ascii="Times New Roman" w:hAnsi="Times New Roman" w:cs="Times New Roman"/>
                <w:sz w:val="28"/>
                <w:szCs w:val="28"/>
              </w:rPr>
              <w:t xml:space="preserve"> </w:t>
            </w:r>
            <w:r>
              <w:rPr>
                <w:rFonts w:ascii="Times New Roman" w:hAnsi="Times New Roman" w:cs="Times New Roman"/>
                <w:sz w:val="28"/>
                <w:szCs w:val="28"/>
              </w:rPr>
              <w:t>Nghị định số 218/2025/NĐ-CP (K</w:t>
            </w:r>
            <w:r w:rsidRPr="00412292">
              <w:rPr>
                <w:rFonts w:ascii="Times New Roman" w:hAnsi="Times New Roman" w:cs="Times New Roman"/>
                <w:sz w:val="28"/>
                <w:szCs w:val="28"/>
              </w:rPr>
              <w:t>hông đăng ký nghĩa vụ quân sự lần đầu đối với công dân nam đủ 17 tuổi trong năm thuộc diện phải đăng ký nghĩa vụ quân sự</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Điểm a khoả</w:t>
            </w:r>
            <w:r>
              <w:rPr>
                <w:rFonts w:ascii="Times New Roman" w:hAnsi="Times New Roman" w:cs="Times New Roman"/>
                <w:sz w:val="28"/>
                <w:szCs w:val="28"/>
              </w:rPr>
              <w:t>n 2</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Hình thức xử phạt chính: Phạt tiền từ 08 đến 10 triệu đồng.</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Biện pháp khắc phục hậu quả: Buộc thực hiện thủ tục đăng ký nghĩa vụ quân sự lần đầu</w:t>
            </w:r>
            <w:r>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853987" w:rsidRDefault="00113733" w:rsidP="00BC7340">
            <w:pPr>
              <w:pStyle w:val="ListParagraph"/>
              <w:numPr>
                <w:ilvl w:val="0"/>
                <w:numId w:val="1"/>
              </w:numPr>
              <w:spacing w:before="60" w:after="60"/>
              <w:jc w:val="center"/>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4349E6">
              <w:rPr>
                <w:rFonts w:ascii="Times New Roman" w:hAnsi="Times New Roman" w:cs="Times New Roman"/>
                <w:sz w:val="28"/>
                <w:szCs w:val="28"/>
              </w:rPr>
              <w:t>Không thực hiện đăng ký phục vụ trong ngạch dự bị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b</w:t>
            </w:r>
            <w:r w:rsidRPr="00C27C3F">
              <w:rPr>
                <w:rFonts w:ascii="Times New Roman" w:hAnsi="Times New Roman" w:cs="Times New Roman"/>
                <w:sz w:val="28"/>
                <w:szCs w:val="28"/>
              </w:rPr>
              <w:t xml:space="preserve"> khoản 2</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Hình thức xử phạt chính: Phạt tiền từ 08 đến 10 triệu đồng.</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Buộc </w:t>
            </w:r>
            <w:r w:rsidRPr="00975A02">
              <w:rPr>
                <w:rFonts w:ascii="Times New Roman" w:hAnsi="Times New Roman" w:cs="Times New Roman"/>
                <w:sz w:val="28"/>
                <w:szCs w:val="28"/>
              </w:rPr>
              <w:t>đăng ký phục vụ trong ngạch dự bị</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D30C19">
              <w:rPr>
                <w:rFonts w:ascii="Times New Roman" w:hAnsi="Times New Roman" w:cs="Times New Roman"/>
                <w:sz w:val="28"/>
                <w:szCs w:val="28"/>
              </w:rPr>
              <w:t>Không đăng ký nghĩa vụ quân sự bổ sung khi có sự thay đổi về chức vụ công tác, trình độ học vấn, trình độ chuyên môn, tình trạng sức khỏe và thông tin khác có liên quan đến nghĩa vụ quân sự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c</w:t>
            </w:r>
            <w:r w:rsidRPr="00C27C3F">
              <w:rPr>
                <w:rFonts w:ascii="Times New Roman" w:hAnsi="Times New Roman" w:cs="Times New Roman"/>
                <w:sz w:val="28"/>
                <w:szCs w:val="28"/>
              </w:rPr>
              <w:t xml:space="preserve"> khoản 2</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Hình thức xử phạt chính: Phạt tiền từ 08 đến 10 triệu đồng.</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Buộc </w:t>
            </w:r>
            <w:r w:rsidRPr="00975A02">
              <w:rPr>
                <w:rFonts w:ascii="Times New Roman" w:hAnsi="Times New Roman" w:cs="Times New Roman"/>
                <w:sz w:val="28"/>
                <w:szCs w:val="28"/>
              </w:rPr>
              <w:t>đăng ký nghĩa vụ quân sự bổ sung</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975A02">
              <w:rPr>
                <w:rFonts w:ascii="Times New Roman" w:hAnsi="Times New Roman" w:cs="Times New Roman"/>
                <w:sz w:val="28"/>
                <w:szCs w:val="28"/>
              </w:rPr>
              <w:t>Không thực hiện đăng ký nghĩa vụ quân sự chuyển đến khi thay đổi nơi cư trú hoặc nơi làm việc, học tập trong thời hạn 05 ngày làm việc, kể từ ngày đến nơi cư trú hoặc nơi làm việc, học tập mớ</w:t>
            </w:r>
            <w:r>
              <w:rPr>
                <w:rFonts w:ascii="Times New Roman" w:hAnsi="Times New Roman" w:cs="Times New Roman"/>
                <w:sz w:val="28"/>
                <w:szCs w:val="28"/>
              </w:rPr>
              <w:t>i</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d</w:t>
            </w:r>
            <w:r w:rsidRPr="00C27C3F">
              <w:rPr>
                <w:rFonts w:ascii="Times New Roman" w:hAnsi="Times New Roman" w:cs="Times New Roman"/>
                <w:sz w:val="28"/>
                <w:szCs w:val="28"/>
              </w:rPr>
              <w:t xml:space="preserve"> khoản 2</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Hình thức xử phạt chính: Phạt tiền từ 08 đến 10 triệu đồng.</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Buộc </w:t>
            </w:r>
            <w:r w:rsidRPr="004A73D9">
              <w:rPr>
                <w:rFonts w:ascii="Times New Roman" w:hAnsi="Times New Roman" w:cs="Times New Roman"/>
                <w:sz w:val="28"/>
                <w:szCs w:val="28"/>
              </w:rPr>
              <w:t>đăng ký khi thay đổi nơi cư trú hoặc nơi làm việc, học tập</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615870">
              <w:rPr>
                <w:rFonts w:ascii="Times New Roman" w:hAnsi="Times New Roman" w:cs="Times New Roman"/>
                <w:sz w:val="28"/>
                <w:szCs w:val="28"/>
              </w:rPr>
              <w:t>Không thực hiện đăng ký nghĩa vụ quân sự tạm vắng khi đi khỏi nơi cư trú hoặc nơi làm việc, học tập từ 03 tháng trở lên, hoặc không đăng ký lại khi trở về nơi cư trú hoặc nơi làm việc, học tập trong thời hạn 05 ngày làm việc, kể từ ngày trở về sau thời gian tạm vắng</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đ</w:t>
            </w:r>
            <w:r w:rsidRPr="00C27C3F">
              <w:rPr>
                <w:rFonts w:ascii="Times New Roman" w:hAnsi="Times New Roman" w:cs="Times New Roman"/>
                <w:sz w:val="28"/>
                <w:szCs w:val="28"/>
              </w:rPr>
              <w:t xml:space="preserve"> khoản 2</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Hình thức xử phạt chính: Phạt tiền từ 08 đến 10 triệu đồng.</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Buộc </w:t>
            </w:r>
            <w:r w:rsidRPr="004A73D9">
              <w:rPr>
                <w:rFonts w:ascii="Times New Roman" w:hAnsi="Times New Roman" w:cs="Times New Roman"/>
                <w:sz w:val="28"/>
                <w:szCs w:val="28"/>
              </w:rPr>
              <w:t>đăng ký tạm vắng</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4A73D9">
              <w:rPr>
                <w:rFonts w:ascii="Times New Roman" w:hAnsi="Times New Roman" w:cs="Times New Roman"/>
                <w:sz w:val="28"/>
                <w:szCs w:val="28"/>
              </w:rPr>
              <w:t>Báo cáo không đầy đủ danh sách công dân nam đủ 17 tuổi trong năm, công dân nữ có ngành nghề chuyên môn phù hợp với yêu cầu của Quân đội nhân dân trong độ tuổi thực hiện nghĩa vụ quân sự từ đủ 18 tuổi đến hết 40 tuổi</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a</w:t>
            </w:r>
            <w:r w:rsidRPr="00C27C3F">
              <w:rPr>
                <w:rFonts w:ascii="Times New Roman" w:hAnsi="Times New Roman" w:cs="Times New Roman"/>
                <w:sz w:val="28"/>
                <w:szCs w:val="28"/>
              </w:rPr>
              <w:t xml:space="preserve"> khoản </w:t>
            </w:r>
            <w:r>
              <w:rPr>
                <w:rFonts w:ascii="Times New Roman" w:hAnsi="Times New Roman" w:cs="Times New Roman"/>
                <w:sz w:val="28"/>
                <w:szCs w:val="28"/>
              </w:rPr>
              <w:t>3</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Phạt tiền từ </w:t>
            </w:r>
            <w:r>
              <w:rPr>
                <w:rFonts w:ascii="Times New Roman" w:hAnsi="Times New Roman" w:cs="Times New Roman"/>
                <w:sz w:val="28"/>
                <w:szCs w:val="28"/>
              </w:rPr>
              <w:t>10</w:t>
            </w:r>
            <w:r w:rsidRPr="00C27C3F">
              <w:rPr>
                <w:rFonts w:ascii="Times New Roman" w:hAnsi="Times New Roman" w:cs="Times New Roman"/>
                <w:sz w:val="28"/>
                <w:szCs w:val="28"/>
              </w:rPr>
              <w:t xml:space="preserve"> đến 1</w:t>
            </w:r>
            <w:r>
              <w:rPr>
                <w:rFonts w:ascii="Times New Roman" w:hAnsi="Times New Roman" w:cs="Times New Roman"/>
                <w:sz w:val="28"/>
                <w:szCs w:val="28"/>
              </w:rPr>
              <w:t>5</w:t>
            </w:r>
            <w:r w:rsidRPr="00C27C3F">
              <w:rPr>
                <w:rFonts w:ascii="Times New Roman" w:hAnsi="Times New Roman" w:cs="Times New Roman"/>
                <w:sz w:val="28"/>
                <w:szCs w:val="28"/>
              </w:rPr>
              <w:t xml:space="preserve"> triệu đồ</w:t>
            </w:r>
            <w:r>
              <w:rPr>
                <w:rFonts w:ascii="Times New Roman" w:hAnsi="Times New Roman" w:cs="Times New Roman"/>
                <w:sz w:val="28"/>
                <w:szCs w:val="28"/>
              </w:rPr>
              <w:t>ng</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4A73D9">
              <w:rPr>
                <w:rFonts w:ascii="Times New Roman" w:hAnsi="Times New Roman" w:cs="Times New Roman"/>
                <w:sz w:val="28"/>
                <w:szCs w:val="28"/>
              </w:rPr>
              <w:t>Báo cáo không đầy đủ số lượng quân nhân dự bị và công dân nam trong độ tuổi thực hiện nghĩa vụ quân sự ở cơ quan, tổ chức mình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b</w:t>
            </w:r>
            <w:r w:rsidRPr="00C27C3F">
              <w:rPr>
                <w:rFonts w:ascii="Times New Roman" w:hAnsi="Times New Roman" w:cs="Times New Roman"/>
                <w:sz w:val="28"/>
                <w:szCs w:val="28"/>
              </w:rPr>
              <w:t xml:space="preserve"> khoản </w:t>
            </w:r>
            <w:r>
              <w:rPr>
                <w:rFonts w:ascii="Times New Roman" w:hAnsi="Times New Roman" w:cs="Times New Roman"/>
                <w:sz w:val="28"/>
                <w:szCs w:val="28"/>
              </w:rPr>
              <w:t>3</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Phạt tiền từ </w:t>
            </w:r>
            <w:r>
              <w:rPr>
                <w:rFonts w:ascii="Times New Roman" w:hAnsi="Times New Roman" w:cs="Times New Roman"/>
                <w:sz w:val="28"/>
                <w:szCs w:val="28"/>
              </w:rPr>
              <w:t>10</w:t>
            </w:r>
            <w:r w:rsidRPr="00C27C3F">
              <w:rPr>
                <w:rFonts w:ascii="Times New Roman" w:hAnsi="Times New Roman" w:cs="Times New Roman"/>
                <w:sz w:val="28"/>
                <w:szCs w:val="28"/>
              </w:rPr>
              <w:t xml:space="preserve"> đến 1</w:t>
            </w:r>
            <w:r>
              <w:rPr>
                <w:rFonts w:ascii="Times New Roman" w:hAnsi="Times New Roman" w:cs="Times New Roman"/>
                <w:sz w:val="28"/>
                <w:szCs w:val="28"/>
              </w:rPr>
              <w:t>5</w:t>
            </w:r>
            <w:r w:rsidRPr="00C27C3F">
              <w:rPr>
                <w:rFonts w:ascii="Times New Roman" w:hAnsi="Times New Roman" w:cs="Times New Roman"/>
                <w:sz w:val="28"/>
                <w:szCs w:val="28"/>
              </w:rPr>
              <w:t xml:space="preserve"> triệu đồ</w:t>
            </w:r>
            <w:r>
              <w:rPr>
                <w:rFonts w:ascii="Times New Roman" w:hAnsi="Times New Roman" w:cs="Times New Roman"/>
                <w:sz w:val="28"/>
                <w:szCs w:val="28"/>
              </w:rPr>
              <w:t>ng</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AA2CF4">
              <w:rPr>
                <w:rFonts w:ascii="Times New Roman" w:hAnsi="Times New Roman" w:cs="Times New Roman"/>
                <w:sz w:val="28"/>
                <w:szCs w:val="28"/>
              </w:rPr>
              <w:t>Báo cáo không chính xác danh sách công dân nam đủ 17 tuổi trong năm, công dân nữ có ngành nghề chuyên môn phù hợp với yêu cầu của Quân đội nhân dân trong độ tuổi thực hiện nghĩa vụ quân sự từ đủ 18 tuổi đến hết 40 tuổi</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a</w:t>
            </w:r>
            <w:r w:rsidRPr="00C27C3F">
              <w:rPr>
                <w:rFonts w:ascii="Times New Roman" w:hAnsi="Times New Roman" w:cs="Times New Roman"/>
                <w:sz w:val="28"/>
                <w:szCs w:val="28"/>
              </w:rPr>
              <w:t xml:space="preserve"> khoản </w:t>
            </w:r>
            <w:r>
              <w:rPr>
                <w:rFonts w:ascii="Times New Roman" w:hAnsi="Times New Roman" w:cs="Times New Roman"/>
                <w:sz w:val="28"/>
                <w:szCs w:val="28"/>
              </w:rPr>
              <w:t>4</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sidRPr="00853987">
              <w:rPr>
                <w:rFonts w:ascii="Times New Roman" w:hAnsi="Times New Roman" w:cs="Times New Roman"/>
                <w:sz w:val="28"/>
                <w:szCs w:val="28"/>
              </w:rPr>
              <w:t>Phạt tiền từ 15 đến 20 triệu đồng</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BD74EA">
              <w:rPr>
                <w:rFonts w:ascii="Times New Roman" w:hAnsi="Times New Roman" w:cs="Times New Roman"/>
                <w:sz w:val="28"/>
                <w:szCs w:val="28"/>
              </w:rPr>
              <w:t>Báo cáo không chính xác số lượng quân nhân dự bị và công dân nam trong độ tuổi thực hiện nghĩa vụ quân sự ở cơ quan, tổ chức mình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a</w:t>
            </w:r>
            <w:r w:rsidRPr="00C27C3F">
              <w:rPr>
                <w:rFonts w:ascii="Times New Roman" w:hAnsi="Times New Roman" w:cs="Times New Roman"/>
                <w:sz w:val="28"/>
                <w:szCs w:val="28"/>
              </w:rPr>
              <w:t xml:space="preserve"> khoản </w:t>
            </w:r>
            <w:r>
              <w:rPr>
                <w:rFonts w:ascii="Times New Roman" w:hAnsi="Times New Roman" w:cs="Times New Roman"/>
                <w:sz w:val="28"/>
                <w:szCs w:val="28"/>
              </w:rPr>
              <w:t>4</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sidRPr="00853987">
              <w:rPr>
                <w:rFonts w:ascii="Times New Roman" w:hAnsi="Times New Roman" w:cs="Times New Roman"/>
                <w:sz w:val="28"/>
                <w:szCs w:val="28"/>
              </w:rPr>
              <w:t>Phạt tiền từ 25 đến 35 triệu đồng</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BC7340">
            <w:pPr>
              <w:spacing w:before="60" w:after="60"/>
              <w:jc w:val="both"/>
              <w:rPr>
                <w:rFonts w:ascii="Times New Roman" w:hAnsi="Times New Roman" w:cs="Times New Roman"/>
                <w:sz w:val="28"/>
                <w:szCs w:val="28"/>
              </w:rPr>
            </w:pPr>
            <w:r w:rsidRPr="005E7B6B">
              <w:rPr>
                <w:rFonts w:ascii="Times New Roman" w:hAnsi="Times New Roman" w:cs="Times New Roman"/>
                <w:sz w:val="28"/>
                <w:szCs w:val="28"/>
              </w:rPr>
              <w:t>Báo cáo không chính xác số lượng quân nhân dự bị và công dân nam trong độ tuổi thực hiện nghĩa vụ quân sự ở cơ quan, tổ chức mình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b</w:t>
            </w:r>
            <w:r w:rsidRPr="00C27C3F">
              <w:rPr>
                <w:rFonts w:ascii="Times New Roman" w:hAnsi="Times New Roman" w:cs="Times New Roman"/>
                <w:sz w:val="28"/>
                <w:szCs w:val="28"/>
              </w:rPr>
              <w:t xml:space="preserve"> khoản </w:t>
            </w:r>
            <w:r>
              <w:rPr>
                <w:rFonts w:ascii="Times New Roman" w:hAnsi="Times New Roman" w:cs="Times New Roman"/>
                <w:sz w:val="28"/>
                <w:szCs w:val="28"/>
              </w:rPr>
              <w:t>4</w:t>
            </w:r>
          </w:p>
        </w:tc>
        <w:tc>
          <w:tcPr>
            <w:tcW w:w="4253" w:type="dxa"/>
            <w:vAlign w:val="center"/>
          </w:tcPr>
          <w:p w:rsidR="00113733" w:rsidRDefault="00113733" w:rsidP="00BC7340">
            <w:pPr>
              <w:spacing w:before="60" w:after="60"/>
              <w:jc w:val="both"/>
              <w:rPr>
                <w:rFonts w:ascii="Times New Roman" w:hAnsi="Times New Roman" w:cs="Times New Roman"/>
                <w:sz w:val="28"/>
                <w:szCs w:val="28"/>
              </w:rPr>
            </w:pPr>
            <w:r w:rsidRPr="00853987">
              <w:rPr>
                <w:rFonts w:ascii="Times New Roman" w:hAnsi="Times New Roman" w:cs="Times New Roman"/>
                <w:sz w:val="28"/>
                <w:szCs w:val="28"/>
              </w:rPr>
              <w:t>Phạt tiền từ 25 đến 35 triệu đồng</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Pr="00853987" w:rsidRDefault="00113733" w:rsidP="00BC7340">
            <w:pPr>
              <w:spacing w:before="60" w:after="60"/>
              <w:jc w:val="both"/>
              <w:rPr>
                <w:rFonts w:ascii="Times New Roman" w:hAnsi="Times New Roman" w:cs="Times New Roman"/>
                <w:sz w:val="28"/>
                <w:szCs w:val="28"/>
              </w:rPr>
            </w:pPr>
            <w:r w:rsidRPr="005E7B6B">
              <w:rPr>
                <w:rFonts w:ascii="Times New Roman" w:hAnsi="Times New Roman" w:cs="Times New Roman"/>
                <w:sz w:val="28"/>
                <w:szCs w:val="28"/>
              </w:rPr>
              <w:t>Không báo cáo danh sách công dân nam đủ 17 tuổi trong năm, công dân nữ có ngành nghề chuyên môn phù hợp với yêu cầu của Quân đội nhân dân từ đủ 18 tuổi đến hết 40 tuổ</w:t>
            </w:r>
            <w:r>
              <w:rPr>
                <w:rFonts w:ascii="Times New Roman" w:hAnsi="Times New Roman" w:cs="Times New Roman"/>
                <w:sz w:val="28"/>
                <w:szCs w:val="28"/>
              </w:rPr>
              <w:t>i</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a</w:t>
            </w:r>
            <w:r w:rsidRPr="00C27C3F">
              <w:rPr>
                <w:rFonts w:ascii="Times New Roman" w:hAnsi="Times New Roman" w:cs="Times New Roman"/>
                <w:sz w:val="28"/>
                <w:szCs w:val="28"/>
              </w:rPr>
              <w:t xml:space="preserve"> khoản </w:t>
            </w:r>
            <w:r>
              <w:rPr>
                <w:rFonts w:ascii="Times New Roman" w:hAnsi="Times New Roman" w:cs="Times New Roman"/>
                <w:sz w:val="28"/>
                <w:szCs w:val="28"/>
              </w:rPr>
              <w:t>5</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Hình thức xử phạt chính: </w:t>
            </w:r>
            <w:r w:rsidRPr="00853987">
              <w:rPr>
                <w:rFonts w:ascii="Times New Roman" w:hAnsi="Times New Roman" w:cs="Times New Roman"/>
                <w:sz w:val="28"/>
                <w:szCs w:val="28"/>
              </w:rPr>
              <w:t>Phạt tiền từ 2</w:t>
            </w:r>
            <w:r>
              <w:rPr>
                <w:rFonts w:ascii="Times New Roman" w:hAnsi="Times New Roman" w:cs="Times New Roman"/>
                <w:sz w:val="28"/>
                <w:szCs w:val="28"/>
              </w:rPr>
              <w:t>0</w:t>
            </w:r>
            <w:r w:rsidRPr="00853987">
              <w:rPr>
                <w:rFonts w:ascii="Times New Roman" w:hAnsi="Times New Roman" w:cs="Times New Roman"/>
                <w:sz w:val="28"/>
                <w:szCs w:val="28"/>
              </w:rPr>
              <w:t xml:space="preserve"> đến 3</w:t>
            </w:r>
            <w:r>
              <w:rPr>
                <w:rFonts w:ascii="Times New Roman" w:hAnsi="Times New Roman" w:cs="Times New Roman"/>
                <w:sz w:val="28"/>
                <w:szCs w:val="28"/>
              </w:rPr>
              <w:t>0</w:t>
            </w:r>
            <w:r w:rsidRPr="00853987">
              <w:rPr>
                <w:rFonts w:ascii="Times New Roman" w:hAnsi="Times New Roman" w:cs="Times New Roman"/>
                <w:sz w:val="28"/>
                <w:szCs w:val="28"/>
              </w:rPr>
              <w:t xml:space="preserve"> triệu đồng</w:t>
            </w:r>
            <w:r w:rsidRPr="00C27C3F">
              <w:rPr>
                <w:rFonts w:ascii="Times New Roman" w:hAnsi="Times New Roman" w:cs="Times New Roman"/>
                <w:sz w:val="28"/>
                <w:szCs w:val="28"/>
              </w:rPr>
              <w:t>.</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w:t>
            </w:r>
            <w:r w:rsidRPr="00F80753">
              <w:rPr>
                <w:rFonts w:ascii="Times New Roman" w:hAnsi="Times New Roman" w:cs="Times New Roman"/>
                <w:sz w:val="28"/>
                <w:szCs w:val="28"/>
              </w:rPr>
              <w:t>Buộc thực hiện việc báo cáo theo quy định</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Pr="00853987" w:rsidRDefault="00113733" w:rsidP="00BC7340">
            <w:pPr>
              <w:spacing w:before="60" w:after="60"/>
              <w:jc w:val="both"/>
              <w:rPr>
                <w:rFonts w:ascii="Times New Roman" w:hAnsi="Times New Roman" w:cs="Times New Roman"/>
                <w:sz w:val="28"/>
                <w:szCs w:val="28"/>
              </w:rPr>
            </w:pPr>
            <w:r w:rsidRPr="005E7B6B">
              <w:rPr>
                <w:rFonts w:ascii="Times New Roman" w:hAnsi="Times New Roman" w:cs="Times New Roman"/>
                <w:sz w:val="28"/>
                <w:szCs w:val="28"/>
              </w:rPr>
              <w:t>Không báo cáo số lượng quân nhân dự bị và công dân nam trong độ tuổi thực hiện nghĩa vụ quân sự ở cơ quan, tổ chức mình theo quy định</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sidRPr="00C27C3F">
              <w:rPr>
                <w:rFonts w:ascii="Times New Roman" w:hAnsi="Times New Roman" w:cs="Times New Roman"/>
                <w:sz w:val="28"/>
                <w:szCs w:val="28"/>
              </w:rPr>
              <w:t xml:space="preserve">Điểm </w:t>
            </w:r>
            <w:r>
              <w:rPr>
                <w:rFonts w:ascii="Times New Roman" w:hAnsi="Times New Roman" w:cs="Times New Roman"/>
                <w:sz w:val="28"/>
                <w:szCs w:val="28"/>
              </w:rPr>
              <w:t>b</w:t>
            </w:r>
            <w:r w:rsidRPr="00C27C3F">
              <w:rPr>
                <w:rFonts w:ascii="Times New Roman" w:hAnsi="Times New Roman" w:cs="Times New Roman"/>
                <w:sz w:val="28"/>
                <w:szCs w:val="28"/>
              </w:rPr>
              <w:t xml:space="preserve"> khoản </w:t>
            </w:r>
            <w:r>
              <w:rPr>
                <w:rFonts w:ascii="Times New Roman" w:hAnsi="Times New Roman" w:cs="Times New Roman"/>
                <w:sz w:val="28"/>
                <w:szCs w:val="28"/>
              </w:rPr>
              <w:t>5</w:t>
            </w:r>
          </w:p>
        </w:tc>
        <w:tc>
          <w:tcPr>
            <w:tcW w:w="4253" w:type="dxa"/>
            <w:vAlign w:val="center"/>
          </w:tcPr>
          <w:p w:rsidR="00113733" w:rsidRPr="00C27C3F"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Hình thức xử phạt chính: </w:t>
            </w:r>
            <w:r w:rsidRPr="00853987">
              <w:rPr>
                <w:rFonts w:ascii="Times New Roman" w:hAnsi="Times New Roman" w:cs="Times New Roman"/>
                <w:sz w:val="28"/>
                <w:szCs w:val="28"/>
              </w:rPr>
              <w:t>Phạt tiền từ 2</w:t>
            </w:r>
            <w:r>
              <w:rPr>
                <w:rFonts w:ascii="Times New Roman" w:hAnsi="Times New Roman" w:cs="Times New Roman"/>
                <w:sz w:val="28"/>
                <w:szCs w:val="28"/>
              </w:rPr>
              <w:t>0</w:t>
            </w:r>
            <w:r w:rsidRPr="00853987">
              <w:rPr>
                <w:rFonts w:ascii="Times New Roman" w:hAnsi="Times New Roman" w:cs="Times New Roman"/>
                <w:sz w:val="28"/>
                <w:szCs w:val="28"/>
              </w:rPr>
              <w:t xml:space="preserve"> đến 3</w:t>
            </w:r>
            <w:r>
              <w:rPr>
                <w:rFonts w:ascii="Times New Roman" w:hAnsi="Times New Roman" w:cs="Times New Roman"/>
                <w:sz w:val="28"/>
                <w:szCs w:val="28"/>
              </w:rPr>
              <w:t>0</w:t>
            </w:r>
            <w:r w:rsidRPr="00853987">
              <w:rPr>
                <w:rFonts w:ascii="Times New Roman" w:hAnsi="Times New Roman" w:cs="Times New Roman"/>
                <w:sz w:val="28"/>
                <w:szCs w:val="28"/>
              </w:rPr>
              <w:t xml:space="preserve"> triệu đồng</w:t>
            </w:r>
            <w:r w:rsidRPr="00C27C3F">
              <w:rPr>
                <w:rFonts w:ascii="Times New Roman" w:hAnsi="Times New Roman" w:cs="Times New Roman"/>
                <w:sz w:val="28"/>
                <w:szCs w:val="28"/>
              </w:rPr>
              <w:t>.</w:t>
            </w:r>
          </w:p>
          <w:p w:rsidR="00113733" w:rsidRDefault="00113733" w:rsidP="00BC7340">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w:t>
            </w:r>
            <w:r w:rsidRPr="00F80753">
              <w:rPr>
                <w:rFonts w:ascii="Times New Roman" w:hAnsi="Times New Roman" w:cs="Times New Roman"/>
                <w:sz w:val="28"/>
                <w:szCs w:val="28"/>
              </w:rPr>
              <w:t>Buộc thực hiện việc báo cáo theo quy định</w:t>
            </w:r>
            <w:r w:rsidRPr="00C27C3F">
              <w:rPr>
                <w:rFonts w:ascii="Times New Roman" w:hAnsi="Times New Roman" w:cs="Times New Roman"/>
                <w:sz w:val="28"/>
                <w:szCs w:val="28"/>
              </w:rPr>
              <w:t>.</w:t>
            </w:r>
          </w:p>
        </w:tc>
        <w:tc>
          <w:tcPr>
            <w:tcW w:w="3260" w:type="dxa"/>
            <w:vAlign w:val="center"/>
          </w:tcPr>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tc>
      </w:tr>
      <w:tr w:rsidR="00113733" w:rsidTr="00113733">
        <w:tc>
          <w:tcPr>
            <w:tcW w:w="14454" w:type="dxa"/>
            <w:gridSpan w:val="5"/>
            <w:vAlign w:val="center"/>
          </w:tcPr>
          <w:p w:rsidR="00113733" w:rsidRPr="00853987" w:rsidRDefault="00113733" w:rsidP="0094659B">
            <w:pPr>
              <w:spacing w:before="60" w:after="60"/>
              <w:jc w:val="both"/>
              <w:rPr>
                <w:rFonts w:ascii="Times New Roman" w:hAnsi="Times New Roman" w:cs="Times New Roman"/>
                <w:sz w:val="28"/>
                <w:szCs w:val="28"/>
              </w:rPr>
            </w:pPr>
            <w:r w:rsidRPr="0026081E">
              <w:rPr>
                <w:rFonts w:ascii="Times New Roman" w:hAnsi="Times New Roman" w:cs="Times New Roman"/>
                <w:b/>
                <w:sz w:val="28"/>
                <w:szCs w:val="28"/>
              </w:rPr>
              <w:t>I</w:t>
            </w:r>
            <w:r>
              <w:rPr>
                <w:rFonts w:ascii="Times New Roman" w:hAnsi="Times New Roman" w:cs="Times New Roman"/>
                <w:b/>
                <w:sz w:val="28"/>
                <w:szCs w:val="28"/>
              </w:rPr>
              <w:t>I</w:t>
            </w:r>
            <w:r w:rsidRPr="0026081E">
              <w:rPr>
                <w:rFonts w:ascii="Times New Roman" w:hAnsi="Times New Roman" w:cs="Times New Roman"/>
                <w:b/>
                <w:sz w:val="28"/>
                <w:szCs w:val="28"/>
              </w:rPr>
              <w:t xml:space="preserve">. Hành vi vi phạm các quy định về </w:t>
            </w:r>
            <w:r w:rsidRPr="001D4685">
              <w:rPr>
                <w:rFonts w:ascii="Times New Roman" w:hAnsi="Times New Roman" w:cs="Times New Roman"/>
                <w:b/>
                <w:sz w:val="28"/>
                <w:szCs w:val="28"/>
              </w:rPr>
              <w:t>sơ tuyển sức khỏe; khám sức khỏe thực hiện nghĩa vụ quân sự, nghĩa vụ tham gia Công an nhân dân</w:t>
            </w:r>
            <w:r w:rsidRPr="0026081E">
              <w:rPr>
                <w:rFonts w:ascii="Times New Roman" w:hAnsi="Times New Roman" w:cs="Times New Roman"/>
                <w:b/>
                <w:sz w:val="28"/>
                <w:szCs w:val="28"/>
              </w:rPr>
              <w:t xml:space="preserve"> (Điều </w:t>
            </w:r>
            <w:r>
              <w:rPr>
                <w:rFonts w:ascii="Times New Roman" w:hAnsi="Times New Roman" w:cs="Times New Roman"/>
                <w:b/>
                <w:sz w:val="28"/>
                <w:szCs w:val="28"/>
              </w:rPr>
              <w:t>9)</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Pr="00853987"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1D4685">
              <w:rPr>
                <w:rFonts w:ascii="Times New Roman" w:hAnsi="Times New Roman" w:cs="Times New Roman"/>
                <w:sz w:val="28"/>
                <w:szCs w:val="28"/>
              </w:rPr>
              <w:t>hông có mặt đúng thời gian hoặc địa điểm tập trung sơ tuyển ghi trong quyết định gọi sơ tuyển sức khỏe thực hiện nghĩa vụ quân sự, quyết định gọi sơ tuyển sức khỏe nghĩa vụ tham gia Công an nhân dân của cấp có thẩm quyền mà không có lý do chính đáng</w:t>
            </w:r>
            <w:r>
              <w:rPr>
                <w:rStyle w:val="FootnoteReference"/>
                <w:rFonts w:ascii="Times New Roman" w:hAnsi="Times New Roman" w:cs="Times New Roman"/>
                <w:sz w:val="28"/>
                <w:szCs w:val="28"/>
              </w:rPr>
              <w:footnoteReference w:id="2"/>
            </w:r>
          </w:p>
        </w:tc>
        <w:tc>
          <w:tcPr>
            <w:tcW w:w="2126" w:type="dxa"/>
            <w:vAlign w:val="center"/>
          </w:tcPr>
          <w:p w:rsidR="00113733" w:rsidRPr="00853987"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Khoản 1</w:t>
            </w:r>
          </w:p>
        </w:tc>
        <w:tc>
          <w:tcPr>
            <w:tcW w:w="4253" w:type="dxa"/>
            <w:vAlign w:val="center"/>
          </w:tcPr>
          <w:p w:rsidR="00113733" w:rsidRPr="00853987" w:rsidRDefault="00113733" w:rsidP="00BC7340">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Phạt tiền từ 3</w:t>
            </w:r>
            <w:r>
              <w:rPr>
                <w:rFonts w:ascii="Times New Roman" w:hAnsi="Times New Roman" w:cs="Times New Roman"/>
                <w:sz w:val="28"/>
                <w:szCs w:val="28"/>
              </w:rPr>
              <w:t xml:space="preserve"> triệu đồng</w:t>
            </w:r>
            <w:r w:rsidRPr="001D4685">
              <w:rPr>
                <w:rFonts w:ascii="Times New Roman" w:hAnsi="Times New Roman" w:cs="Times New Roman"/>
                <w:sz w:val="28"/>
                <w:szCs w:val="28"/>
              </w:rPr>
              <w:t xml:space="preserve"> đến 5</w:t>
            </w:r>
            <w:r>
              <w:rPr>
                <w:rFonts w:ascii="Times New Roman" w:hAnsi="Times New Roman" w:cs="Times New Roman"/>
                <w:sz w:val="28"/>
                <w:szCs w:val="28"/>
              </w:rPr>
              <w:t xml:space="preserve"> triệu đồng</w:t>
            </w:r>
          </w:p>
        </w:tc>
        <w:tc>
          <w:tcPr>
            <w:tcW w:w="3260" w:type="dxa"/>
            <w:vMerge w:val="restart"/>
            <w:vAlign w:val="center"/>
          </w:tcPr>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Đối với hành vi liên quan đến nghĩa vụ tham gia Công an nhân dân:</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Chiến sĩ Công an nhân dân</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Thủ trưởng đơn vị cảnh sát cơ động cấp đại đội</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Đội trưởng</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Trưởng Công an cấp xã</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lastRenderedPageBreak/>
              <w:t>+ Trưởng phòng Công an thành phố</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Default="00113733" w:rsidP="006F0488">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tc>
      </w:tr>
      <w:tr w:rsidR="00113733" w:rsidTr="00F45FA3">
        <w:tc>
          <w:tcPr>
            <w:tcW w:w="720" w:type="dxa"/>
            <w:vAlign w:val="center"/>
          </w:tcPr>
          <w:p w:rsidR="00113733" w:rsidRPr="00466D03" w:rsidRDefault="00113733" w:rsidP="00BC7340">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Pr="00853987" w:rsidRDefault="00113733" w:rsidP="00BC7340">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1D4685">
              <w:rPr>
                <w:rFonts w:ascii="Times New Roman" w:hAnsi="Times New Roman" w:cs="Times New Roman"/>
                <w:sz w:val="28"/>
                <w:szCs w:val="28"/>
              </w:rPr>
              <w:t>hông nhận quyết định gọi sơ tuyển sức khỏe nghĩa vụ quân sự, quyết định gọi sơ tuyển sức khỏe nghĩa vụ tham gia Công an nhân dân của cấp có thẩm quyền mà không có lý do chính đáng</w:t>
            </w:r>
          </w:p>
        </w:tc>
        <w:tc>
          <w:tcPr>
            <w:tcW w:w="2126" w:type="dxa"/>
            <w:vAlign w:val="center"/>
          </w:tcPr>
          <w:p w:rsidR="00113733" w:rsidRPr="00853987"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Khoản 2</w:t>
            </w:r>
          </w:p>
        </w:tc>
        <w:tc>
          <w:tcPr>
            <w:tcW w:w="4253" w:type="dxa"/>
            <w:vAlign w:val="center"/>
          </w:tcPr>
          <w:p w:rsidR="00113733" w:rsidRPr="00853987" w:rsidRDefault="00113733" w:rsidP="006F0488">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Phạt tiền từ 5</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 đến 8</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w:t>
            </w:r>
          </w:p>
        </w:tc>
        <w:tc>
          <w:tcPr>
            <w:tcW w:w="3260" w:type="dxa"/>
            <w:vMerge/>
            <w:vAlign w:val="center"/>
          </w:tcPr>
          <w:p w:rsidR="00113733" w:rsidRDefault="00113733" w:rsidP="006F0488">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8C66AB">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1D4685">
              <w:rPr>
                <w:rFonts w:ascii="Times New Roman" w:hAnsi="Times New Roman" w:cs="Times New Roman"/>
                <w:sz w:val="28"/>
                <w:szCs w:val="28"/>
              </w:rPr>
              <w:t>hông có mặt đúng thời gian hoặc địa điểm khám sức khỏe ghi trong quyết định gọi khám sức khỏe nghĩa vụ quân sự, quyết định gọi khám sức khỏe nghĩa vụ tham gia Công an nhân dân của cấp có thẩm quyền mà không có lý do chính đáng</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Khoản 3</w:t>
            </w:r>
          </w:p>
        </w:tc>
        <w:tc>
          <w:tcPr>
            <w:tcW w:w="4253" w:type="dxa"/>
            <w:vAlign w:val="center"/>
          </w:tcPr>
          <w:p w:rsidR="00113733" w:rsidRPr="001D4685" w:rsidRDefault="00113733" w:rsidP="008C66AB">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Phạt tiền từ 15</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 đến 20</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w:t>
            </w:r>
          </w:p>
        </w:tc>
        <w:tc>
          <w:tcPr>
            <w:tcW w:w="3260" w:type="dxa"/>
            <w:vAlign w:val="center"/>
          </w:tcPr>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Đối với hành vi liên quan đến nghĩa vụ tham gia Công an nhân dân:</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Đội trưởng</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Trưởng Công an cấp xã</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Trưởng phòng Công an thành phố</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Default="00113733" w:rsidP="008C66AB">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 xml:space="preserve">Cản trở công dân nhận quyết định gọi khám sức khỏe nghĩa vụ quân sự, quyết định gọi khám sức khỏe nghĩa vụ tham gia Công an nhân dân của cấp có thẩm quyền, nhưng </w:t>
            </w:r>
            <w:r w:rsidRPr="001D4685">
              <w:rPr>
                <w:rFonts w:ascii="Times New Roman" w:hAnsi="Times New Roman" w:cs="Times New Roman"/>
                <w:sz w:val="28"/>
                <w:szCs w:val="28"/>
              </w:rPr>
              <w:lastRenderedPageBreak/>
              <w:t>chưa đến mức truy cứu trách nhiệm hình sự</w:t>
            </w:r>
            <w:r>
              <w:rPr>
                <w:rStyle w:val="FootnoteReference"/>
                <w:rFonts w:ascii="Times New Roman" w:hAnsi="Times New Roman" w:cs="Times New Roman"/>
                <w:sz w:val="28"/>
                <w:szCs w:val="28"/>
              </w:rPr>
              <w:footnoteReference w:id="3"/>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Điểm a khoản 4</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Phạt tiền từ 20</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 đến 30</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w:t>
            </w:r>
          </w:p>
        </w:tc>
        <w:tc>
          <w:tcPr>
            <w:tcW w:w="3260" w:type="dxa"/>
            <w:vMerge w:val="restart"/>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lastRenderedPageBreak/>
              <w:t>- Đối với hành vi liên quan đến nghĩa vụ tham gia Công an nhân dân:</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Trưởng Công an cấp xã</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Trưởng phòng Công an thành phố</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Không nhận quyết định gọi khám sức khỏe nghĩa vụ quân sự, quyết định gọi khám sức khỏe nghĩa vụ tham gia Công an nhân dân của cấp có thẩm quyền mà không có lý do chính đáng</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Điểm b khoản 4</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1D4685">
              <w:rPr>
                <w:rFonts w:ascii="Times New Roman" w:hAnsi="Times New Roman" w:cs="Times New Roman"/>
                <w:sz w:val="28"/>
                <w:szCs w:val="28"/>
              </w:rPr>
              <w:t>Phạt tiền từ 20</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 đến 30</w:t>
            </w:r>
            <w:r>
              <w:rPr>
                <w:rFonts w:ascii="Times New Roman" w:hAnsi="Times New Roman" w:cs="Times New Roman"/>
                <w:sz w:val="28"/>
                <w:szCs w:val="28"/>
              </w:rPr>
              <w:t xml:space="preserve"> triệu</w:t>
            </w:r>
            <w:r w:rsidRPr="001D4685">
              <w:rPr>
                <w:rFonts w:ascii="Times New Roman" w:hAnsi="Times New Roman" w:cs="Times New Roman"/>
                <w:sz w:val="28"/>
                <w:szCs w:val="28"/>
              </w:rPr>
              <w:t xml:space="preserve"> đồng</w:t>
            </w:r>
          </w:p>
        </w:tc>
        <w:tc>
          <w:tcPr>
            <w:tcW w:w="3260" w:type="dxa"/>
            <w:vMerge/>
            <w:vAlign w:val="center"/>
          </w:tcPr>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Người được khám sức khỏe có hành vi gian dối làm sai lệch kết quả phân loại sức khỏe của mình nhằm trốn tránh nghĩa vụ quân sự; nghĩa vụ tham gia Công an nhân dân</w:t>
            </w:r>
            <w:r>
              <w:rPr>
                <w:rStyle w:val="FootnoteReference"/>
                <w:rFonts w:ascii="Times New Roman" w:hAnsi="Times New Roman" w:cs="Times New Roman"/>
                <w:sz w:val="28"/>
                <w:szCs w:val="28"/>
              </w:rPr>
              <w:footnoteReference w:id="4"/>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Điểm a khoản 5</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Phạt tiền từ 30</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 đến 40</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w:t>
            </w:r>
          </w:p>
        </w:tc>
        <w:tc>
          <w:tcPr>
            <w:tcW w:w="3260" w:type="dxa"/>
            <w:vMerge w:val="restart"/>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cấp xã</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Đối với hành vi liên quan đến nghĩa vụ tham gia Công an nhân dân:</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Trưởng phòng Công an thành phố</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Đưa hoặc nhận tiền, tài sản, hoặc lợi ích vật chất khác trị giá đến dưới 2</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 cho cán bộ, nhân viên y tế hoặc người khác để làm sai lệch kết quả phân loại sức khỏe </w:t>
            </w:r>
            <w:r w:rsidRPr="00E64DE7">
              <w:rPr>
                <w:rFonts w:ascii="Times New Roman" w:hAnsi="Times New Roman" w:cs="Times New Roman"/>
                <w:sz w:val="28"/>
                <w:szCs w:val="28"/>
              </w:rPr>
              <w:lastRenderedPageBreak/>
              <w:t>của người được kiểm tra hoặc người được khám sức khỏe nghĩa vụ quân sự; khám sức khỏe nghĩa vụ tham gia Công an nhân dân nhằm trốn tránh nghĩa vụ quân sự, nghĩa vụ tham gia Công an nhân dân</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Điểm b khoản 5</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Phạt tiền từ 30</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 đến 40</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w:t>
            </w:r>
          </w:p>
        </w:tc>
        <w:tc>
          <w:tcPr>
            <w:tcW w:w="3260" w:type="dxa"/>
            <w:vMerge/>
            <w:vAlign w:val="center"/>
          </w:tcPr>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E64DE7">
              <w:rPr>
                <w:rFonts w:ascii="Times New Roman" w:hAnsi="Times New Roman" w:cs="Times New Roman"/>
                <w:sz w:val="28"/>
                <w:szCs w:val="28"/>
              </w:rPr>
              <w:t>hông chấp hành quyết định gọi kiểm tra, khám sức khỏe nghĩa vụ quân sự, nghĩa vụ tham gia Công an nhân dân</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Khoản 6</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E64DE7">
              <w:rPr>
                <w:rFonts w:ascii="Times New Roman" w:hAnsi="Times New Roman" w:cs="Times New Roman"/>
                <w:sz w:val="28"/>
                <w:szCs w:val="28"/>
              </w:rPr>
              <w:t>Phạt tiền từ 50</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 đến 75</w:t>
            </w:r>
            <w:r>
              <w:rPr>
                <w:rFonts w:ascii="Times New Roman" w:hAnsi="Times New Roman" w:cs="Times New Roman"/>
                <w:sz w:val="28"/>
                <w:szCs w:val="28"/>
              </w:rPr>
              <w:t xml:space="preserve"> triệu</w:t>
            </w:r>
            <w:r w:rsidRPr="00E64DE7">
              <w:rPr>
                <w:rFonts w:ascii="Times New Roman" w:hAnsi="Times New Roman" w:cs="Times New Roman"/>
                <w:sz w:val="28"/>
                <w:szCs w:val="28"/>
              </w:rPr>
              <w:t xml:space="preserve"> đồng</w:t>
            </w:r>
          </w:p>
        </w:tc>
        <w:tc>
          <w:tcPr>
            <w:tcW w:w="3260" w:type="dxa"/>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 (Đối với hành vi liên quan đến nghĩa vụ tham gia Công an nhân dân)</w:t>
            </w:r>
          </w:p>
        </w:tc>
      </w:tr>
      <w:tr w:rsidR="00113733" w:rsidTr="00113733">
        <w:tc>
          <w:tcPr>
            <w:tcW w:w="14454" w:type="dxa"/>
            <w:gridSpan w:val="5"/>
            <w:vAlign w:val="center"/>
          </w:tcPr>
          <w:p w:rsidR="00113733" w:rsidRPr="00853987" w:rsidRDefault="00113733" w:rsidP="0094659B">
            <w:pPr>
              <w:spacing w:before="60" w:after="60"/>
              <w:jc w:val="both"/>
              <w:rPr>
                <w:rFonts w:ascii="Times New Roman" w:hAnsi="Times New Roman" w:cs="Times New Roman"/>
                <w:sz w:val="28"/>
                <w:szCs w:val="28"/>
              </w:rPr>
            </w:pPr>
            <w:r w:rsidRPr="0026081E">
              <w:rPr>
                <w:rFonts w:ascii="Times New Roman" w:hAnsi="Times New Roman" w:cs="Times New Roman"/>
                <w:b/>
                <w:sz w:val="28"/>
                <w:szCs w:val="28"/>
              </w:rPr>
              <w:t>I</w:t>
            </w:r>
            <w:r>
              <w:rPr>
                <w:rFonts w:ascii="Times New Roman" w:hAnsi="Times New Roman" w:cs="Times New Roman"/>
                <w:b/>
                <w:sz w:val="28"/>
                <w:szCs w:val="28"/>
              </w:rPr>
              <w:t>II</w:t>
            </w:r>
            <w:r w:rsidRPr="0026081E">
              <w:rPr>
                <w:rFonts w:ascii="Times New Roman" w:hAnsi="Times New Roman" w:cs="Times New Roman"/>
                <w:b/>
                <w:sz w:val="28"/>
                <w:szCs w:val="28"/>
              </w:rPr>
              <w:t xml:space="preserve">. Hành vi </w:t>
            </w:r>
            <w:r>
              <w:rPr>
                <w:rFonts w:ascii="Times New Roman" w:hAnsi="Times New Roman" w:cs="Times New Roman"/>
                <w:b/>
                <w:sz w:val="28"/>
                <w:szCs w:val="28"/>
              </w:rPr>
              <w:t>v</w:t>
            </w:r>
            <w:r w:rsidRPr="0084409B">
              <w:rPr>
                <w:rFonts w:ascii="Times New Roman" w:hAnsi="Times New Roman" w:cs="Times New Roman"/>
                <w:b/>
                <w:sz w:val="28"/>
                <w:szCs w:val="28"/>
              </w:rPr>
              <w:t xml:space="preserve">i phạm quy định về nhập ngũ; quy định thực hiện nghĩa vụ tham gia Công an nhân dân </w:t>
            </w:r>
            <w:r w:rsidRPr="0026081E">
              <w:rPr>
                <w:rFonts w:ascii="Times New Roman" w:hAnsi="Times New Roman" w:cs="Times New Roman"/>
                <w:b/>
                <w:sz w:val="28"/>
                <w:szCs w:val="28"/>
              </w:rPr>
              <w:t xml:space="preserve">(Điều </w:t>
            </w:r>
            <w:r>
              <w:rPr>
                <w:rFonts w:ascii="Times New Roman" w:hAnsi="Times New Roman" w:cs="Times New Roman"/>
                <w:b/>
                <w:sz w:val="28"/>
                <w:szCs w:val="28"/>
              </w:rPr>
              <w:t>10)</w:t>
            </w: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4A1A3D">
              <w:rPr>
                <w:rFonts w:ascii="Times New Roman" w:hAnsi="Times New Roman" w:cs="Times New Roman"/>
                <w:sz w:val="28"/>
                <w:szCs w:val="28"/>
              </w:rPr>
              <w:t>hông có mặt đúng thời gian hoặc địa điểm tập trung ghi trong quyết định gọi nhập ngũ; quyết định gọi thực hiện nghĩa vụ tham gia Công an nhân dân mà không có lý do chính đáng</w:t>
            </w:r>
          </w:p>
        </w:tc>
        <w:tc>
          <w:tcPr>
            <w:tcW w:w="2126" w:type="dxa"/>
            <w:vAlign w:val="center"/>
          </w:tcPr>
          <w:p w:rsidR="00113733"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Khoản 1</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4A1A3D">
              <w:rPr>
                <w:rFonts w:ascii="Times New Roman" w:hAnsi="Times New Roman" w:cs="Times New Roman"/>
                <w:sz w:val="28"/>
                <w:szCs w:val="28"/>
              </w:rPr>
              <w:t>Phạt tiền từ 30</w:t>
            </w:r>
            <w:r>
              <w:rPr>
                <w:rFonts w:ascii="Times New Roman" w:hAnsi="Times New Roman" w:cs="Times New Roman"/>
                <w:sz w:val="28"/>
                <w:szCs w:val="28"/>
              </w:rPr>
              <w:t xml:space="preserve"> triệu đồng</w:t>
            </w:r>
            <w:r w:rsidRPr="004A1A3D">
              <w:rPr>
                <w:rFonts w:ascii="Times New Roman" w:hAnsi="Times New Roman" w:cs="Times New Roman"/>
                <w:sz w:val="28"/>
                <w:szCs w:val="28"/>
              </w:rPr>
              <w:t xml:space="preserve"> đến 40</w:t>
            </w:r>
            <w:r>
              <w:rPr>
                <w:rFonts w:ascii="Times New Roman" w:hAnsi="Times New Roman" w:cs="Times New Roman"/>
                <w:sz w:val="28"/>
                <w:szCs w:val="28"/>
              </w:rPr>
              <w:t xml:space="preserve"> triệu đồng</w:t>
            </w:r>
          </w:p>
        </w:tc>
        <w:tc>
          <w:tcPr>
            <w:tcW w:w="3260" w:type="dxa"/>
            <w:vMerge w:val="restart"/>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CD3DD2">
            <w:pPr>
              <w:spacing w:before="60" w:after="60"/>
              <w:jc w:val="both"/>
              <w:rPr>
                <w:rFonts w:ascii="Times New Roman" w:hAnsi="Times New Roman" w:cs="Times New Roman"/>
                <w:sz w:val="28"/>
                <w:szCs w:val="28"/>
              </w:rPr>
            </w:pPr>
            <w:r>
              <w:rPr>
                <w:rFonts w:ascii="Times New Roman" w:hAnsi="Times New Roman" w:cs="Times New Roman"/>
                <w:sz w:val="28"/>
                <w:szCs w:val="28"/>
              </w:rPr>
              <w:t>- Đối với hành vi liên quan đến nghĩa vụ tham gia Công an nhân dân:</w:t>
            </w:r>
          </w:p>
          <w:p w:rsidR="00113733" w:rsidRDefault="00113733" w:rsidP="00CD3DD2">
            <w:pPr>
              <w:spacing w:before="60" w:after="60"/>
              <w:jc w:val="both"/>
              <w:rPr>
                <w:rFonts w:ascii="Times New Roman" w:hAnsi="Times New Roman" w:cs="Times New Roman"/>
                <w:sz w:val="28"/>
                <w:szCs w:val="28"/>
              </w:rPr>
            </w:pPr>
            <w:r>
              <w:rPr>
                <w:rFonts w:ascii="Times New Roman" w:hAnsi="Times New Roman" w:cs="Times New Roman"/>
                <w:sz w:val="28"/>
                <w:szCs w:val="28"/>
              </w:rPr>
              <w:t>+ Trưởng phòng Công an thành phố</w:t>
            </w:r>
          </w:p>
          <w:p w:rsidR="00113733" w:rsidRDefault="00113733" w:rsidP="00CD3DD2">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Default="00113733" w:rsidP="00CD3DD2">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FD1CA7">
              <w:rPr>
                <w:rFonts w:ascii="Times New Roman" w:hAnsi="Times New Roman" w:cs="Times New Roman"/>
                <w:sz w:val="28"/>
                <w:szCs w:val="28"/>
              </w:rPr>
              <w:t xml:space="preserve">Cản trở công dân thực hiện quyết định gọi nhập ngũ; quyết định gọi thực hiện nghĩa vụ tham gia Công an nhân dân sau khi đã có kết quả khám tuyển sức khỏe nghĩa vụ quân sự đủ điều kiện nhập ngũ, điều kiện thực hiện nghĩa vụ tham gia Công an nhân dân theo quy </w:t>
            </w:r>
            <w:r w:rsidRPr="00FD1CA7">
              <w:rPr>
                <w:rFonts w:ascii="Times New Roman" w:hAnsi="Times New Roman" w:cs="Times New Roman"/>
                <w:sz w:val="28"/>
                <w:szCs w:val="28"/>
              </w:rPr>
              <w:lastRenderedPageBreak/>
              <w:t>định, nhưng chưa đến mức truy cứu trách nhiệm hình sự</w:t>
            </w:r>
            <w:r>
              <w:rPr>
                <w:rStyle w:val="FootnoteReference"/>
                <w:rFonts w:ascii="Times New Roman" w:hAnsi="Times New Roman" w:cs="Times New Roman"/>
                <w:sz w:val="28"/>
                <w:szCs w:val="28"/>
              </w:rPr>
              <w:footnoteReference w:id="5"/>
            </w:r>
          </w:p>
        </w:tc>
        <w:tc>
          <w:tcPr>
            <w:tcW w:w="2126" w:type="dxa"/>
            <w:vAlign w:val="center"/>
          </w:tcPr>
          <w:p w:rsidR="00113733" w:rsidRPr="004A1A3D"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Điểm a khoản 2</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FD1CA7">
              <w:rPr>
                <w:rFonts w:ascii="Times New Roman" w:hAnsi="Times New Roman" w:cs="Times New Roman"/>
                <w:sz w:val="28"/>
                <w:szCs w:val="28"/>
              </w:rPr>
              <w:t>Phạt tiền từ 40</w:t>
            </w:r>
            <w:r>
              <w:rPr>
                <w:rFonts w:ascii="Times New Roman" w:hAnsi="Times New Roman" w:cs="Times New Roman"/>
                <w:sz w:val="28"/>
                <w:szCs w:val="28"/>
              </w:rPr>
              <w:t xml:space="preserve"> triệu đồng</w:t>
            </w:r>
            <w:r w:rsidRPr="00FD1CA7">
              <w:rPr>
                <w:rFonts w:ascii="Times New Roman" w:hAnsi="Times New Roman" w:cs="Times New Roman"/>
                <w:sz w:val="28"/>
                <w:szCs w:val="28"/>
              </w:rPr>
              <w:t xml:space="preserve"> đến 50</w:t>
            </w:r>
            <w:r>
              <w:rPr>
                <w:rFonts w:ascii="Times New Roman" w:hAnsi="Times New Roman" w:cs="Times New Roman"/>
                <w:sz w:val="28"/>
                <w:szCs w:val="28"/>
              </w:rPr>
              <w:t xml:space="preserve"> triệu đồng</w:t>
            </w:r>
          </w:p>
        </w:tc>
        <w:tc>
          <w:tcPr>
            <w:tcW w:w="3260" w:type="dxa"/>
            <w:vMerge/>
            <w:vAlign w:val="center"/>
          </w:tcPr>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sidRPr="00FD1CA7">
              <w:rPr>
                <w:rFonts w:ascii="Times New Roman" w:hAnsi="Times New Roman" w:cs="Times New Roman"/>
                <w:sz w:val="28"/>
                <w:szCs w:val="28"/>
              </w:rPr>
              <w:t>Gian dối nhằm trốn tránh thực hiện quyết định gọi nhập ngũ; quyết định gọi thực hiện nghĩa vụ tham gia Công an nhân dân sau khi đã có kết quả khám tuyển sức khỏe nghĩa vụ quân sự đủ điều kiện nhập ngũ, đủ điều kiện thực hiện nghĩa vụ tham gia Công an nhân dân theo quy định</w:t>
            </w:r>
            <w:r>
              <w:rPr>
                <w:rStyle w:val="FootnoteReference"/>
                <w:rFonts w:ascii="Times New Roman" w:hAnsi="Times New Roman" w:cs="Times New Roman"/>
                <w:sz w:val="28"/>
                <w:szCs w:val="28"/>
              </w:rPr>
              <w:footnoteReference w:id="6"/>
            </w:r>
          </w:p>
        </w:tc>
        <w:tc>
          <w:tcPr>
            <w:tcW w:w="2126" w:type="dxa"/>
            <w:vAlign w:val="center"/>
          </w:tcPr>
          <w:p w:rsidR="00113733" w:rsidRPr="004A1A3D"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t>Điểm b khoản 2</w:t>
            </w:r>
          </w:p>
        </w:tc>
        <w:tc>
          <w:tcPr>
            <w:tcW w:w="4253" w:type="dxa"/>
            <w:vAlign w:val="center"/>
          </w:tcPr>
          <w:p w:rsidR="00113733" w:rsidRPr="00C27C3F" w:rsidRDefault="00113733" w:rsidP="007B12E6">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Hình thức xử phạt chính: </w:t>
            </w:r>
            <w:r w:rsidRPr="00FD1CA7">
              <w:rPr>
                <w:rFonts w:ascii="Times New Roman" w:hAnsi="Times New Roman" w:cs="Times New Roman"/>
                <w:sz w:val="28"/>
                <w:szCs w:val="28"/>
              </w:rPr>
              <w:t>Phạt tiền từ 40</w:t>
            </w:r>
            <w:r>
              <w:rPr>
                <w:rFonts w:ascii="Times New Roman" w:hAnsi="Times New Roman" w:cs="Times New Roman"/>
                <w:sz w:val="28"/>
                <w:szCs w:val="28"/>
              </w:rPr>
              <w:t xml:space="preserve"> triệu đồng</w:t>
            </w:r>
            <w:r w:rsidRPr="00FD1CA7">
              <w:rPr>
                <w:rFonts w:ascii="Times New Roman" w:hAnsi="Times New Roman" w:cs="Times New Roman"/>
                <w:sz w:val="28"/>
                <w:szCs w:val="28"/>
              </w:rPr>
              <w:t xml:space="preserve"> đến 50</w:t>
            </w:r>
            <w:r>
              <w:rPr>
                <w:rFonts w:ascii="Times New Roman" w:hAnsi="Times New Roman" w:cs="Times New Roman"/>
                <w:sz w:val="28"/>
                <w:szCs w:val="28"/>
              </w:rPr>
              <w:t xml:space="preserve"> triệu đồng</w:t>
            </w:r>
            <w:r w:rsidRPr="00C27C3F">
              <w:rPr>
                <w:rFonts w:ascii="Times New Roman" w:hAnsi="Times New Roman" w:cs="Times New Roman"/>
                <w:sz w:val="28"/>
                <w:szCs w:val="28"/>
              </w:rPr>
              <w:t>.</w:t>
            </w:r>
          </w:p>
          <w:p w:rsidR="00113733" w:rsidRDefault="00113733" w:rsidP="007B12E6">
            <w:pPr>
              <w:spacing w:before="60" w:after="60"/>
              <w:jc w:val="both"/>
              <w:rPr>
                <w:rFonts w:ascii="Times New Roman" w:hAnsi="Times New Roman" w:cs="Times New Roman"/>
                <w:sz w:val="28"/>
                <w:szCs w:val="28"/>
              </w:rPr>
            </w:pPr>
            <w:r w:rsidRPr="00C27C3F">
              <w:rPr>
                <w:rFonts w:ascii="Times New Roman" w:hAnsi="Times New Roman" w:cs="Times New Roman"/>
                <w:sz w:val="28"/>
                <w:szCs w:val="28"/>
              </w:rPr>
              <w:t xml:space="preserve">- Biện pháp khắc phục hậu quả: </w:t>
            </w:r>
            <w:r w:rsidRPr="008503EC">
              <w:rPr>
                <w:rFonts w:ascii="Times New Roman" w:hAnsi="Times New Roman" w:cs="Times New Roman"/>
                <w:sz w:val="28"/>
                <w:szCs w:val="28"/>
              </w:rPr>
              <w:t>Buộc thực hiện nghĩa vụ quân sự; nghĩa vụ tham gia Công an nhân dân</w:t>
            </w:r>
            <w:r w:rsidRPr="00C27C3F">
              <w:rPr>
                <w:rFonts w:ascii="Times New Roman" w:hAnsi="Times New Roman" w:cs="Times New Roman"/>
                <w:sz w:val="28"/>
                <w:szCs w:val="28"/>
              </w:rPr>
              <w:t>.</w:t>
            </w:r>
          </w:p>
          <w:p w:rsidR="00113733" w:rsidRPr="001D4685" w:rsidRDefault="00113733" w:rsidP="007B12E6">
            <w:pPr>
              <w:spacing w:before="60" w:after="60"/>
              <w:jc w:val="both"/>
              <w:rPr>
                <w:rFonts w:ascii="Times New Roman" w:hAnsi="Times New Roman" w:cs="Times New Roman"/>
                <w:sz w:val="28"/>
                <w:szCs w:val="28"/>
              </w:rPr>
            </w:pPr>
          </w:p>
        </w:tc>
        <w:tc>
          <w:tcPr>
            <w:tcW w:w="3260" w:type="dxa"/>
            <w:vMerge/>
            <w:vAlign w:val="center"/>
          </w:tcPr>
          <w:p w:rsidR="00113733" w:rsidRDefault="00113733" w:rsidP="007B12E6">
            <w:pPr>
              <w:spacing w:before="60" w:after="60"/>
              <w:jc w:val="both"/>
              <w:rPr>
                <w:rFonts w:ascii="Times New Roman" w:hAnsi="Times New Roman" w:cs="Times New Roman"/>
                <w:sz w:val="28"/>
                <w:szCs w:val="28"/>
              </w:rPr>
            </w:pPr>
          </w:p>
        </w:tc>
      </w:tr>
      <w:tr w:rsidR="00113733" w:rsidTr="00F45FA3">
        <w:tc>
          <w:tcPr>
            <w:tcW w:w="720" w:type="dxa"/>
            <w:vAlign w:val="center"/>
          </w:tcPr>
          <w:p w:rsidR="00113733" w:rsidRPr="00466D03"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K</w:t>
            </w:r>
            <w:r w:rsidRPr="008503EC">
              <w:rPr>
                <w:rFonts w:ascii="Times New Roman" w:hAnsi="Times New Roman" w:cs="Times New Roman"/>
                <w:sz w:val="28"/>
                <w:szCs w:val="28"/>
              </w:rPr>
              <w:t xml:space="preserve">hông chấp hành quyết định gọi nhập ngũ; quyết định gọi thực hiện nghĩa vụ tham gia Công an nhân dân, trừ trường hợp quy định tại </w:t>
            </w:r>
            <w:r w:rsidRPr="008503EC">
              <w:rPr>
                <w:rFonts w:ascii="Times New Roman" w:hAnsi="Times New Roman" w:cs="Times New Roman"/>
                <w:sz w:val="28"/>
                <w:szCs w:val="28"/>
              </w:rPr>
              <w:lastRenderedPageBreak/>
              <w:t>khoản 1 và khoản 2 Điều 10 Nghị định số 218/2025/NĐ-CP</w:t>
            </w:r>
          </w:p>
        </w:tc>
        <w:tc>
          <w:tcPr>
            <w:tcW w:w="2126" w:type="dxa"/>
            <w:vAlign w:val="center"/>
          </w:tcPr>
          <w:p w:rsidR="00113733" w:rsidRPr="004A1A3D" w:rsidRDefault="00113733" w:rsidP="0094659B">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Khoản 3</w:t>
            </w:r>
          </w:p>
        </w:tc>
        <w:tc>
          <w:tcPr>
            <w:tcW w:w="4253" w:type="dxa"/>
            <w:vAlign w:val="center"/>
          </w:tcPr>
          <w:p w:rsidR="00113733" w:rsidRPr="001D4685" w:rsidRDefault="00113733" w:rsidP="007B12E6">
            <w:pPr>
              <w:spacing w:before="60" w:after="60"/>
              <w:jc w:val="both"/>
              <w:rPr>
                <w:rFonts w:ascii="Times New Roman" w:hAnsi="Times New Roman" w:cs="Times New Roman"/>
                <w:sz w:val="28"/>
                <w:szCs w:val="28"/>
              </w:rPr>
            </w:pPr>
            <w:r w:rsidRPr="008503EC">
              <w:rPr>
                <w:rFonts w:ascii="Times New Roman" w:hAnsi="Times New Roman" w:cs="Times New Roman"/>
                <w:sz w:val="28"/>
                <w:szCs w:val="28"/>
              </w:rPr>
              <w:t>Phạt tiền từ 50</w:t>
            </w:r>
            <w:r>
              <w:rPr>
                <w:rFonts w:ascii="Times New Roman" w:hAnsi="Times New Roman" w:cs="Times New Roman"/>
                <w:sz w:val="28"/>
                <w:szCs w:val="28"/>
              </w:rPr>
              <w:t xml:space="preserve"> triệu đồng</w:t>
            </w:r>
            <w:r w:rsidRPr="008503EC">
              <w:rPr>
                <w:rFonts w:ascii="Times New Roman" w:hAnsi="Times New Roman" w:cs="Times New Roman"/>
                <w:sz w:val="28"/>
                <w:szCs w:val="28"/>
              </w:rPr>
              <w:t xml:space="preserve"> đến 75</w:t>
            </w:r>
            <w:r>
              <w:rPr>
                <w:rFonts w:ascii="Times New Roman" w:hAnsi="Times New Roman" w:cs="Times New Roman"/>
                <w:sz w:val="28"/>
                <w:szCs w:val="28"/>
              </w:rPr>
              <w:t xml:space="preserve"> triệu đồng</w:t>
            </w:r>
          </w:p>
        </w:tc>
        <w:tc>
          <w:tcPr>
            <w:tcW w:w="3260" w:type="dxa"/>
            <w:vAlign w:val="center"/>
          </w:tcPr>
          <w:p w:rsidR="00113733" w:rsidRDefault="00113733" w:rsidP="00B91B8A">
            <w:pPr>
              <w:spacing w:before="60" w:after="60"/>
              <w:jc w:val="both"/>
              <w:rPr>
                <w:rFonts w:ascii="Times New Roman" w:hAnsi="Times New Roman" w:cs="Times New Roman"/>
                <w:sz w:val="28"/>
                <w:szCs w:val="28"/>
              </w:rPr>
            </w:pPr>
            <w:r>
              <w:rPr>
                <w:rFonts w:ascii="Times New Roman" w:hAnsi="Times New Roman" w:cs="Times New Roman"/>
                <w:sz w:val="28"/>
                <w:szCs w:val="28"/>
              </w:rPr>
              <w:t>- Chủ tịch Ủy ban nhân dân thành phố</w:t>
            </w:r>
          </w:p>
          <w:p w:rsidR="00113733" w:rsidRDefault="00113733" w:rsidP="00B91B8A">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Giám đốc Công an thành phố (Đối với hành vi liên </w:t>
            </w:r>
            <w:r>
              <w:rPr>
                <w:rFonts w:ascii="Times New Roman" w:hAnsi="Times New Roman" w:cs="Times New Roman"/>
                <w:sz w:val="28"/>
                <w:szCs w:val="28"/>
              </w:rPr>
              <w:lastRenderedPageBreak/>
              <w:t>quan đến nghĩa vụ tham gia Công an nhân dân)</w:t>
            </w:r>
          </w:p>
        </w:tc>
      </w:tr>
      <w:tr w:rsidR="00113733" w:rsidTr="00113733">
        <w:tc>
          <w:tcPr>
            <w:tcW w:w="14454" w:type="dxa"/>
            <w:gridSpan w:val="5"/>
            <w:vAlign w:val="center"/>
          </w:tcPr>
          <w:p w:rsidR="00113733" w:rsidRPr="00853987" w:rsidRDefault="00113733" w:rsidP="0094659B">
            <w:pPr>
              <w:spacing w:before="60" w:after="60"/>
              <w:jc w:val="both"/>
              <w:rPr>
                <w:rFonts w:ascii="Times New Roman" w:hAnsi="Times New Roman" w:cs="Times New Roman"/>
                <w:sz w:val="28"/>
                <w:szCs w:val="28"/>
              </w:rPr>
            </w:pPr>
            <w:r w:rsidRPr="0026081E">
              <w:rPr>
                <w:rFonts w:ascii="Times New Roman" w:hAnsi="Times New Roman" w:cs="Times New Roman"/>
                <w:b/>
                <w:sz w:val="28"/>
                <w:szCs w:val="28"/>
              </w:rPr>
              <w:lastRenderedPageBreak/>
              <w:t>I</w:t>
            </w:r>
            <w:r>
              <w:rPr>
                <w:rFonts w:ascii="Times New Roman" w:hAnsi="Times New Roman" w:cs="Times New Roman"/>
                <w:b/>
                <w:sz w:val="28"/>
                <w:szCs w:val="28"/>
              </w:rPr>
              <w:t>V</w:t>
            </w:r>
            <w:r w:rsidRPr="0026081E">
              <w:rPr>
                <w:rFonts w:ascii="Times New Roman" w:hAnsi="Times New Roman" w:cs="Times New Roman"/>
                <w:b/>
                <w:sz w:val="28"/>
                <w:szCs w:val="28"/>
              </w:rPr>
              <w:t xml:space="preserve">. Hành vi </w:t>
            </w:r>
            <w:r>
              <w:rPr>
                <w:rFonts w:ascii="Times New Roman" w:hAnsi="Times New Roman" w:cs="Times New Roman"/>
                <w:b/>
                <w:sz w:val="28"/>
                <w:szCs w:val="28"/>
              </w:rPr>
              <w:t>v</w:t>
            </w:r>
            <w:r w:rsidRPr="0084409B">
              <w:rPr>
                <w:rFonts w:ascii="Times New Roman" w:hAnsi="Times New Roman" w:cs="Times New Roman"/>
                <w:b/>
                <w:sz w:val="28"/>
                <w:szCs w:val="28"/>
              </w:rPr>
              <w:t xml:space="preserve">i phạm các quy định về thực hiện chính sách đối với hạ sĩ quan, binh sĩ đã hoàn thành nghĩa vụ quân sự, nghĩa vụ tham gia công an nhân dân </w:t>
            </w:r>
            <w:r w:rsidRPr="0026081E">
              <w:rPr>
                <w:rFonts w:ascii="Times New Roman" w:hAnsi="Times New Roman" w:cs="Times New Roman"/>
                <w:b/>
                <w:sz w:val="28"/>
                <w:szCs w:val="28"/>
              </w:rPr>
              <w:t xml:space="preserve">(Điều </w:t>
            </w:r>
            <w:r>
              <w:rPr>
                <w:rFonts w:ascii="Times New Roman" w:hAnsi="Times New Roman" w:cs="Times New Roman"/>
                <w:b/>
                <w:sz w:val="28"/>
                <w:szCs w:val="28"/>
              </w:rPr>
              <w:t>11)</w:t>
            </w:r>
          </w:p>
        </w:tc>
      </w:tr>
      <w:tr w:rsidR="00113733" w:rsidRPr="008042A4" w:rsidTr="00F45FA3">
        <w:tc>
          <w:tcPr>
            <w:tcW w:w="720" w:type="dxa"/>
            <w:vAlign w:val="center"/>
          </w:tcPr>
          <w:p w:rsidR="00113733" w:rsidRPr="008042A4" w:rsidRDefault="00113733" w:rsidP="007B12E6">
            <w:pPr>
              <w:pStyle w:val="ListParagraph"/>
              <w:numPr>
                <w:ilvl w:val="0"/>
                <w:numId w:val="1"/>
              </w:numPr>
              <w:spacing w:before="60" w:after="60"/>
              <w:rPr>
                <w:rFonts w:ascii="Times New Roman" w:hAnsi="Times New Roman" w:cs="Times New Roman"/>
                <w:sz w:val="28"/>
                <w:szCs w:val="28"/>
              </w:rPr>
            </w:pPr>
          </w:p>
        </w:tc>
        <w:tc>
          <w:tcPr>
            <w:tcW w:w="4095" w:type="dxa"/>
            <w:vAlign w:val="center"/>
          </w:tcPr>
          <w:p w:rsidR="00113733" w:rsidRPr="008042A4" w:rsidRDefault="00113733" w:rsidP="007B12E6">
            <w:pPr>
              <w:spacing w:before="60" w:after="60"/>
              <w:jc w:val="both"/>
              <w:rPr>
                <w:rFonts w:ascii="Times New Roman" w:hAnsi="Times New Roman" w:cs="Times New Roman"/>
                <w:sz w:val="28"/>
                <w:szCs w:val="28"/>
              </w:rPr>
            </w:pPr>
            <w:r w:rsidRPr="008042A4">
              <w:rPr>
                <w:rFonts w:ascii="Times New Roman" w:hAnsi="Times New Roman" w:cs="Times New Roman"/>
                <w:sz w:val="28"/>
                <w:szCs w:val="28"/>
              </w:rPr>
              <w:t>Không tiếp nhận trở lại trường học; không tiếp nhận và bố trí việc làm cho hạ sĩ quan, binh sĩ đã hoàn thành nghĩa vụ quân sự; hạ sĩ quan, chiến sĩ đã hoàn thành nghĩa vụ tham gia Công an nhân dân trở về cơ quan, tổ chức cũ làm việc</w:t>
            </w:r>
          </w:p>
        </w:tc>
        <w:tc>
          <w:tcPr>
            <w:tcW w:w="2126" w:type="dxa"/>
            <w:vAlign w:val="center"/>
          </w:tcPr>
          <w:p w:rsidR="00113733" w:rsidRPr="008042A4" w:rsidRDefault="00113733" w:rsidP="0094659B">
            <w:pPr>
              <w:spacing w:before="60" w:after="60"/>
              <w:jc w:val="center"/>
              <w:rPr>
                <w:rFonts w:ascii="Times New Roman" w:hAnsi="Times New Roman" w:cs="Times New Roman"/>
                <w:sz w:val="28"/>
                <w:szCs w:val="28"/>
              </w:rPr>
            </w:pPr>
            <w:r w:rsidRPr="008042A4">
              <w:rPr>
                <w:rFonts w:ascii="Times New Roman" w:hAnsi="Times New Roman" w:cs="Times New Roman"/>
                <w:sz w:val="28"/>
                <w:szCs w:val="28"/>
              </w:rPr>
              <w:t>Khoản 1</w:t>
            </w:r>
          </w:p>
        </w:tc>
        <w:tc>
          <w:tcPr>
            <w:tcW w:w="4253" w:type="dxa"/>
            <w:vAlign w:val="center"/>
          </w:tcPr>
          <w:p w:rsidR="00113733" w:rsidRPr="008042A4" w:rsidRDefault="00113733" w:rsidP="007B12E6">
            <w:pPr>
              <w:spacing w:before="60" w:after="60"/>
              <w:jc w:val="both"/>
              <w:rPr>
                <w:rFonts w:ascii="Times New Roman" w:hAnsi="Times New Roman" w:cs="Times New Roman"/>
                <w:sz w:val="28"/>
                <w:szCs w:val="28"/>
              </w:rPr>
            </w:pPr>
            <w:r w:rsidRPr="008042A4">
              <w:rPr>
                <w:rFonts w:ascii="Times New Roman" w:hAnsi="Times New Roman" w:cs="Times New Roman"/>
                <w:sz w:val="28"/>
                <w:szCs w:val="28"/>
              </w:rPr>
              <w:t>- Hình thức xử phạt: Phạt tiền từ 30 triệu đồng đến 50 triệu đồng</w:t>
            </w:r>
          </w:p>
          <w:p w:rsidR="00113733" w:rsidRPr="008042A4" w:rsidRDefault="00113733" w:rsidP="007B12E6">
            <w:pPr>
              <w:spacing w:before="60" w:after="60"/>
              <w:jc w:val="both"/>
              <w:rPr>
                <w:rFonts w:ascii="Times New Roman" w:hAnsi="Times New Roman" w:cs="Times New Roman"/>
                <w:sz w:val="28"/>
                <w:szCs w:val="28"/>
              </w:rPr>
            </w:pPr>
            <w:r w:rsidRPr="008042A4">
              <w:rPr>
                <w:rFonts w:ascii="Times New Roman" w:hAnsi="Times New Roman" w:cs="Times New Roman"/>
                <w:sz w:val="28"/>
                <w:szCs w:val="28"/>
              </w:rPr>
              <w:t>- Biện pháp khắc phục hậu quả: Buộc tiếp nhận trở lại trường học; tiếp nhận và bố trí việc làm cho hạ sĩ quan, binh sĩ đã hoàn thành nghĩa vụ quân sự; hạ sĩ quan, chiến sĩ đã hoàn thành nghĩa vụ tham gia Công an nhân dân trở về cơ quan, tổ chức cũ làm việc</w:t>
            </w:r>
          </w:p>
        </w:tc>
        <w:tc>
          <w:tcPr>
            <w:tcW w:w="3260" w:type="dxa"/>
            <w:vAlign w:val="center"/>
          </w:tcPr>
          <w:p w:rsidR="00113733" w:rsidRDefault="00113733" w:rsidP="007B12E6">
            <w:pPr>
              <w:spacing w:before="60" w:after="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042A4">
              <w:rPr>
                <w:rFonts w:ascii="Times New Roman" w:hAnsi="Times New Roman" w:cs="Times New Roman"/>
                <w:sz w:val="28"/>
                <w:szCs w:val="28"/>
              </w:rPr>
              <w:t>Chủ tịch Ủy ban nhân dân thành phố</w:t>
            </w:r>
            <w:r>
              <w:rPr>
                <w:rFonts w:ascii="Times New Roman" w:hAnsi="Times New Roman" w:cs="Times New Roman"/>
                <w:sz w:val="28"/>
                <w:szCs w:val="28"/>
                <w:lang w:val="vi-VN"/>
              </w:rPr>
              <w:t>;</w:t>
            </w:r>
          </w:p>
          <w:p w:rsidR="00113733" w:rsidRPr="00D51BD1" w:rsidRDefault="00113733" w:rsidP="007B12E6">
            <w:pPr>
              <w:spacing w:before="60" w:after="60"/>
              <w:jc w:val="both"/>
              <w:rPr>
                <w:rFonts w:ascii="Times New Roman" w:hAnsi="Times New Roman" w:cs="Times New Roman"/>
                <w:sz w:val="28"/>
                <w:szCs w:val="28"/>
                <w:lang w:val="vi-VN"/>
              </w:rPr>
            </w:pPr>
            <w:r>
              <w:rPr>
                <w:rFonts w:ascii="Times New Roman" w:hAnsi="Times New Roman" w:cs="Times New Roman"/>
                <w:sz w:val="28"/>
                <w:szCs w:val="28"/>
                <w:lang w:val="vi-VN"/>
              </w:rPr>
              <w:t>- Các chức danh có thẩm quyền xử phạt của Công an:</w:t>
            </w:r>
          </w:p>
          <w:p w:rsidR="00113733" w:rsidRDefault="00113733" w:rsidP="00D51BD1">
            <w:pPr>
              <w:spacing w:before="60" w:after="60"/>
              <w:jc w:val="both"/>
              <w:rPr>
                <w:rFonts w:ascii="Times New Roman" w:hAnsi="Times New Roman" w:cs="Times New Roman"/>
                <w:sz w:val="28"/>
                <w:szCs w:val="28"/>
              </w:rPr>
            </w:pPr>
            <w:r>
              <w:rPr>
                <w:rFonts w:ascii="Times New Roman" w:hAnsi="Times New Roman" w:cs="Times New Roman"/>
                <w:sz w:val="28"/>
                <w:szCs w:val="28"/>
              </w:rPr>
              <w:t>+ Trưởng phòng Công an thành phố</w:t>
            </w:r>
          </w:p>
          <w:p w:rsidR="00113733" w:rsidRDefault="00113733" w:rsidP="00D51BD1">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Pr="008C66AB">
              <w:rPr>
                <w:rFonts w:ascii="Times New Roman" w:hAnsi="Times New Roman" w:cs="Times New Roman"/>
                <w:sz w:val="28"/>
                <w:szCs w:val="28"/>
              </w:rPr>
              <w:t>Trưởng phòng Quản lý xuất nhập cả</w:t>
            </w:r>
            <w:r>
              <w:rPr>
                <w:rFonts w:ascii="Times New Roman" w:hAnsi="Times New Roman" w:cs="Times New Roman"/>
                <w:sz w:val="28"/>
                <w:szCs w:val="28"/>
              </w:rPr>
              <w:t>nh</w:t>
            </w:r>
          </w:p>
          <w:p w:rsidR="00113733" w:rsidRPr="008042A4" w:rsidRDefault="00113733" w:rsidP="007B12E6">
            <w:pPr>
              <w:spacing w:before="60" w:after="60"/>
              <w:jc w:val="both"/>
              <w:rPr>
                <w:rFonts w:ascii="Times New Roman" w:hAnsi="Times New Roman" w:cs="Times New Roman"/>
                <w:sz w:val="28"/>
                <w:szCs w:val="28"/>
              </w:rPr>
            </w:pPr>
            <w:r>
              <w:rPr>
                <w:rFonts w:ascii="Times New Roman" w:hAnsi="Times New Roman" w:cs="Times New Roman"/>
                <w:sz w:val="28"/>
                <w:szCs w:val="28"/>
              </w:rPr>
              <w:t>+ Giám đốc Công an thành phố</w:t>
            </w:r>
          </w:p>
        </w:tc>
      </w:tr>
    </w:tbl>
    <w:p w:rsidR="008042A4" w:rsidRDefault="008042A4" w:rsidP="008042A4">
      <w:pPr>
        <w:jc w:val="both"/>
        <w:rPr>
          <w:rFonts w:ascii="Times New Roman" w:hAnsi="Times New Roman" w:cs="Times New Roman"/>
          <w:b/>
          <w:i/>
          <w:sz w:val="28"/>
          <w:szCs w:val="28"/>
        </w:rPr>
      </w:pPr>
    </w:p>
    <w:p w:rsidR="00D51BD1" w:rsidRDefault="00110525" w:rsidP="008042A4">
      <w:pPr>
        <w:jc w:val="both"/>
        <w:rPr>
          <w:rFonts w:ascii="Times New Roman" w:hAnsi="Times New Roman" w:cs="Times New Roman"/>
          <w:sz w:val="28"/>
          <w:szCs w:val="28"/>
        </w:rPr>
      </w:pPr>
      <w:r w:rsidRPr="008042A4">
        <w:rPr>
          <w:rFonts w:ascii="Times New Roman" w:hAnsi="Times New Roman" w:cs="Times New Roman"/>
          <w:b/>
          <w:i/>
          <w:sz w:val="28"/>
          <w:szCs w:val="28"/>
        </w:rPr>
        <w:t>Lưu ý:</w:t>
      </w:r>
      <w:r w:rsidRPr="008042A4">
        <w:rPr>
          <w:rFonts w:ascii="Times New Roman" w:hAnsi="Times New Roman" w:cs="Times New Roman"/>
          <w:sz w:val="28"/>
          <w:szCs w:val="28"/>
        </w:rPr>
        <w:t xml:space="preserve"> </w:t>
      </w:r>
    </w:p>
    <w:p w:rsidR="006E2E47" w:rsidRDefault="00D51BD1" w:rsidP="008042A4">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vi-VN"/>
        </w:rPr>
        <w:t xml:space="preserve">- </w:t>
      </w:r>
      <w:r w:rsidR="008042A4" w:rsidRPr="008042A4">
        <w:rPr>
          <w:rFonts w:ascii="Times New Roman" w:hAnsi="Times New Roman" w:cs="Times New Roman"/>
          <w:color w:val="000000"/>
          <w:sz w:val="28"/>
          <w:szCs w:val="28"/>
          <w:shd w:val="clear" w:color="auto" w:fill="FFFFFF"/>
        </w:rPr>
        <w:t>Mức phạt tiền nêu trên là mức phạt được áp dụng đối với hành vi vi phạm hành chính của cá nhân. Đối với tổ chức có cùng hành vi vi phạm, mức phạt tiền bằng 02 lần mức phạt tiền đối với cá nhân.</w:t>
      </w:r>
    </w:p>
    <w:p w:rsidR="00D51BD1" w:rsidRPr="00D51BD1" w:rsidRDefault="00D51BD1" w:rsidP="00D51BD1">
      <w:pPr>
        <w:pStyle w:val="NormalWeb"/>
        <w:shd w:val="clear" w:color="auto" w:fill="FFFFFF"/>
        <w:spacing w:before="120" w:beforeAutospacing="0" w:after="120" w:afterAutospacing="0" w:line="234" w:lineRule="atLeast"/>
        <w:rPr>
          <w:color w:val="000000"/>
          <w:sz w:val="28"/>
          <w:szCs w:val="28"/>
          <w:lang w:val="vi-VN"/>
        </w:rPr>
      </w:pPr>
      <w:r w:rsidRPr="00D51BD1">
        <w:rPr>
          <w:color w:val="000000"/>
          <w:sz w:val="28"/>
          <w:szCs w:val="28"/>
          <w:shd w:val="clear" w:color="auto" w:fill="FFFFFF"/>
          <w:lang w:val="vi-VN"/>
        </w:rPr>
        <w:t xml:space="preserve">- Vụ việc do người có thẩm quyền thuộc Công an nhân dân </w:t>
      </w:r>
      <w:r w:rsidRPr="00D51BD1">
        <w:rPr>
          <w:color w:val="000000"/>
          <w:sz w:val="28"/>
          <w:szCs w:val="28"/>
        </w:rPr>
        <w:t xml:space="preserve">đang thụ lý, giải quyết nhưng phải chuyển đến người có thẩm quyền xử phạt, thì chuyển hồ sơ </w:t>
      </w:r>
      <w:r w:rsidRPr="00D51BD1">
        <w:rPr>
          <w:color w:val="000000"/>
          <w:sz w:val="28"/>
          <w:szCs w:val="28"/>
          <w:lang w:val="vi-VN"/>
        </w:rPr>
        <w:t>đến người</w:t>
      </w:r>
      <w:r w:rsidRPr="00D51BD1">
        <w:rPr>
          <w:color w:val="000000"/>
          <w:sz w:val="28"/>
          <w:szCs w:val="28"/>
        </w:rPr>
        <w:t xml:space="preserve"> có thẩm quyền</w:t>
      </w:r>
      <w:r w:rsidR="00955389">
        <w:rPr>
          <w:color w:val="000000"/>
          <w:sz w:val="28"/>
          <w:szCs w:val="28"/>
          <w:lang w:val="vi-VN"/>
        </w:rPr>
        <w:t xml:space="preserve"> xử phạt</w:t>
      </w:r>
      <w:r w:rsidRPr="00D51BD1">
        <w:rPr>
          <w:color w:val="000000"/>
          <w:sz w:val="28"/>
          <w:szCs w:val="28"/>
        </w:rPr>
        <w:t xml:space="preserve"> </w:t>
      </w:r>
      <w:r w:rsidRPr="00D51BD1">
        <w:rPr>
          <w:color w:val="000000"/>
          <w:sz w:val="28"/>
          <w:szCs w:val="28"/>
          <w:lang w:val="vi-VN"/>
        </w:rPr>
        <w:t xml:space="preserve">của </w:t>
      </w:r>
      <w:r w:rsidR="00955389">
        <w:rPr>
          <w:color w:val="000000"/>
          <w:sz w:val="28"/>
          <w:szCs w:val="28"/>
          <w:lang w:val="vi-VN"/>
        </w:rPr>
        <w:t xml:space="preserve">Ngành </w:t>
      </w:r>
      <w:r w:rsidRPr="00D51BD1">
        <w:rPr>
          <w:color w:val="000000"/>
          <w:sz w:val="28"/>
          <w:szCs w:val="28"/>
          <w:lang w:val="vi-VN"/>
        </w:rPr>
        <w:t>Công an nhâ</w:t>
      </w:r>
      <w:bookmarkStart w:id="0" w:name="_GoBack"/>
      <w:bookmarkEnd w:id="0"/>
      <w:r w:rsidRPr="00D51BD1">
        <w:rPr>
          <w:color w:val="000000"/>
          <w:sz w:val="28"/>
          <w:szCs w:val="28"/>
          <w:lang w:val="vi-VN"/>
        </w:rPr>
        <w:t>n dân.</w:t>
      </w:r>
    </w:p>
    <w:sectPr w:rsidR="00D51BD1" w:rsidRPr="00D51BD1" w:rsidSect="00DB5731">
      <w:headerReference w:type="default" r:id="rId8"/>
      <w:pgSz w:w="15840" w:h="12240" w:orient="landscape"/>
      <w:pgMar w:top="567" w:right="567"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68" w:rsidRDefault="00016768" w:rsidP="005A6020">
      <w:pPr>
        <w:spacing w:after="0" w:line="240" w:lineRule="auto"/>
      </w:pPr>
      <w:r>
        <w:separator/>
      </w:r>
    </w:p>
  </w:endnote>
  <w:endnote w:type="continuationSeparator" w:id="0">
    <w:p w:rsidR="00016768" w:rsidRDefault="00016768" w:rsidP="005A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68" w:rsidRDefault="00016768" w:rsidP="005A6020">
      <w:pPr>
        <w:spacing w:after="0" w:line="240" w:lineRule="auto"/>
      </w:pPr>
      <w:r>
        <w:separator/>
      </w:r>
    </w:p>
  </w:footnote>
  <w:footnote w:type="continuationSeparator" w:id="0">
    <w:p w:rsidR="00016768" w:rsidRDefault="00016768" w:rsidP="005A6020">
      <w:pPr>
        <w:spacing w:after="0" w:line="240" w:lineRule="auto"/>
      </w:pPr>
      <w:r>
        <w:continuationSeparator/>
      </w:r>
    </w:p>
  </w:footnote>
  <w:footnote w:id="1">
    <w:p w:rsidR="00113733" w:rsidRPr="00E0351F" w:rsidRDefault="00113733" w:rsidP="00C94435">
      <w:pPr>
        <w:pStyle w:val="FootnoteText"/>
        <w:jc w:val="both"/>
        <w:rPr>
          <w:rFonts w:ascii="Times New Roman" w:hAnsi="Times New Roman" w:cs="Times New Roman"/>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w:t>
      </w:r>
      <w:r w:rsidRPr="00E0351F">
        <w:rPr>
          <w:rFonts w:ascii="Times New Roman" w:hAnsi="Times New Roman" w:cs="Times New Roman"/>
          <w:sz w:val="24"/>
          <w:szCs w:val="24"/>
          <w:shd w:val="clear" w:color="auto" w:fill="FFFFFF"/>
        </w:rPr>
        <w:t xml:space="preserve">Theo quy định tại khoản 5 Điều 2 Luật Xử lý vi phạm hành chính thì: </w:t>
      </w:r>
      <w:r w:rsidRPr="00E0351F">
        <w:rPr>
          <w:rFonts w:ascii="Times New Roman" w:hAnsi="Times New Roman" w:cs="Times New Roman"/>
          <w:i/>
          <w:sz w:val="24"/>
          <w:szCs w:val="24"/>
          <w:shd w:val="clear" w:color="auto" w:fill="FFFFFF"/>
        </w:rPr>
        <w:t>Tái phạm là việc cá nhân đã bị ra quyết định xử phạt vi phạm hành chính nhưng chưa hết thời hạn được coi là chưa bị xử phạt vi phạm hành chính mà lại thực hiện hành vi vi phạm hành chính đã bị xử phạt</w:t>
      </w:r>
      <w:r w:rsidRPr="00E0351F">
        <w:rPr>
          <w:rFonts w:ascii="Times New Roman" w:hAnsi="Times New Roman" w:cs="Times New Roman"/>
          <w:sz w:val="24"/>
          <w:szCs w:val="24"/>
          <w:shd w:val="clear" w:color="auto" w:fill="FFFFFF"/>
        </w:rPr>
        <w:t>.</w:t>
      </w:r>
    </w:p>
  </w:footnote>
  <w:footnote w:id="2">
    <w:p w:rsidR="00113733" w:rsidRPr="00E0351F" w:rsidRDefault="00113733" w:rsidP="00F22C07">
      <w:pPr>
        <w:spacing w:before="60" w:after="60"/>
        <w:jc w:val="both"/>
        <w:rPr>
          <w:rFonts w:ascii="Times New Roman" w:hAnsi="Times New Roman" w:cs="Times New Roman"/>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Lý do chính đáng là việc cá nhân hoặc thân nhân của người đó bị ốm đau, tai nạn nặng phải điều trị tại cơ sở y tế; gia đình có việc tang lễ hoặc nhà ở nằm trong vùng đang bị ảnh hưởng trực tiếp của thiên tai, hỏa hoạn, dịch bệnh và phải có xác nhận của Ủy ban nhân dân cấp xã nơi cư trú hoặc cơ sở y tế có thẩm quyền.</w:t>
      </w:r>
    </w:p>
    <w:p w:rsidR="00113733" w:rsidRPr="00E0351F" w:rsidRDefault="00113733" w:rsidP="00F22C07">
      <w:pPr>
        <w:spacing w:before="60" w:after="60"/>
        <w:jc w:val="both"/>
        <w:rPr>
          <w:rFonts w:ascii="Times New Roman" w:hAnsi="Times New Roman" w:cs="Times New Roman"/>
          <w:sz w:val="24"/>
          <w:szCs w:val="24"/>
        </w:rPr>
      </w:pPr>
      <w:r w:rsidRPr="00E0351F">
        <w:rPr>
          <w:rFonts w:ascii="Times New Roman" w:hAnsi="Times New Roman" w:cs="Times New Roman"/>
          <w:sz w:val="24"/>
          <w:szCs w:val="24"/>
        </w:rPr>
        <w:t>Thân nhân quy định nêu trên bao gồm: Cha đẻ, mẹ đẻ; cha vợ, mẹ vợ hoặc cha chồng, mẹ chồng; cha nuôi, mẹ nuôi; người nuôi dưỡng hợp pháp; vợ hoặc chồng; con đẻ, con nuôi</w:t>
      </w:r>
    </w:p>
    <w:p w:rsidR="00113733" w:rsidRPr="00E0351F" w:rsidRDefault="00113733" w:rsidP="00F22C07">
      <w:pPr>
        <w:pStyle w:val="FootnoteText"/>
        <w:jc w:val="both"/>
        <w:rPr>
          <w:sz w:val="24"/>
          <w:szCs w:val="24"/>
        </w:rPr>
      </w:pPr>
      <w:r w:rsidRPr="00E0351F">
        <w:rPr>
          <w:rFonts w:ascii="Times New Roman" w:hAnsi="Times New Roman" w:cs="Times New Roman"/>
          <w:i/>
          <w:sz w:val="24"/>
          <w:szCs w:val="24"/>
        </w:rPr>
        <w:t>(Khoản 1 Điều 3 Nghị định số 218/2025/NĐ-CP)</w:t>
      </w:r>
    </w:p>
  </w:footnote>
  <w:footnote w:id="3">
    <w:p w:rsidR="00113733" w:rsidRPr="00E0351F" w:rsidRDefault="00113733" w:rsidP="00F22C07">
      <w:pPr>
        <w:pStyle w:val="FootnoteText"/>
        <w:jc w:val="both"/>
        <w:rPr>
          <w:rFonts w:ascii="Times New Roman" w:hAnsi="Times New Roman" w:cs="Times New Roman"/>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Quá trình xác minh, nếu phát hiện có dấu hiệu của tội phạm quy định tại Bộ luật Hình sự thì người có thẩm quyền đang thụ lý vụ việc phải chuyển hồ sơ vụ vi phạm đến cơ quan có thẩm quyền tiến hành tố tụng hình sự để xem xét truy cứu trách nhiệm hình sự theo quy định tại các khoản 1, 2 và 4 Điều 62 Luật Xử lý vi phạm hành chính.</w:t>
      </w:r>
    </w:p>
  </w:footnote>
  <w:footnote w:id="4">
    <w:p w:rsidR="00113733" w:rsidRPr="00E0351F" w:rsidRDefault="00113733" w:rsidP="00F22C07">
      <w:pPr>
        <w:pStyle w:val="FootnoteText"/>
        <w:jc w:val="both"/>
        <w:rPr>
          <w:rFonts w:ascii="Times New Roman" w:hAnsi="Times New Roman" w:cs="Times New Roman"/>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Gian dối là hành vi đưa ra các thông tin không đúng sự thật, giả mạo, sửa chữa giấy tờ xác nhận tình trạng sức khỏe của cơ quan có thẩm quyền, hoặc cố tình làm thay đổi tình trạng sức khỏe của bản thân nhằm trốn tránh việc thực hiện nghĩa vụ, trách nhiệm hoặc yêu cầu của cơ quan có thẩm quyền theo quy định của pháp luật </w:t>
      </w:r>
      <w:r w:rsidRPr="00E0351F">
        <w:rPr>
          <w:rFonts w:ascii="Times New Roman" w:hAnsi="Times New Roman" w:cs="Times New Roman"/>
          <w:i/>
          <w:sz w:val="24"/>
          <w:szCs w:val="24"/>
        </w:rPr>
        <w:t>(Khoản 2 Điều 3 Nghị định số 218/2025/NĐ-CP)</w:t>
      </w:r>
    </w:p>
  </w:footnote>
  <w:footnote w:id="5">
    <w:p w:rsidR="00113733" w:rsidRPr="00E0351F" w:rsidRDefault="00113733" w:rsidP="00F22C07">
      <w:pPr>
        <w:spacing w:before="60" w:after="60"/>
        <w:jc w:val="both"/>
        <w:rPr>
          <w:rFonts w:ascii="Times New Roman" w:hAnsi="Times New Roman" w:cs="Times New Roman"/>
          <w:i/>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 Cản trở là hành vi sử dụng các phương thức, thủ đoạn hành động hoặc không hành động nhằm ngăn cản, đe dọa khiến cá nhân, tổ chức không dám, không thể nhận hoặc thực hiện được các quyết định của cơ quan nhà nước có thẩm quyền </w:t>
      </w:r>
      <w:r w:rsidRPr="00E0351F">
        <w:rPr>
          <w:rFonts w:ascii="Times New Roman" w:hAnsi="Times New Roman" w:cs="Times New Roman"/>
          <w:i/>
          <w:sz w:val="24"/>
          <w:szCs w:val="24"/>
        </w:rPr>
        <w:t>(Khoản 3 Điều 3 Nghị định số 218/2025/NĐ-CP)</w:t>
      </w:r>
    </w:p>
    <w:p w:rsidR="00113733" w:rsidRPr="00E0351F" w:rsidRDefault="00113733" w:rsidP="00F22C07">
      <w:pPr>
        <w:pStyle w:val="FootnoteText"/>
        <w:jc w:val="both"/>
        <w:rPr>
          <w:sz w:val="24"/>
          <w:szCs w:val="24"/>
        </w:rPr>
      </w:pPr>
      <w:r w:rsidRPr="00E0351F">
        <w:rPr>
          <w:rFonts w:ascii="Times New Roman" w:hAnsi="Times New Roman" w:cs="Times New Roman"/>
          <w:sz w:val="24"/>
          <w:szCs w:val="24"/>
        </w:rPr>
        <w:t>- Quá trình xác minh, nếu phát hiện có dấu hiệu của tội phạm quy định tại Bộ luật Hình sự thì người có thẩm quyền đang thụ lý vụ việc phải chuyển hồ sơ vụ vi phạm đến cơ quan có thẩm quyền tiến hành tố tụng hình sự để xem xét truy cứu trách nhiệm hình sự theo quy định tại các khoản 1, 2 và 4 Điều 62 Luật Xử lý vi phạm hành chính.</w:t>
      </w:r>
    </w:p>
  </w:footnote>
  <w:footnote w:id="6">
    <w:p w:rsidR="00113733" w:rsidRPr="00E0351F" w:rsidRDefault="00113733" w:rsidP="00F22C07">
      <w:pPr>
        <w:spacing w:before="60" w:after="60"/>
        <w:jc w:val="both"/>
        <w:rPr>
          <w:rFonts w:ascii="Times New Roman" w:hAnsi="Times New Roman" w:cs="Times New Roman"/>
          <w:i/>
          <w:sz w:val="24"/>
          <w:szCs w:val="24"/>
        </w:rPr>
      </w:pPr>
      <w:r w:rsidRPr="00E0351F">
        <w:rPr>
          <w:rStyle w:val="FootnoteReference"/>
          <w:rFonts w:ascii="Times New Roman" w:hAnsi="Times New Roman" w:cs="Times New Roman"/>
          <w:sz w:val="24"/>
          <w:szCs w:val="24"/>
        </w:rPr>
        <w:footnoteRef/>
      </w:r>
      <w:r w:rsidRPr="00E0351F">
        <w:rPr>
          <w:rFonts w:ascii="Times New Roman" w:hAnsi="Times New Roman" w:cs="Times New Roman"/>
          <w:sz w:val="24"/>
          <w:szCs w:val="24"/>
        </w:rPr>
        <w:t xml:space="preserve"> </w:t>
      </w:r>
      <w:r w:rsidR="00AA0C3E" w:rsidRPr="00E0351F">
        <w:rPr>
          <w:rFonts w:ascii="Times New Roman" w:hAnsi="Times New Roman" w:cs="Times New Roman"/>
          <w:sz w:val="24"/>
          <w:szCs w:val="24"/>
        </w:rPr>
        <w:t xml:space="preserve">- </w:t>
      </w:r>
      <w:r w:rsidRPr="00E0351F">
        <w:rPr>
          <w:rFonts w:ascii="Times New Roman" w:hAnsi="Times New Roman" w:cs="Times New Roman"/>
          <w:sz w:val="24"/>
          <w:szCs w:val="24"/>
        </w:rPr>
        <w:t xml:space="preserve">Gian dối là hành vi đưa ra các thông tin không đúng sự thật, giả mạo, sửa chữa giấy tờ xác nhận tình trạng sức khỏe của cơ quan có thẩm quyền, hoặc cố tình làm thay đổi tình trạng sức khỏe của bản thân nhằm trốn tránh việc thực hiện nghĩa vụ, trách nhiệm hoặc yêu cầu của cơ quan có thẩm quyền theo quy định của pháp luật </w:t>
      </w:r>
      <w:r w:rsidRPr="00E0351F">
        <w:rPr>
          <w:rFonts w:ascii="Times New Roman" w:hAnsi="Times New Roman" w:cs="Times New Roman"/>
          <w:i/>
          <w:sz w:val="24"/>
          <w:szCs w:val="24"/>
        </w:rPr>
        <w:t>(Khoản 2 Điều 3 Nghị định số 218/2025/NĐ-CP)</w:t>
      </w:r>
    </w:p>
    <w:p w:rsidR="00113733" w:rsidRDefault="00113733" w:rsidP="00F22C07">
      <w:pPr>
        <w:pStyle w:val="FootnoteText"/>
        <w:jc w:val="both"/>
      </w:pPr>
      <w:r w:rsidRPr="00E0351F">
        <w:rPr>
          <w:rFonts w:ascii="Times New Roman" w:hAnsi="Times New Roman" w:cs="Times New Roman"/>
          <w:sz w:val="24"/>
          <w:szCs w:val="24"/>
        </w:rPr>
        <w:t xml:space="preserve">- Công dân sau khi khám sức khỏe nghĩa vụ quân sự và đã có kết luận đủ điều kiện sức khỏe để nhập ngũ của Hội đồng khám sức khỏe có thẩm quyền; nhưng trong khoảng thời gian chờ lệnh gọi nhập ngũ đã có hành vi gian dối, làm thay đổi tình trạng sức khỏe của bản thân, nhưng việc thay đổi tình trạng sức khỏe đó không làm ảnh hưởng tới tiêu chuẩn sức khỏe thực hiện nghĩa vụ quân sự theo quy định của pháp luật, thì buộc phải thực hiện nghĩa vụ quân sự, nghĩa vụ tham gia Công an nhân dân ngay trong năm đó; trường hợp thay đổi tình trạng sức khỏe đó dẫn tới việc không đảm bảo tiêu chuẩn sức khỏe thực hiện nghĩa vụ quân sự theo quy định của pháp luật thì buộc phải thực hiện nghĩa vụ quân sự, nghĩa vụ tham gia Công an nhân dân vào năm kế tiếp nếu vẫn còn trong độ tuổi thực hiện nghĩa vụ quân sự theo quy định của pháp luật </w:t>
      </w:r>
      <w:r w:rsidRPr="00E0351F">
        <w:rPr>
          <w:rFonts w:ascii="Times New Roman" w:hAnsi="Times New Roman" w:cs="Times New Roman"/>
          <w:i/>
          <w:sz w:val="24"/>
          <w:szCs w:val="24"/>
        </w:rPr>
        <w:t>(Khoản 6 Điều 6 Nghị định số 218/2025/NĐ-CP)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601079"/>
      <w:docPartObj>
        <w:docPartGallery w:val="Page Numbers (Top of Page)"/>
        <w:docPartUnique/>
      </w:docPartObj>
    </w:sdtPr>
    <w:sdtEndPr>
      <w:rPr>
        <w:noProof/>
      </w:rPr>
    </w:sdtEndPr>
    <w:sdtContent>
      <w:p w:rsidR="005A6020" w:rsidRDefault="005A6020">
        <w:pPr>
          <w:pStyle w:val="Header"/>
          <w:jc w:val="center"/>
        </w:pPr>
        <w:r>
          <w:fldChar w:fldCharType="begin"/>
        </w:r>
        <w:r>
          <w:instrText xml:space="preserve"> PAGE   \* MERGEFORMAT </w:instrText>
        </w:r>
        <w:r>
          <w:fldChar w:fldCharType="separate"/>
        </w:r>
        <w:r w:rsidR="00993DF0">
          <w:rPr>
            <w:noProof/>
          </w:rPr>
          <w:t>9</w:t>
        </w:r>
        <w:r>
          <w:rPr>
            <w:noProof/>
          </w:rPr>
          <w:fldChar w:fldCharType="end"/>
        </w:r>
      </w:p>
    </w:sdtContent>
  </w:sdt>
  <w:p w:rsidR="005A6020" w:rsidRDefault="005A60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716C"/>
    <w:multiLevelType w:val="hybridMultilevel"/>
    <w:tmpl w:val="B052DEB0"/>
    <w:lvl w:ilvl="0" w:tplc="B7CA7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D3D435A"/>
    <w:multiLevelType w:val="hybridMultilevel"/>
    <w:tmpl w:val="83224D7C"/>
    <w:lvl w:ilvl="0" w:tplc="2A288DE4">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0D0528B"/>
    <w:multiLevelType w:val="hybridMultilevel"/>
    <w:tmpl w:val="BDC24C06"/>
    <w:lvl w:ilvl="0" w:tplc="F2DC86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03"/>
    <w:rsid w:val="00016768"/>
    <w:rsid w:val="00043232"/>
    <w:rsid w:val="0005294A"/>
    <w:rsid w:val="000714E9"/>
    <w:rsid w:val="000749B2"/>
    <w:rsid w:val="000B150A"/>
    <w:rsid w:val="000C7789"/>
    <w:rsid w:val="000E5E09"/>
    <w:rsid w:val="00110525"/>
    <w:rsid w:val="00113733"/>
    <w:rsid w:val="001213AD"/>
    <w:rsid w:val="0013555E"/>
    <w:rsid w:val="00143F60"/>
    <w:rsid w:val="001640DE"/>
    <w:rsid w:val="00176116"/>
    <w:rsid w:val="001A1DBB"/>
    <w:rsid w:val="001B6453"/>
    <w:rsid w:val="001B7B7C"/>
    <w:rsid w:val="001D4685"/>
    <w:rsid w:val="001E410C"/>
    <w:rsid w:val="00257311"/>
    <w:rsid w:val="002601F9"/>
    <w:rsid w:val="0026081E"/>
    <w:rsid w:val="00285600"/>
    <w:rsid w:val="0029570E"/>
    <w:rsid w:val="002A509A"/>
    <w:rsid w:val="002D337D"/>
    <w:rsid w:val="002D4845"/>
    <w:rsid w:val="002D6076"/>
    <w:rsid w:val="002D6F98"/>
    <w:rsid w:val="003052AD"/>
    <w:rsid w:val="00315A0F"/>
    <w:rsid w:val="00384FF9"/>
    <w:rsid w:val="003A57C9"/>
    <w:rsid w:val="004071E2"/>
    <w:rsid w:val="00412292"/>
    <w:rsid w:val="004349E6"/>
    <w:rsid w:val="0043591A"/>
    <w:rsid w:val="00466D03"/>
    <w:rsid w:val="00467542"/>
    <w:rsid w:val="0047472F"/>
    <w:rsid w:val="00474F8F"/>
    <w:rsid w:val="004765D1"/>
    <w:rsid w:val="00476AEA"/>
    <w:rsid w:val="00497E1E"/>
    <w:rsid w:val="004A1A3D"/>
    <w:rsid w:val="004A6A42"/>
    <w:rsid w:val="004A73D9"/>
    <w:rsid w:val="004E1F05"/>
    <w:rsid w:val="004E61D4"/>
    <w:rsid w:val="00543B14"/>
    <w:rsid w:val="00546B3B"/>
    <w:rsid w:val="00577A43"/>
    <w:rsid w:val="00586AEC"/>
    <w:rsid w:val="0059444B"/>
    <w:rsid w:val="005A6020"/>
    <w:rsid w:val="005D04CB"/>
    <w:rsid w:val="005E7B6B"/>
    <w:rsid w:val="00615870"/>
    <w:rsid w:val="00625149"/>
    <w:rsid w:val="006837D3"/>
    <w:rsid w:val="00694FC7"/>
    <w:rsid w:val="006A0B4C"/>
    <w:rsid w:val="006A7236"/>
    <w:rsid w:val="006E2E47"/>
    <w:rsid w:val="006E3063"/>
    <w:rsid w:val="006E5E70"/>
    <w:rsid w:val="006F0488"/>
    <w:rsid w:val="00726731"/>
    <w:rsid w:val="0074703B"/>
    <w:rsid w:val="007543C3"/>
    <w:rsid w:val="00762918"/>
    <w:rsid w:val="007806DE"/>
    <w:rsid w:val="00790F5A"/>
    <w:rsid w:val="007970C6"/>
    <w:rsid w:val="007B12E6"/>
    <w:rsid w:val="007C7435"/>
    <w:rsid w:val="007F2EFA"/>
    <w:rsid w:val="007F4F81"/>
    <w:rsid w:val="007F5315"/>
    <w:rsid w:val="00803508"/>
    <w:rsid w:val="008042A4"/>
    <w:rsid w:val="00805454"/>
    <w:rsid w:val="00807D9F"/>
    <w:rsid w:val="0084409B"/>
    <w:rsid w:val="008503EC"/>
    <w:rsid w:val="00853987"/>
    <w:rsid w:val="008904C3"/>
    <w:rsid w:val="00891964"/>
    <w:rsid w:val="00892B3B"/>
    <w:rsid w:val="008C66AB"/>
    <w:rsid w:val="008E06C7"/>
    <w:rsid w:val="008F6A1A"/>
    <w:rsid w:val="00916686"/>
    <w:rsid w:val="0094659B"/>
    <w:rsid w:val="00955389"/>
    <w:rsid w:val="0095548A"/>
    <w:rsid w:val="009655FC"/>
    <w:rsid w:val="009734EE"/>
    <w:rsid w:val="00975A02"/>
    <w:rsid w:val="0098700D"/>
    <w:rsid w:val="00993DF0"/>
    <w:rsid w:val="009E7A95"/>
    <w:rsid w:val="00A03D32"/>
    <w:rsid w:val="00A3680A"/>
    <w:rsid w:val="00A44777"/>
    <w:rsid w:val="00A56CC6"/>
    <w:rsid w:val="00A672E8"/>
    <w:rsid w:val="00A718CB"/>
    <w:rsid w:val="00A821B5"/>
    <w:rsid w:val="00AA0C3E"/>
    <w:rsid w:val="00AA2CF4"/>
    <w:rsid w:val="00B0716A"/>
    <w:rsid w:val="00B143BA"/>
    <w:rsid w:val="00B91B8A"/>
    <w:rsid w:val="00BA0E7A"/>
    <w:rsid w:val="00BA21E6"/>
    <w:rsid w:val="00BC28AA"/>
    <w:rsid w:val="00BC4C5C"/>
    <w:rsid w:val="00BC7340"/>
    <w:rsid w:val="00BD74EA"/>
    <w:rsid w:val="00BE00A9"/>
    <w:rsid w:val="00C110B8"/>
    <w:rsid w:val="00C145EA"/>
    <w:rsid w:val="00C206C2"/>
    <w:rsid w:val="00C27C3F"/>
    <w:rsid w:val="00C74695"/>
    <w:rsid w:val="00C85B29"/>
    <w:rsid w:val="00C94435"/>
    <w:rsid w:val="00C94EF5"/>
    <w:rsid w:val="00CB03E9"/>
    <w:rsid w:val="00CB43D2"/>
    <w:rsid w:val="00CC0E78"/>
    <w:rsid w:val="00CD3DD2"/>
    <w:rsid w:val="00D23E5B"/>
    <w:rsid w:val="00D30C19"/>
    <w:rsid w:val="00D30E64"/>
    <w:rsid w:val="00D35AF2"/>
    <w:rsid w:val="00D446BF"/>
    <w:rsid w:val="00D51BD1"/>
    <w:rsid w:val="00D8246F"/>
    <w:rsid w:val="00DB238C"/>
    <w:rsid w:val="00DB3C42"/>
    <w:rsid w:val="00DB5731"/>
    <w:rsid w:val="00DC53BB"/>
    <w:rsid w:val="00DD7F89"/>
    <w:rsid w:val="00DE056B"/>
    <w:rsid w:val="00DF4247"/>
    <w:rsid w:val="00E0351F"/>
    <w:rsid w:val="00E25491"/>
    <w:rsid w:val="00E37B4E"/>
    <w:rsid w:val="00E61C59"/>
    <w:rsid w:val="00E64DE7"/>
    <w:rsid w:val="00EB1FBD"/>
    <w:rsid w:val="00EB4AAB"/>
    <w:rsid w:val="00EE34AB"/>
    <w:rsid w:val="00F12F41"/>
    <w:rsid w:val="00F22C07"/>
    <w:rsid w:val="00F45FA3"/>
    <w:rsid w:val="00F541F0"/>
    <w:rsid w:val="00F67774"/>
    <w:rsid w:val="00F73766"/>
    <w:rsid w:val="00F80753"/>
    <w:rsid w:val="00F83989"/>
    <w:rsid w:val="00F94EB7"/>
    <w:rsid w:val="00F97581"/>
    <w:rsid w:val="00FA1D67"/>
    <w:rsid w:val="00FA42B8"/>
    <w:rsid w:val="00FB3629"/>
    <w:rsid w:val="00FC3374"/>
    <w:rsid w:val="00FD1CA7"/>
    <w:rsid w:val="00FD312A"/>
    <w:rsid w:val="00FF1C1C"/>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76FD"/>
  <w15:chartTrackingRefBased/>
  <w15:docId w15:val="{2C64CA42-742D-4525-9782-F54D60A1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D03"/>
    <w:pPr>
      <w:ind w:left="720"/>
      <w:contextualSpacing/>
    </w:pPr>
  </w:style>
  <w:style w:type="paragraph" w:styleId="Header">
    <w:name w:val="header"/>
    <w:basedOn w:val="Normal"/>
    <w:link w:val="HeaderChar"/>
    <w:uiPriority w:val="99"/>
    <w:unhideWhenUsed/>
    <w:rsid w:val="005A6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020"/>
  </w:style>
  <w:style w:type="paragraph" w:styleId="Footer">
    <w:name w:val="footer"/>
    <w:basedOn w:val="Normal"/>
    <w:link w:val="FooterChar"/>
    <w:uiPriority w:val="99"/>
    <w:unhideWhenUsed/>
    <w:rsid w:val="005A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20"/>
  </w:style>
  <w:style w:type="paragraph" w:styleId="BalloonText">
    <w:name w:val="Balloon Text"/>
    <w:basedOn w:val="Normal"/>
    <w:link w:val="BalloonTextChar"/>
    <w:uiPriority w:val="99"/>
    <w:semiHidden/>
    <w:unhideWhenUsed/>
    <w:rsid w:val="00805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454"/>
    <w:rPr>
      <w:rFonts w:ascii="Segoe UI" w:hAnsi="Segoe UI" w:cs="Segoe UI"/>
      <w:sz w:val="18"/>
      <w:szCs w:val="18"/>
    </w:rPr>
  </w:style>
  <w:style w:type="paragraph" w:styleId="FootnoteText">
    <w:name w:val="footnote text"/>
    <w:basedOn w:val="Normal"/>
    <w:link w:val="FootnoteTextChar"/>
    <w:uiPriority w:val="99"/>
    <w:semiHidden/>
    <w:unhideWhenUsed/>
    <w:rsid w:val="00C94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435"/>
    <w:rPr>
      <w:sz w:val="20"/>
      <w:szCs w:val="20"/>
    </w:rPr>
  </w:style>
  <w:style w:type="character" w:styleId="FootnoteReference">
    <w:name w:val="footnote reference"/>
    <w:basedOn w:val="DefaultParagraphFont"/>
    <w:uiPriority w:val="99"/>
    <w:semiHidden/>
    <w:unhideWhenUsed/>
    <w:rsid w:val="00C94435"/>
    <w:rPr>
      <w:vertAlign w:val="superscript"/>
    </w:rPr>
  </w:style>
  <w:style w:type="paragraph" w:styleId="NormalWeb">
    <w:name w:val="Normal (Web)"/>
    <w:basedOn w:val="Normal"/>
    <w:uiPriority w:val="99"/>
    <w:semiHidden/>
    <w:unhideWhenUsed/>
    <w:rsid w:val="00D51B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372">
      <w:bodyDiv w:val="1"/>
      <w:marLeft w:val="0"/>
      <w:marRight w:val="0"/>
      <w:marTop w:val="0"/>
      <w:marBottom w:val="0"/>
      <w:divBdr>
        <w:top w:val="none" w:sz="0" w:space="0" w:color="auto"/>
        <w:left w:val="none" w:sz="0" w:space="0" w:color="auto"/>
        <w:bottom w:val="none" w:sz="0" w:space="0" w:color="auto"/>
        <w:right w:val="none" w:sz="0" w:space="0" w:color="auto"/>
      </w:divBdr>
    </w:div>
    <w:div w:id="207844466">
      <w:bodyDiv w:val="1"/>
      <w:marLeft w:val="0"/>
      <w:marRight w:val="0"/>
      <w:marTop w:val="0"/>
      <w:marBottom w:val="0"/>
      <w:divBdr>
        <w:top w:val="none" w:sz="0" w:space="0" w:color="auto"/>
        <w:left w:val="none" w:sz="0" w:space="0" w:color="auto"/>
        <w:bottom w:val="none" w:sz="0" w:space="0" w:color="auto"/>
        <w:right w:val="none" w:sz="0" w:space="0" w:color="auto"/>
      </w:divBdr>
    </w:div>
    <w:div w:id="543762222">
      <w:bodyDiv w:val="1"/>
      <w:marLeft w:val="0"/>
      <w:marRight w:val="0"/>
      <w:marTop w:val="0"/>
      <w:marBottom w:val="0"/>
      <w:divBdr>
        <w:top w:val="none" w:sz="0" w:space="0" w:color="auto"/>
        <w:left w:val="none" w:sz="0" w:space="0" w:color="auto"/>
        <w:bottom w:val="none" w:sz="0" w:space="0" w:color="auto"/>
        <w:right w:val="none" w:sz="0" w:space="0" w:color="auto"/>
      </w:divBdr>
    </w:div>
    <w:div w:id="830802368">
      <w:bodyDiv w:val="1"/>
      <w:marLeft w:val="0"/>
      <w:marRight w:val="0"/>
      <w:marTop w:val="0"/>
      <w:marBottom w:val="0"/>
      <w:divBdr>
        <w:top w:val="none" w:sz="0" w:space="0" w:color="auto"/>
        <w:left w:val="none" w:sz="0" w:space="0" w:color="auto"/>
        <w:bottom w:val="none" w:sz="0" w:space="0" w:color="auto"/>
        <w:right w:val="none" w:sz="0" w:space="0" w:color="auto"/>
      </w:divBdr>
    </w:div>
    <w:div w:id="12223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FD7B-4226-4117-BA9A-F577D641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2025-10-24T03:23:00Z</cp:lastPrinted>
  <dcterms:created xsi:type="dcterms:W3CDTF">2025-09-18T11:41:00Z</dcterms:created>
  <dcterms:modified xsi:type="dcterms:W3CDTF">2025-10-24T09:10:00Z</dcterms:modified>
</cp:coreProperties>
</file>