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695" w:rsidRPr="00DF0321" w:rsidRDefault="00FE6695" w:rsidP="00FE6695">
      <w:pPr>
        <w:spacing w:after="0" w:line="240" w:lineRule="auto"/>
        <w:jc w:val="center"/>
        <w:rPr>
          <w:b/>
        </w:rPr>
      </w:pPr>
      <w:r w:rsidRPr="00DF0321">
        <w:rPr>
          <w:b/>
        </w:rPr>
        <w:t>Phụ lục</w:t>
      </w:r>
    </w:p>
    <w:p w:rsidR="00FE6695" w:rsidRDefault="00FE6695" w:rsidP="00FE6695">
      <w:pPr>
        <w:spacing w:after="0" w:line="240" w:lineRule="auto"/>
        <w:jc w:val="center"/>
        <w:rPr>
          <w:b/>
        </w:rPr>
      </w:pPr>
      <w:r w:rsidRPr="00DF0321">
        <w:rPr>
          <w:b/>
        </w:rPr>
        <w:t>DANH MỤC THỦ TỤC HÀNH CHÍNH SỬA ĐỔI, BỔ</w:t>
      </w:r>
      <w:r>
        <w:rPr>
          <w:b/>
        </w:rPr>
        <w:t xml:space="preserve"> SUNG LĨNH VỰC CHÍNH SÁCH </w:t>
      </w:r>
      <w:r>
        <w:rPr>
          <w:b/>
        </w:rPr>
        <w:br/>
        <w:t>THUỘC PHẠM VI, CHỨC NĂNG QUẢN LÝ CỦA CÔNG AN THÀNH PHỐ</w:t>
      </w:r>
    </w:p>
    <w:p w:rsidR="00FE6695" w:rsidRDefault="00FE6695" w:rsidP="00FE6695">
      <w:pPr>
        <w:jc w:val="center"/>
        <w:rPr>
          <w:i/>
        </w:rPr>
      </w:pPr>
      <w:r>
        <w:rPr>
          <w:noProof/>
          <w:lang w:val="vi-VN" w:eastAsia="vi-VN"/>
        </w:rPr>
        <mc:AlternateContent>
          <mc:Choice Requires="wps">
            <w:drawing>
              <wp:anchor distT="0" distB="0" distL="114300" distR="114300" simplePos="0" relativeHeight="251660288" behindDoc="0" locked="0" layoutInCell="1" allowOverlap="1" wp14:anchorId="563E6F3F" wp14:editId="343EAC56">
                <wp:simplePos x="0" y="0"/>
                <wp:positionH relativeFrom="column">
                  <wp:posOffset>2850515</wp:posOffset>
                </wp:positionH>
                <wp:positionV relativeFrom="paragraph">
                  <wp:posOffset>234760</wp:posOffset>
                </wp:positionV>
                <wp:extent cx="375221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3752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94B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4.45pt,18.5pt" to="519.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zptgEAALcDAAAOAAAAZHJzL2Uyb0RvYy54bWysU01vEzEQvSP1P1i+k/1ALWiVTQ+p6AXR&#10;iMIPcL121qrtscYmu/n3jJ1kiwAhhHrxeuz33swbz65vZ2fZQWE04HverGrOlJcwGL/v+bevH99+&#10;4Cwm4QdhwaueH1Xkt5urN+spdKqFEeygkJGIj90Uej6mFLqqinJUTsQVBOXpUgM6kSjEfTWgmEjd&#10;2aqt65tqAhwCglQx0und6ZJvir7WSqYHraNKzPacaktlxbI+5bXarEW3RxFGI89liP+owgnjKeki&#10;dSeSYN/R/CbljESIoNNKgqtAayNV8UBumvoXN4+jCKp4oebEsLQpvp6s/HzYITNDz1vOvHD0RI8J&#10;hdmPiW3Be2ogIGtzn6YQO4Jv/Q7PUQw7zKZnjS5/yQ6bS2+PS2/VnJikw3fvr9u2ueZMXu6qF2LA&#10;mO4VOJY3PbfGZ9uiE4dPMVEygl4gFORCTqnLLh2tymDrvyhNVihZU9hliNTWIjsIev7huck2SKsg&#10;M0UbaxdS/XfSGZtpqgzWvxIXdMkIPi1EZzzgn7Km+VKqPuEvrk9es+0nGI7lIUo7aDqKs/Mk5/H7&#10;OS70l/9t8wMAAP//AwBQSwMEFAAGAAgAAAAhAKzo/MzeAAAACgEAAA8AAABkcnMvZG93bnJldi54&#10;bWxMj01Pg0AQhu8m/ofNmHizi7YRSlka48dJD4geetyyI5Cys4TdAvrrnaYHPc7Mk3eeN9vOthMj&#10;Dr51pOB2EYFAqpxpqVbw+fFyk4DwQZPRnSNU8I0etvnlRaZT4yZ6x7EMteAQ8qlW0ITQp1L6qkGr&#10;/cL1SHz7coPVgcehlmbQE4fbTt5F0b20uiX+0OgeHxusDuXRKoifX8uin57efgoZy6IYXUgOO6Wu&#10;r+aHDYiAc/iD4aTP6pCz094dyXjRKVitkjWjCpYxdzoB0XLNZfbnjcwz+b9C/gsAAP//AwBQSwEC&#10;LQAUAAYACAAAACEAtoM4kv4AAADhAQAAEwAAAAAAAAAAAAAAAAAAAAAAW0NvbnRlbnRfVHlwZXNd&#10;LnhtbFBLAQItABQABgAIAAAAIQA4/SH/1gAAAJQBAAALAAAAAAAAAAAAAAAAAC8BAABfcmVscy8u&#10;cmVsc1BLAQItABQABgAIAAAAIQDYzgzptgEAALcDAAAOAAAAAAAAAAAAAAAAAC4CAABkcnMvZTJv&#10;RG9jLnhtbFBLAQItABQABgAIAAAAIQCs6PzM3gAAAAoBAAAPAAAAAAAAAAAAAAAAABAEAABkcnMv&#10;ZG93bnJldi54bWxQSwUGAAAAAAQABADzAAAAGwUAAAAA&#10;" strokecolor="black [3040]"/>
            </w:pict>
          </mc:Fallback>
        </mc:AlternateContent>
      </w:r>
      <w:r w:rsidRPr="00DF0321">
        <w:rPr>
          <w:i/>
        </w:rPr>
        <w:t xml:space="preserve">(Kèm theo Quyết định số    </w:t>
      </w:r>
      <w:bookmarkStart w:id="0" w:name="_GoBack"/>
      <w:bookmarkEnd w:id="0"/>
      <w:r>
        <w:rPr>
          <w:i/>
        </w:rPr>
        <w:t xml:space="preserve">   </w:t>
      </w:r>
      <w:r w:rsidRPr="00DF0321">
        <w:rPr>
          <w:i/>
        </w:rPr>
        <w:t xml:space="preserve">      /QĐ-UBND ngày       /</w:t>
      </w:r>
      <w:r>
        <w:rPr>
          <w:i/>
        </w:rPr>
        <w:t xml:space="preserve">      </w:t>
      </w:r>
      <w:r w:rsidRPr="00DF0321">
        <w:rPr>
          <w:i/>
        </w:rPr>
        <w:t xml:space="preserve">/2025 của </w:t>
      </w:r>
      <w:r>
        <w:rPr>
          <w:i/>
        </w:rPr>
        <w:t xml:space="preserve">Chủ tịch </w:t>
      </w:r>
      <w:r w:rsidRPr="00DF0321">
        <w:rPr>
          <w:i/>
        </w:rPr>
        <w:t>UBND thành phố Hải Phòng)</w:t>
      </w:r>
    </w:p>
    <w:p w:rsidR="00DF0321" w:rsidRPr="00DF0321" w:rsidRDefault="00DF0321" w:rsidP="00DF0321">
      <w:pPr>
        <w:tabs>
          <w:tab w:val="left" w:pos="2490"/>
        </w:tabs>
        <w:rPr>
          <w:sz w:val="2"/>
        </w:rPr>
      </w:pPr>
      <w:r>
        <w:tab/>
      </w:r>
    </w:p>
    <w:tbl>
      <w:tblPr>
        <w:tblStyle w:val="TableGrid"/>
        <w:tblW w:w="15339" w:type="dxa"/>
        <w:tblInd w:w="-176" w:type="dxa"/>
        <w:tblLayout w:type="fixed"/>
        <w:tblLook w:val="04A0" w:firstRow="1" w:lastRow="0" w:firstColumn="1" w:lastColumn="0" w:noHBand="0" w:noVBand="1"/>
      </w:tblPr>
      <w:tblGrid>
        <w:gridCol w:w="746"/>
        <w:gridCol w:w="1379"/>
        <w:gridCol w:w="1655"/>
        <w:gridCol w:w="1530"/>
        <w:gridCol w:w="1530"/>
        <w:gridCol w:w="1666"/>
        <w:gridCol w:w="1417"/>
        <w:gridCol w:w="993"/>
        <w:gridCol w:w="992"/>
        <w:gridCol w:w="3431"/>
      </w:tblGrid>
      <w:tr w:rsidR="00DC51FB" w:rsidTr="00FE6695">
        <w:tc>
          <w:tcPr>
            <w:tcW w:w="746" w:type="dxa"/>
            <w:vMerge w:val="restart"/>
          </w:tcPr>
          <w:p w:rsidR="00DC51FB" w:rsidRPr="002F6584" w:rsidRDefault="00DC51FB" w:rsidP="002F6584">
            <w:pPr>
              <w:tabs>
                <w:tab w:val="left" w:pos="2490"/>
              </w:tabs>
              <w:jc w:val="center"/>
              <w:rPr>
                <w:b/>
              </w:rPr>
            </w:pPr>
            <w:r w:rsidRPr="002F6584">
              <w:rPr>
                <w:b/>
              </w:rPr>
              <w:t>STT</w:t>
            </w:r>
          </w:p>
        </w:tc>
        <w:tc>
          <w:tcPr>
            <w:tcW w:w="1379" w:type="dxa"/>
            <w:vMerge w:val="restart"/>
          </w:tcPr>
          <w:p w:rsidR="00DC51FB" w:rsidRPr="002F6584" w:rsidRDefault="00DC51FB" w:rsidP="002F6584">
            <w:pPr>
              <w:tabs>
                <w:tab w:val="left" w:pos="2490"/>
              </w:tabs>
              <w:jc w:val="center"/>
              <w:rPr>
                <w:b/>
              </w:rPr>
            </w:pPr>
            <w:r w:rsidRPr="002F6584">
              <w:rPr>
                <w:b/>
              </w:rPr>
              <w:t>Mã TTHC</w:t>
            </w:r>
          </w:p>
        </w:tc>
        <w:tc>
          <w:tcPr>
            <w:tcW w:w="1655" w:type="dxa"/>
            <w:vMerge w:val="restart"/>
          </w:tcPr>
          <w:p w:rsidR="00DC51FB" w:rsidRPr="002F6584" w:rsidRDefault="00DC51FB" w:rsidP="002F6584">
            <w:pPr>
              <w:tabs>
                <w:tab w:val="left" w:pos="2490"/>
              </w:tabs>
              <w:jc w:val="center"/>
              <w:rPr>
                <w:b/>
              </w:rPr>
            </w:pPr>
            <w:r w:rsidRPr="002F6584">
              <w:rPr>
                <w:b/>
              </w:rPr>
              <w:t>Tên thủ tục hành chính</w:t>
            </w:r>
          </w:p>
        </w:tc>
        <w:tc>
          <w:tcPr>
            <w:tcW w:w="3060" w:type="dxa"/>
            <w:gridSpan w:val="2"/>
          </w:tcPr>
          <w:p w:rsidR="00DC51FB" w:rsidRPr="002F6584" w:rsidRDefault="00DC51FB" w:rsidP="00DC51FB">
            <w:pPr>
              <w:tabs>
                <w:tab w:val="left" w:pos="2490"/>
              </w:tabs>
              <w:jc w:val="center"/>
              <w:rPr>
                <w:b/>
              </w:rPr>
            </w:pPr>
            <w:r>
              <w:rPr>
                <w:b/>
              </w:rPr>
              <w:t>Thời hạn giải quyết</w:t>
            </w:r>
          </w:p>
        </w:tc>
        <w:tc>
          <w:tcPr>
            <w:tcW w:w="1666" w:type="dxa"/>
            <w:vMerge w:val="restart"/>
          </w:tcPr>
          <w:p w:rsidR="00DC51FB" w:rsidRPr="002F6584" w:rsidRDefault="00DC51FB" w:rsidP="002F6584">
            <w:pPr>
              <w:tabs>
                <w:tab w:val="left" w:pos="2490"/>
              </w:tabs>
              <w:jc w:val="center"/>
              <w:rPr>
                <w:b/>
              </w:rPr>
            </w:pPr>
            <w:r w:rsidRPr="002F6584">
              <w:rPr>
                <w:b/>
              </w:rPr>
              <w:t>Địa điểm thực hiện</w:t>
            </w:r>
          </w:p>
        </w:tc>
        <w:tc>
          <w:tcPr>
            <w:tcW w:w="1417" w:type="dxa"/>
            <w:vMerge w:val="restart"/>
          </w:tcPr>
          <w:p w:rsidR="00DC51FB" w:rsidRPr="002F6584" w:rsidRDefault="00DC51FB" w:rsidP="002F6584">
            <w:pPr>
              <w:tabs>
                <w:tab w:val="left" w:pos="2490"/>
              </w:tabs>
              <w:jc w:val="center"/>
              <w:rPr>
                <w:b/>
              </w:rPr>
            </w:pPr>
            <w:r w:rsidRPr="002F6584">
              <w:rPr>
                <w:b/>
              </w:rPr>
              <w:t>Phí/lệ phí (nếu có)</w:t>
            </w:r>
          </w:p>
        </w:tc>
        <w:tc>
          <w:tcPr>
            <w:tcW w:w="1985" w:type="dxa"/>
            <w:gridSpan w:val="2"/>
          </w:tcPr>
          <w:p w:rsidR="00DC51FB" w:rsidRPr="002F6584" w:rsidRDefault="00DC51FB" w:rsidP="002F6584">
            <w:pPr>
              <w:tabs>
                <w:tab w:val="left" w:pos="2490"/>
              </w:tabs>
              <w:jc w:val="center"/>
              <w:rPr>
                <w:b/>
              </w:rPr>
            </w:pPr>
            <w:r w:rsidRPr="002F6584">
              <w:rPr>
                <w:b/>
              </w:rPr>
              <w:t>Cung cấp DVCTT</w:t>
            </w:r>
          </w:p>
          <w:p w:rsidR="00DC51FB" w:rsidRPr="002F6584" w:rsidRDefault="00DC51FB" w:rsidP="002F6584">
            <w:pPr>
              <w:tabs>
                <w:tab w:val="left" w:pos="2490"/>
              </w:tabs>
              <w:jc w:val="center"/>
              <w:rPr>
                <w:b/>
              </w:rPr>
            </w:pPr>
            <w:r w:rsidRPr="002F6584">
              <w:rPr>
                <w:b/>
              </w:rPr>
              <w:t>(x)</w:t>
            </w:r>
          </w:p>
        </w:tc>
        <w:tc>
          <w:tcPr>
            <w:tcW w:w="3431" w:type="dxa"/>
            <w:vMerge w:val="restart"/>
          </w:tcPr>
          <w:p w:rsidR="00DC51FB" w:rsidRPr="002F6584" w:rsidRDefault="00DC51FB" w:rsidP="002F6584">
            <w:pPr>
              <w:tabs>
                <w:tab w:val="left" w:pos="2490"/>
              </w:tabs>
              <w:jc w:val="center"/>
              <w:rPr>
                <w:b/>
              </w:rPr>
            </w:pPr>
            <w:r w:rsidRPr="002F6584">
              <w:rPr>
                <w:b/>
              </w:rPr>
              <w:t>Căn cứ pháp lý</w:t>
            </w:r>
          </w:p>
        </w:tc>
      </w:tr>
      <w:tr w:rsidR="00DC51FB" w:rsidTr="00FE6695">
        <w:tc>
          <w:tcPr>
            <w:tcW w:w="746" w:type="dxa"/>
            <w:vMerge/>
          </w:tcPr>
          <w:p w:rsidR="00DC51FB" w:rsidRDefault="00DC51FB" w:rsidP="00DF0321">
            <w:pPr>
              <w:tabs>
                <w:tab w:val="left" w:pos="2490"/>
              </w:tabs>
            </w:pPr>
          </w:p>
        </w:tc>
        <w:tc>
          <w:tcPr>
            <w:tcW w:w="1379" w:type="dxa"/>
            <w:vMerge/>
          </w:tcPr>
          <w:p w:rsidR="00DC51FB" w:rsidRDefault="00DC51FB" w:rsidP="00DF0321">
            <w:pPr>
              <w:tabs>
                <w:tab w:val="left" w:pos="2490"/>
              </w:tabs>
            </w:pPr>
          </w:p>
        </w:tc>
        <w:tc>
          <w:tcPr>
            <w:tcW w:w="1655" w:type="dxa"/>
            <w:vMerge/>
          </w:tcPr>
          <w:p w:rsidR="00DC51FB" w:rsidRDefault="00DC51FB" w:rsidP="00DF0321">
            <w:pPr>
              <w:tabs>
                <w:tab w:val="left" w:pos="2490"/>
              </w:tabs>
            </w:pPr>
          </w:p>
        </w:tc>
        <w:tc>
          <w:tcPr>
            <w:tcW w:w="1530" w:type="dxa"/>
          </w:tcPr>
          <w:p w:rsidR="00DC51FB" w:rsidRPr="00DC51FB" w:rsidRDefault="00DC51FB" w:rsidP="00DC51FB">
            <w:pPr>
              <w:tabs>
                <w:tab w:val="left" w:pos="2490"/>
              </w:tabs>
              <w:jc w:val="center"/>
              <w:rPr>
                <w:b/>
              </w:rPr>
            </w:pPr>
            <w:r w:rsidRPr="00DC51FB">
              <w:rPr>
                <w:b/>
              </w:rPr>
              <w:t>Theo quy định</w:t>
            </w:r>
          </w:p>
        </w:tc>
        <w:tc>
          <w:tcPr>
            <w:tcW w:w="1530" w:type="dxa"/>
          </w:tcPr>
          <w:p w:rsidR="00DC51FB" w:rsidRPr="00DC51FB" w:rsidRDefault="00DC51FB" w:rsidP="00DC51FB">
            <w:pPr>
              <w:tabs>
                <w:tab w:val="left" w:pos="2490"/>
              </w:tabs>
              <w:jc w:val="center"/>
              <w:rPr>
                <w:b/>
              </w:rPr>
            </w:pPr>
            <w:r w:rsidRPr="00DC51FB">
              <w:rPr>
                <w:b/>
              </w:rPr>
              <w:t>Sau cắt giảm</w:t>
            </w:r>
          </w:p>
        </w:tc>
        <w:tc>
          <w:tcPr>
            <w:tcW w:w="1666" w:type="dxa"/>
            <w:vMerge/>
          </w:tcPr>
          <w:p w:rsidR="00DC51FB" w:rsidRDefault="00DC51FB" w:rsidP="00DF0321">
            <w:pPr>
              <w:tabs>
                <w:tab w:val="left" w:pos="2490"/>
              </w:tabs>
            </w:pPr>
          </w:p>
        </w:tc>
        <w:tc>
          <w:tcPr>
            <w:tcW w:w="1417" w:type="dxa"/>
            <w:vMerge/>
          </w:tcPr>
          <w:p w:rsidR="00DC51FB" w:rsidRDefault="00DC51FB" w:rsidP="00DF0321">
            <w:pPr>
              <w:tabs>
                <w:tab w:val="left" w:pos="2490"/>
              </w:tabs>
            </w:pPr>
          </w:p>
        </w:tc>
        <w:tc>
          <w:tcPr>
            <w:tcW w:w="993" w:type="dxa"/>
          </w:tcPr>
          <w:p w:rsidR="00DC51FB" w:rsidRPr="002F6584" w:rsidRDefault="00DC51FB" w:rsidP="002F6584">
            <w:pPr>
              <w:tabs>
                <w:tab w:val="left" w:pos="2490"/>
              </w:tabs>
              <w:jc w:val="center"/>
              <w:rPr>
                <w:b/>
              </w:rPr>
            </w:pPr>
            <w:r w:rsidRPr="002F6584">
              <w:rPr>
                <w:b/>
              </w:rPr>
              <w:t>Toàn trình</w:t>
            </w:r>
          </w:p>
        </w:tc>
        <w:tc>
          <w:tcPr>
            <w:tcW w:w="992" w:type="dxa"/>
          </w:tcPr>
          <w:p w:rsidR="00DC51FB" w:rsidRPr="002F6584" w:rsidRDefault="00DC51FB" w:rsidP="002F6584">
            <w:pPr>
              <w:tabs>
                <w:tab w:val="left" w:pos="2490"/>
              </w:tabs>
              <w:jc w:val="center"/>
              <w:rPr>
                <w:b/>
              </w:rPr>
            </w:pPr>
            <w:r w:rsidRPr="002F6584">
              <w:rPr>
                <w:b/>
              </w:rPr>
              <w:t>Một phần</w:t>
            </w:r>
          </w:p>
        </w:tc>
        <w:tc>
          <w:tcPr>
            <w:tcW w:w="3431" w:type="dxa"/>
            <w:vMerge/>
          </w:tcPr>
          <w:p w:rsidR="00DC51FB" w:rsidRDefault="00DC51FB" w:rsidP="00DF0321">
            <w:pPr>
              <w:tabs>
                <w:tab w:val="left" w:pos="2490"/>
              </w:tabs>
            </w:pPr>
          </w:p>
        </w:tc>
      </w:tr>
      <w:tr w:rsidR="00DC51FB" w:rsidTr="00FE6695">
        <w:tc>
          <w:tcPr>
            <w:tcW w:w="746" w:type="dxa"/>
          </w:tcPr>
          <w:p w:rsidR="00DC51FB" w:rsidRDefault="00DC51FB" w:rsidP="00613835">
            <w:pPr>
              <w:tabs>
                <w:tab w:val="left" w:pos="2490"/>
              </w:tabs>
              <w:jc w:val="center"/>
            </w:pPr>
            <w:r>
              <w:t>01</w:t>
            </w:r>
          </w:p>
        </w:tc>
        <w:tc>
          <w:tcPr>
            <w:tcW w:w="1379" w:type="dxa"/>
          </w:tcPr>
          <w:p w:rsidR="00DC51FB" w:rsidRDefault="00DC51FB" w:rsidP="00613835">
            <w:pPr>
              <w:tabs>
                <w:tab w:val="left" w:pos="2490"/>
              </w:tabs>
              <w:jc w:val="center"/>
            </w:pPr>
            <w:r>
              <w:t>1.012537</w:t>
            </w:r>
          </w:p>
        </w:tc>
        <w:tc>
          <w:tcPr>
            <w:tcW w:w="1655" w:type="dxa"/>
          </w:tcPr>
          <w:p w:rsidR="00DC51FB" w:rsidRDefault="00DC51FB" w:rsidP="00613835">
            <w:pPr>
              <w:tabs>
                <w:tab w:val="left" w:pos="2490"/>
              </w:tabs>
              <w:jc w:val="both"/>
            </w:pPr>
            <w:r>
              <w:t>Giải quyết chế độ, chính sách cho người tham gia lực lượng tham gia bảo vệ an ninh, trật tự ở cơ sở chưa tham gia bảo hiểm y tế mà bị ốm đau, bị tai nạn, bị thương khi thực hiện nhiệm vụ</w:t>
            </w:r>
          </w:p>
        </w:tc>
        <w:tc>
          <w:tcPr>
            <w:tcW w:w="1530" w:type="dxa"/>
          </w:tcPr>
          <w:p w:rsidR="00DC51FB" w:rsidRDefault="00DC51FB" w:rsidP="00613835">
            <w:pPr>
              <w:tabs>
                <w:tab w:val="left" w:pos="2490"/>
              </w:tabs>
              <w:jc w:val="both"/>
            </w:pPr>
            <w:r>
              <w:t>07 ngày làm việc kể từ ngày nhận được hồ sơ hợp lệ.</w:t>
            </w:r>
          </w:p>
        </w:tc>
        <w:tc>
          <w:tcPr>
            <w:tcW w:w="1530" w:type="dxa"/>
          </w:tcPr>
          <w:p w:rsidR="00DC51FB" w:rsidRDefault="00817E98" w:rsidP="00613835">
            <w:pPr>
              <w:tabs>
                <w:tab w:val="left" w:pos="2490"/>
              </w:tabs>
              <w:jc w:val="both"/>
            </w:pPr>
            <w:r>
              <w:t>3,5</w:t>
            </w:r>
            <w:r w:rsidR="00DC51FB">
              <w:t xml:space="preserve"> ngày làm việc kể từ ngày nhận được hồ sơ hợp lệ</w:t>
            </w:r>
          </w:p>
        </w:tc>
        <w:tc>
          <w:tcPr>
            <w:tcW w:w="1666" w:type="dxa"/>
          </w:tcPr>
          <w:p w:rsidR="00DC51FB" w:rsidRDefault="00FE6695" w:rsidP="00613835">
            <w:pPr>
              <w:tabs>
                <w:tab w:val="left" w:pos="2490"/>
              </w:tabs>
              <w:jc w:val="both"/>
            </w:pPr>
            <w:r>
              <w:t>- Trung tâm P</w:t>
            </w:r>
            <w:r w:rsidR="00DC51FB">
              <w:t>hục vụ hành chính công các xã, phường, đặc khu</w:t>
            </w:r>
          </w:p>
        </w:tc>
        <w:tc>
          <w:tcPr>
            <w:tcW w:w="1417" w:type="dxa"/>
          </w:tcPr>
          <w:p w:rsidR="00DC51FB" w:rsidRDefault="00DC51FB" w:rsidP="00613835">
            <w:pPr>
              <w:tabs>
                <w:tab w:val="left" w:pos="2490"/>
              </w:tabs>
              <w:jc w:val="center"/>
            </w:pPr>
            <w:r>
              <w:t>Không</w:t>
            </w:r>
          </w:p>
        </w:tc>
        <w:tc>
          <w:tcPr>
            <w:tcW w:w="993" w:type="dxa"/>
          </w:tcPr>
          <w:p w:rsidR="00DC51FB" w:rsidRDefault="00DC51FB" w:rsidP="00613835">
            <w:pPr>
              <w:tabs>
                <w:tab w:val="left" w:pos="2490"/>
              </w:tabs>
              <w:jc w:val="both"/>
            </w:pPr>
          </w:p>
        </w:tc>
        <w:tc>
          <w:tcPr>
            <w:tcW w:w="992" w:type="dxa"/>
          </w:tcPr>
          <w:p w:rsidR="00DC51FB" w:rsidRDefault="00DC51FB" w:rsidP="00613835">
            <w:pPr>
              <w:tabs>
                <w:tab w:val="left" w:pos="2490"/>
              </w:tabs>
              <w:jc w:val="center"/>
            </w:pPr>
            <w:r>
              <w:t>x</w:t>
            </w:r>
          </w:p>
        </w:tc>
        <w:tc>
          <w:tcPr>
            <w:tcW w:w="3431" w:type="dxa"/>
          </w:tcPr>
          <w:p w:rsidR="00DC51FB" w:rsidRDefault="00DC51FB" w:rsidP="00613835">
            <w:pPr>
              <w:tabs>
                <w:tab w:val="left" w:pos="2490"/>
              </w:tabs>
              <w:jc w:val="both"/>
            </w:pPr>
            <w:r>
              <w:t>- Luật Lực lượng tham gia bảo vệ an ninh trật tự ở cơ sở (Luật số 30/2023/QH15).</w:t>
            </w:r>
          </w:p>
          <w:p w:rsidR="00DC51FB" w:rsidRDefault="00DC51FB" w:rsidP="00613835">
            <w:pPr>
              <w:tabs>
                <w:tab w:val="left" w:pos="2490"/>
              </w:tabs>
              <w:jc w:val="both"/>
            </w:pPr>
            <w:r>
              <w:t>- Nghị định số 40/2024/NĐ-CP ngày 16/4/2024 của Chính phủ quy định chi tiết một số điều của Luật Lực lượng tham gia bảo vệ an ninh, trật tự ở cơ sở.</w:t>
            </w:r>
          </w:p>
          <w:p w:rsidR="00DC51FB" w:rsidRDefault="00DC51FB" w:rsidP="00613835">
            <w:pPr>
              <w:tabs>
                <w:tab w:val="left" w:pos="2490"/>
              </w:tabs>
              <w:jc w:val="both"/>
            </w:pPr>
            <w:r>
              <w:t>- Nghị định số 184/2025/NĐ-CP ngày 01/7/2025 của Chính phủ quy định phân định thẩm quyền khi tổ chức chính quyền địa phương 02 cấp và sửa đổi, bổ sung một số điều của các Nghị định của Chính phủ trong lĩnh vực an ninh, trật tự.</w:t>
            </w:r>
          </w:p>
          <w:p w:rsidR="00DC51FB" w:rsidRDefault="00DC51FB" w:rsidP="00613835">
            <w:pPr>
              <w:tabs>
                <w:tab w:val="left" w:pos="2490"/>
              </w:tabs>
              <w:jc w:val="both"/>
            </w:pPr>
          </w:p>
        </w:tc>
      </w:tr>
      <w:tr w:rsidR="00DC51FB" w:rsidTr="00FE6695">
        <w:tc>
          <w:tcPr>
            <w:tcW w:w="746" w:type="dxa"/>
          </w:tcPr>
          <w:p w:rsidR="00DC51FB" w:rsidRDefault="00DC51FB" w:rsidP="00613835">
            <w:pPr>
              <w:tabs>
                <w:tab w:val="left" w:pos="2490"/>
              </w:tabs>
              <w:jc w:val="center"/>
            </w:pPr>
            <w:r>
              <w:lastRenderedPageBreak/>
              <w:t>02</w:t>
            </w:r>
          </w:p>
        </w:tc>
        <w:tc>
          <w:tcPr>
            <w:tcW w:w="1379" w:type="dxa"/>
          </w:tcPr>
          <w:p w:rsidR="00DC51FB" w:rsidRDefault="00DC51FB" w:rsidP="00DF0321">
            <w:pPr>
              <w:tabs>
                <w:tab w:val="left" w:pos="2490"/>
              </w:tabs>
            </w:pPr>
            <w:r>
              <w:t>1.012538</w:t>
            </w:r>
          </w:p>
        </w:tc>
        <w:tc>
          <w:tcPr>
            <w:tcW w:w="1655" w:type="dxa"/>
          </w:tcPr>
          <w:p w:rsidR="00DC51FB" w:rsidRDefault="00DC51FB" w:rsidP="00613835">
            <w:pPr>
              <w:tabs>
                <w:tab w:val="left" w:pos="2490"/>
              </w:tabs>
              <w:jc w:val="both"/>
            </w:pPr>
            <w:r>
              <w:t xml:space="preserve">Giải quyết chế độ, chính sách cho người tham gia lực lượng tham gia bảo vệ an ninh, trật tự ở cơ sở chưa tham gia bảo hiểm xã hội mà bị tai nạn, chết khi thực hiện nhiệm vụ </w:t>
            </w:r>
          </w:p>
        </w:tc>
        <w:tc>
          <w:tcPr>
            <w:tcW w:w="1530" w:type="dxa"/>
          </w:tcPr>
          <w:p w:rsidR="00DC51FB" w:rsidRDefault="00DC51FB" w:rsidP="00613835">
            <w:pPr>
              <w:tabs>
                <w:tab w:val="left" w:pos="2490"/>
              </w:tabs>
              <w:jc w:val="both"/>
            </w:pPr>
            <w:r>
              <w:t xml:space="preserve">08 ngày </w:t>
            </w:r>
            <w:r w:rsidR="00FE6695">
              <w:t xml:space="preserve">làm việc </w:t>
            </w:r>
            <w:r>
              <w:t>kể từ ngày nhận được hồ sơ hợp lệ</w:t>
            </w:r>
          </w:p>
        </w:tc>
        <w:tc>
          <w:tcPr>
            <w:tcW w:w="1530" w:type="dxa"/>
          </w:tcPr>
          <w:p w:rsidR="00DC51FB" w:rsidRDefault="00817E98" w:rsidP="00613835">
            <w:pPr>
              <w:tabs>
                <w:tab w:val="left" w:pos="2490"/>
              </w:tabs>
              <w:jc w:val="both"/>
            </w:pPr>
            <w:r>
              <w:t>04</w:t>
            </w:r>
            <w:r w:rsidR="00DC51FB">
              <w:t xml:space="preserve"> ngày </w:t>
            </w:r>
            <w:r w:rsidR="00FE6695">
              <w:t xml:space="preserve">làm việc </w:t>
            </w:r>
            <w:r w:rsidR="00DC51FB">
              <w:t>kể từ ngày nhận được hồ sơ hợp lệ</w:t>
            </w:r>
          </w:p>
        </w:tc>
        <w:tc>
          <w:tcPr>
            <w:tcW w:w="1666" w:type="dxa"/>
          </w:tcPr>
          <w:p w:rsidR="00DC51FB" w:rsidRDefault="00FE6695" w:rsidP="00613835">
            <w:pPr>
              <w:tabs>
                <w:tab w:val="left" w:pos="2490"/>
              </w:tabs>
              <w:jc w:val="both"/>
            </w:pPr>
            <w:r>
              <w:t>- Trung tâm P</w:t>
            </w:r>
            <w:r w:rsidR="00DC51FB">
              <w:t>hục vụ hành chính công các xã, phường, đặc khu</w:t>
            </w:r>
          </w:p>
        </w:tc>
        <w:tc>
          <w:tcPr>
            <w:tcW w:w="1417" w:type="dxa"/>
          </w:tcPr>
          <w:p w:rsidR="00DC51FB" w:rsidRDefault="00DC51FB" w:rsidP="00613835">
            <w:pPr>
              <w:tabs>
                <w:tab w:val="left" w:pos="2490"/>
              </w:tabs>
              <w:jc w:val="center"/>
            </w:pPr>
            <w:r>
              <w:t>Không</w:t>
            </w:r>
          </w:p>
        </w:tc>
        <w:tc>
          <w:tcPr>
            <w:tcW w:w="993" w:type="dxa"/>
          </w:tcPr>
          <w:p w:rsidR="00DC51FB" w:rsidRDefault="00DC51FB" w:rsidP="00DF0321">
            <w:pPr>
              <w:tabs>
                <w:tab w:val="left" w:pos="2490"/>
              </w:tabs>
            </w:pPr>
          </w:p>
        </w:tc>
        <w:tc>
          <w:tcPr>
            <w:tcW w:w="992" w:type="dxa"/>
          </w:tcPr>
          <w:p w:rsidR="00DC51FB" w:rsidRDefault="00DC51FB" w:rsidP="00613835">
            <w:pPr>
              <w:tabs>
                <w:tab w:val="left" w:pos="2490"/>
              </w:tabs>
              <w:jc w:val="center"/>
            </w:pPr>
            <w:r>
              <w:t>x</w:t>
            </w:r>
          </w:p>
        </w:tc>
        <w:tc>
          <w:tcPr>
            <w:tcW w:w="3431" w:type="dxa"/>
          </w:tcPr>
          <w:p w:rsidR="00DC51FB" w:rsidRDefault="00DC51FB" w:rsidP="00613835">
            <w:pPr>
              <w:tabs>
                <w:tab w:val="left" w:pos="2490"/>
              </w:tabs>
              <w:jc w:val="both"/>
            </w:pPr>
            <w:r>
              <w:t>- Luật Lực lượng tham gia bảo vệ an ninh trật tự ở cơ sở (Luật số 30/2023/QH15).</w:t>
            </w:r>
          </w:p>
          <w:p w:rsidR="00DC51FB" w:rsidRDefault="00DC51FB" w:rsidP="00613835">
            <w:pPr>
              <w:tabs>
                <w:tab w:val="left" w:pos="2490"/>
              </w:tabs>
              <w:jc w:val="both"/>
            </w:pPr>
            <w:r>
              <w:t>- Nghị định số 40/2024/NĐ-CP ngày 16/4/2024 của Chính phủ quy định chi tiết một số điều của Luật Lực lượng tham gia bảo vệ an ninh, trật tự ở cơ sở.</w:t>
            </w:r>
          </w:p>
          <w:p w:rsidR="00DC51FB" w:rsidRDefault="00DC51FB" w:rsidP="00613835">
            <w:pPr>
              <w:tabs>
                <w:tab w:val="left" w:pos="2490"/>
              </w:tabs>
              <w:jc w:val="both"/>
            </w:pPr>
            <w:r>
              <w:t>- Nghị định số 184/2025/NĐ-CP ngày 01/7/2025 của Chính phủ quy định phân định thẩm quyền khi tổ chức chính quyền địa phương 02 cấp và sửa đổi, bổ sung một số điều của các Nghị định của Chính phủ trong lĩnh vực an ninh, trật tự.</w:t>
            </w:r>
          </w:p>
        </w:tc>
      </w:tr>
    </w:tbl>
    <w:p w:rsidR="00DF0321" w:rsidRPr="00DF0321" w:rsidRDefault="00DF0321" w:rsidP="00DF0321">
      <w:pPr>
        <w:tabs>
          <w:tab w:val="left" w:pos="2490"/>
        </w:tabs>
      </w:pPr>
    </w:p>
    <w:sectPr w:rsidR="00DF0321" w:rsidRPr="00DF0321" w:rsidSect="00B9422C">
      <w:headerReference w:type="default" r:id="rId6"/>
      <w:pgSz w:w="16834" w:h="11909" w:orient="landscape" w:code="9"/>
      <w:pgMar w:top="851" w:right="851"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B78" w:rsidRDefault="00AC4B78" w:rsidP="00B9422C">
      <w:pPr>
        <w:spacing w:after="0" w:line="240" w:lineRule="auto"/>
      </w:pPr>
      <w:r>
        <w:separator/>
      </w:r>
    </w:p>
  </w:endnote>
  <w:endnote w:type="continuationSeparator" w:id="0">
    <w:p w:rsidR="00AC4B78" w:rsidRDefault="00AC4B78" w:rsidP="00B9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B78" w:rsidRDefault="00AC4B78" w:rsidP="00B9422C">
      <w:pPr>
        <w:spacing w:after="0" w:line="240" w:lineRule="auto"/>
      </w:pPr>
      <w:r>
        <w:separator/>
      </w:r>
    </w:p>
  </w:footnote>
  <w:footnote w:type="continuationSeparator" w:id="0">
    <w:p w:rsidR="00AC4B78" w:rsidRDefault="00AC4B78" w:rsidP="00B94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41688"/>
      <w:docPartObj>
        <w:docPartGallery w:val="Page Numbers (Top of Page)"/>
        <w:docPartUnique/>
      </w:docPartObj>
    </w:sdtPr>
    <w:sdtEndPr/>
    <w:sdtContent>
      <w:p w:rsidR="00B9422C" w:rsidRDefault="00D44E26">
        <w:pPr>
          <w:pStyle w:val="Header"/>
          <w:jc w:val="center"/>
        </w:pPr>
        <w:r>
          <w:fldChar w:fldCharType="begin"/>
        </w:r>
        <w:r>
          <w:instrText xml:space="preserve"> PAGE   \* MERGEFORMAT </w:instrText>
        </w:r>
        <w:r>
          <w:fldChar w:fldCharType="separate"/>
        </w:r>
        <w:r w:rsidR="00FE6695">
          <w:rPr>
            <w:noProof/>
          </w:rPr>
          <w:t>2</w:t>
        </w:r>
        <w:r>
          <w:rPr>
            <w:noProof/>
          </w:rPr>
          <w:fldChar w:fldCharType="end"/>
        </w:r>
      </w:p>
    </w:sdtContent>
  </w:sdt>
  <w:p w:rsidR="00B9422C" w:rsidRDefault="00B94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21"/>
    <w:rsid w:val="00096330"/>
    <w:rsid w:val="001D73C7"/>
    <w:rsid w:val="00201D79"/>
    <w:rsid w:val="002F6584"/>
    <w:rsid w:val="005F32FB"/>
    <w:rsid w:val="00613835"/>
    <w:rsid w:val="007D283F"/>
    <w:rsid w:val="00817E98"/>
    <w:rsid w:val="008B0A63"/>
    <w:rsid w:val="008F1086"/>
    <w:rsid w:val="00936B7E"/>
    <w:rsid w:val="00AC4B78"/>
    <w:rsid w:val="00B9422C"/>
    <w:rsid w:val="00D36474"/>
    <w:rsid w:val="00D44E26"/>
    <w:rsid w:val="00DB0CEB"/>
    <w:rsid w:val="00DC51FB"/>
    <w:rsid w:val="00DF0321"/>
    <w:rsid w:val="00EF2E91"/>
    <w:rsid w:val="00FE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56B5E-7203-4F49-BDB4-B191A9A7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22C"/>
  </w:style>
  <w:style w:type="paragraph" w:styleId="Footer">
    <w:name w:val="footer"/>
    <w:basedOn w:val="Normal"/>
    <w:link w:val="FooterChar"/>
    <w:uiPriority w:val="99"/>
    <w:semiHidden/>
    <w:unhideWhenUsed/>
    <w:rsid w:val="00B942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MyPC</cp:lastModifiedBy>
  <cp:revision>3</cp:revision>
  <cp:lastPrinted>2025-11-03T07:50:00Z</cp:lastPrinted>
  <dcterms:created xsi:type="dcterms:W3CDTF">2025-11-05T07:46:00Z</dcterms:created>
  <dcterms:modified xsi:type="dcterms:W3CDTF">2025-11-05T07:55:00Z</dcterms:modified>
</cp:coreProperties>
</file>