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459" w:type="dxa"/>
        <w:tblLook w:val="04A0" w:firstRow="1" w:lastRow="0" w:firstColumn="1" w:lastColumn="0" w:noHBand="0" w:noVBand="1"/>
      </w:tblPr>
      <w:tblGrid>
        <w:gridCol w:w="4253"/>
        <w:gridCol w:w="5812"/>
      </w:tblGrid>
      <w:tr>
        <w:trPr>
          <w:trHeight w:val="1985"/>
        </w:trPr>
        <w:tc>
          <w:tcPr>
            <w:tcW w:w="4253" w:type="dxa"/>
          </w:tcPr>
          <w:p>
            <w:pPr>
              <w:pStyle w:val="Heading1"/>
              <w:ind w:right="-108" w:hanging="90"/>
              <w:jc w:val="center"/>
              <w:rPr>
                <w:rFonts w:ascii="Times New Roman" w:hAnsi="Times New Roman"/>
                <w:b/>
                <w:bCs/>
                <w:sz w:val="26"/>
                <w:szCs w:val="26"/>
                <w:lang w:val="en-US"/>
              </w:rPr>
            </w:pPr>
            <w:r>
              <w:rPr>
                <w:rFonts w:ascii="Times New Roman" w:hAnsi="Times New Roman"/>
                <w:b/>
                <w:bCs/>
                <w:sz w:val="26"/>
                <w:szCs w:val="26"/>
                <w:lang w:val="en-US"/>
              </w:rPr>
              <w:t xml:space="preserve"> ỦY BAN NHÂN DÂN</w:t>
            </w:r>
          </w:p>
          <w:p>
            <w:pPr>
              <w:pStyle w:val="Heading1"/>
              <w:ind w:right="-108" w:hanging="90"/>
              <w:jc w:val="center"/>
              <w:rPr>
                <w:rFonts w:ascii="Times New Roman" w:hAnsi="Times New Roman"/>
                <w:b/>
                <w:bCs/>
                <w:sz w:val="26"/>
                <w:szCs w:val="26"/>
              </w:rPr>
            </w:pPr>
            <w:r>
              <w:rPr>
                <w:rFonts w:ascii="Times New Roman" w:hAnsi="Times New Roman"/>
                <w:b/>
                <w:bCs/>
                <w:sz w:val="26"/>
                <w:szCs w:val="26"/>
              </w:rPr>
              <w:t>THÀNH PHỐ HẢI PHÒNG</w:t>
            </w:r>
          </w:p>
          <w:p>
            <w:pPr>
              <w:jc w:val="center"/>
              <w:rPr>
                <w:sz w:val="26"/>
                <w:szCs w:val="26"/>
              </w:rPr>
            </w:pPr>
            <w:r>
              <w:rPr>
                <w:noProof/>
              </w:rPr>
              <mc:AlternateContent>
                <mc:Choice Requires="wps">
                  <w:drawing>
                    <wp:anchor distT="0" distB="0" distL="114300" distR="114300" simplePos="0" relativeHeight="251664384" behindDoc="0" locked="0" layoutInCell="1" allowOverlap="1">
                      <wp:simplePos x="0" y="0"/>
                      <wp:positionH relativeFrom="column">
                        <wp:posOffset>648335</wp:posOffset>
                      </wp:positionH>
                      <wp:positionV relativeFrom="paragraph">
                        <wp:posOffset>41275</wp:posOffset>
                      </wp:positionV>
                      <wp:extent cx="996950"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996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1.05pt,3.25pt" to="129.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iCJtQEAALYDAAAOAAAAZHJzL2Uyb0RvYy54bWysU8GOEzEMvSPxD1HudKa7YkVHne6hK7gg&#10;qFj4gGzG6UQkceSETvv3OGk7iwAhhLh44uQ928/2rO+P3okDULIYerlctFJA0DjYsO/ll89vX72R&#10;ImUVBuUwQC9PkOT95uWL9RQ7uMER3QAkOEhI3RR7OeYcu6ZJegSv0gIjBH40SF5ldmnfDKQmju5d&#10;c9O2d82ENERCDSnx7cP5UW5qfGNA54/GJMjC9ZJry9VStU/FNpu16vak4mj1pQz1D1V4ZQMnnUM9&#10;qKzEN7K/hPJWEyY0eaHRN2iM1VA1sJpl+5Oax1FFqFq4OSnObUr/L6z+cNiRsEMvb6UIyvOIHjMp&#10;ux+z2GII3EAkcVv6NMXUMXwbdnTxUtxREX005MuX5Yhj7e1p7i0cs9B8uVrdrV7zBPT1qXnmRUr5&#10;HaAX5dBLZ0NRrTp1eJ8y52LoFcJOqeOcuZ7yyUEBu/AJDCvhXMvKrjsEW0fioHj6w9dlUcGxKrJQ&#10;jHVuJrV/Jl2whQZ1r/6WOKNrRgx5JnobkH6XNR+vpZoz/qr6rLXIfsLhVOdQ28HLUZVdFrls349+&#10;pT//bpvvAAAA//8DAFBLAwQUAAYACAAAACEAEByRTdoAAAAHAQAADwAAAGRycy9kb3ducmV2Lnht&#10;bEyOTU/DMBBE70j8B2uRuFGnkfoV4lRVgRMcQtpDj268JFHjdRS7SeDXs3CB49OMZl66nWwrBux9&#10;40jBfBaBQCqdaahScDy8PKxB+KDJ6NYRKvhED9vs9ibViXEjveNQhErwCPlEK6hD6BIpfVmj1X7m&#10;OiTOPlxvdWDsK2l6PfK4bWUcRUtpdUP8UOsO9zWWl+JqFayeX4u8G5/evnK5knk+uLC+nJS6v5t2&#10;jyACTuGvDD/6rA4ZO53dlYwXLXMUz7mqYLkAwXm82DCff1lmqfzvn30DAAD//wMAUEsBAi0AFAAG&#10;AAgAAAAhALaDOJL+AAAA4QEAABMAAAAAAAAAAAAAAAAAAAAAAFtDb250ZW50X1R5cGVzXS54bWxQ&#10;SwECLQAUAAYACAAAACEAOP0h/9YAAACUAQAACwAAAAAAAAAAAAAAAAAvAQAAX3JlbHMvLnJlbHNQ&#10;SwECLQAUAAYACAAAACEAvC4gibUBAAC2AwAADgAAAAAAAAAAAAAAAAAuAgAAZHJzL2Uyb0RvYy54&#10;bWxQSwECLQAUAAYACAAAACEAEByRTdoAAAAHAQAADwAAAAAAAAAAAAAAAAAPBAAAZHJzL2Rvd25y&#10;ZXYueG1sUEsFBgAAAAAEAAQA8wAAABYFAAAAAA==&#10;" strokecolor="black [3040]"/>
                  </w:pict>
                </mc:Fallback>
              </mc:AlternateContent>
            </w:r>
            <w:r>
              <w:softHyphen/>
            </w:r>
            <w:r>
              <w:softHyphen/>
            </w:r>
            <w:r>
              <w:softHyphen/>
            </w:r>
            <w:r>
              <w:softHyphen/>
            </w:r>
            <w:r>
              <w:softHyphen/>
            </w:r>
            <w:r>
              <w:softHyphen/>
            </w:r>
            <w:r>
              <w:softHyphen/>
            </w:r>
            <w:r>
              <w:softHyphen/>
            </w:r>
            <w:r>
              <w:softHyphen/>
            </w:r>
            <w:r>
              <w:softHyphen/>
            </w:r>
          </w:p>
          <w:p>
            <w:pPr>
              <w:jc w:val="center"/>
              <w:rPr>
                <w:sz w:val="26"/>
                <w:szCs w:val="26"/>
              </w:rPr>
            </w:pPr>
            <w:r>
              <w:rPr>
                <w:sz w:val="26"/>
                <w:szCs w:val="26"/>
              </w:rPr>
              <w:t>Số:           /TTr-UBND</w:t>
            </w:r>
          </w:p>
          <w:p>
            <w:pPr>
              <w:jc w:val="center"/>
              <w:rPr>
                <w:b/>
                <w:bCs/>
                <w:sz w:val="28"/>
                <w:szCs w:val="28"/>
              </w:rPr>
            </w:pPr>
            <w:r>
              <w:rPr>
                <w:b/>
                <w:bCs/>
                <w:sz w:val="28"/>
                <w:szCs w:val="28"/>
              </w:rPr>
              <w:t>(Dự thảo)</w:t>
            </w:r>
          </w:p>
        </w:tc>
        <w:tc>
          <w:tcPr>
            <w:tcW w:w="5812" w:type="dxa"/>
          </w:tcPr>
          <w:p>
            <w:pPr>
              <w:ind w:left="-108"/>
              <w:jc w:val="center"/>
              <w:rPr>
                <w:b/>
                <w:bCs/>
                <w:sz w:val="26"/>
                <w:szCs w:val="26"/>
              </w:rPr>
            </w:pPr>
            <w:r>
              <w:rPr>
                <w:b/>
                <w:bCs/>
                <w:sz w:val="26"/>
                <w:szCs w:val="26"/>
              </w:rPr>
              <w:t xml:space="preserve">   CỘNG HÒA XÃ HỘI CHỦ NGHĨA VIỆT </w:t>
            </w:r>
            <w:smartTag w:uri="urn:schemas-microsoft-com:office:smarttags" w:element="place">
              <w:smartTag w:uri="urn:schemas-microsoft-com:office:smarttags" w:element="country-region">
                <w:r>
                  <w:rPr>
                    <w:b/>
                    <w:bCs/>
                    <w:sz w:val="26"/>
                    <w:szCs w:val="26"/>
                  </w:rPr>
                  <w:t>NAM</w:t>
                </w:r>
              </w:smartTag>
            </w:smartTag>
          </w:p>
          <w:p>
            <w:pPr>
              <w:jc w:val="center"/>
              <w:rPr>
                <w:sz w:val="26"/>
                <w:szCs w:val="26"/>
              </w:rPr>
            </w:pPr>
            <w:r>
              <w:rPr>
                <w:b/>
                <w:bCs/>
                <w:sz w:val="26"/>
                <w:szCs w:val="26"/>
              </w:rPr>
              <w:t>Độc lập - Tự</w:t>
            </w:r>
            <w:r>
              <w:rPr>
                <w:sz w:val="26"/>
                <w:szCs w:val="26"/>
              </w:rPr>
              <w:t xml:space="preserve"> </w:t>
            </w:r>
            <w:r>
              <w:rPr>
                <w:b/>
                <w:bCs/>
                <w:sz w:val="26"/>
                <w:szCs w:val="26"/>
              </w:rPr>
              <w:t>do - Hạnh phúc</w:t>
            </w:r>
          </w:p>
          <w:p>
            <w:pPr>
              <w:jc w:val="center"/>
              <w:rPr>
                <w:iCs/>
                <w:sz w:val="28"/>
                <w:szCs w:val="28"/>
              </w:rPr>
            </w:pPr>
            <w:r>
              <w:rPr>
                <w:iCs/>
                <w:noProof/>
                <w:sz w:val="28"/>
                <w:szCs w:val="28"/>
              </w:rPr>
              <mc:AlternateContent>
                <mc:Choice Requires="wps">
                  <w:drawing>
                    <wp:anchor distT="0" distB="0" distL="114300" distR="114300" simplePos="0" relativeHeight="251659264" behindDoc="0" locked="0" layoutInCell="1" allowOverlap="1">
                      <wp:simplePos x="0" y="0"/>
                      <wp:positionH relativeFrom="column">
                        <wp:posOffset>796925</wp:posOffset>
                      </wp:positionH>
                      <wp:positionV relativeFrom="paragraph">
                        <wp:posOffset>22225</wp:posOffset>
                      </wp:positionV>
                      <wp:extent cx="19812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75pt,1.75pt" to="218.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16tAEAALcDAAAOAAAAZHJzL2Uyb0RvYy54bWysU8GOEzEMvSPxD1HudGZWK7SMOt1DV3BB&#10;ULHwAdmM04lI4sgJnfbvcdJ2FgFCCHHxxMl7tp/tWd8fvRMHoGQxDLJbtVJA0DjasB/kl89vX91J&#10;kbIKo3IYYJAnSPJ+8/LFeo493OCEbgQSHCSkfo6DnHKOfdMkPYFXaYURAj8aJK8yu7RvRlIzR/eu&#10;uWnb182MNEZCDSnx7cP5UW5qfGNA54/GJMjCDZJry9VStU/FNpu16vek4mT1pQz1D1V4ZQMnXUI9&#10;qKzEN7K/hPJWEyY0eaXRN2iM1VA1sJqu/UnN46QiVC3cnBSXNqX/F1Z/OOxI2HGQt1IE5XlEj5mU&#10;3U9ZbDEEbiCSuC19mmPqGb4NO7p4Ke6oiD4a8uXLcsSx9va09BaOWWi+7N7cdTwwKfT1rXkmRkr5&#10;HaAX5TBIZ0ORrXp1eJ8yJ2PoFcJOKeScup7yyUEBu/AJDEspySq7LhFsHYmD4vGPX7sig2NVZKEY&#10;69xCav9MumALDepi/S1xQdeMGPJC9DYg/S5rPl5LNWf8VfVZa5H9hOOpDqK2g7ejKrtsclm/H/1K&#10;f/7fNt8BAAD//wMAUEsDBBQABgAIAAAAIQBWLIa42wAAAAcBAAAPAAAAZHJzL2Rvd25yZXYueG1s&#10;TI7NTsMwEITvSH0Haytxo05bSqo0TlXxc4JDCBw4uvE2iRqvo9hNAk/PwgVOO6MZzX7pfrKtGLD3&#10;jSMFy0UEAql0pqFKwfvb080WhA+ajG4doYJP9LDPZlepTowb6RWHIlSCR8gnWkEdQpdI6csarfYL&#10;1yFxdnK91YFtX0nT65HHbStXUXQnrW6IP9S6w/say3NxsQrix+ci78aHl69cxjLPBxe25w+lrufT&#10;YQci4BT+yvCDz+iQMdPRXch40bJfbTZcVbDmw/ntOmZx/PUyS+V//uwbAAD//wMAUEsBAi0AFAAG&#10;AAgAAAAhALaDOJL+AAAA4QEAABMAAAAAAAAAAAAAAAAAAAAAAFtDb250ZW50X1R5cGVzXS54bWxQ&#10;SwECLQAUAAYACAAAACEAOP0h/9YAAACUAQAACwAAAAAAAAAAAAAAAAAvAQAAX3JlbHMvLnJlbHNQ&#10;SwECLQAUAAYACAAAACEA2XWNerQBAAC3AwAADgAAAAAAAAAAAAAAAAAuAgAAZHJzL2Uyb0RvYy54&#10;bWxQSwECLQAUAAYACAAAACEAViyGuNsAAAAHAQAADwAAAAAAAAAAAAAAAAAOBAAAZHJzL2Rvd25y&#10;ZXYueG1sUEsFBgAAAAAEAAQA8wAAABYFAAAAAA==&#10;" strokecolor="black [3040]"/>
                  </w:pict>
                </mc:Fallback>
              </mc:AlternateContent>
            </w:r>
          </w:p>
          <w:p>
            <w:pPr>
              <w:jc w:val="center"/>
              <w:rPr>
                <w:i/>
                <w:iCs/>
                <w:sz w:val="28"/>
                <w:szCs w:val="28"/>
              </w:rPr>
            </w:pPr>
            <w:r>
              <w:rPr>
                <w:i/>
                <w:iCs/>
                <w:sz w:val="28"/>
                <w:szCs w:val="28"/>
              </w:rPr>
              <w:t>Hải Phòng, ngày       tháng      năm 2025</w:t>
            </w:r>
          </w:p>
        </w:tc>
      </w:tr>
    </w:tbl>
    <w:p>
      <w:pPr>
        <w:pStyle w:val="Heading7"/>
        <w:rPr>
          <w:iCs/>
        </w:rPr>
      </w:pPr>
      <w:r>
        <w:rPr>
          <w:iCs/>
        </w:rPr>
        <w:t>TỜ TRÌNH</w:t>
      </w:r>
    </w:p>
    <w:p>
      <w:pPr>
        <w:tabs>
          <w:tab w:val="left" w:pos="567"/>
        </w:tabs>
        <w:jc w:val="center"/>
        <w:rPr>
          <w:b/>
          <w:sz w:val="28"/>
          <w:szCs w:val="28"/>
        </w:rPr>
      </w:pPr>
      <w:bookmarkStart w:id="0" w:name="_Hlk180830257"/>
      <w:r>
        <w:rPr>
          <w:b/>
          <w:sz w:val="28"/>
          <w:szCs w:val="28"/>
        </w:rPr>
        <w:t xml:space="preserve">Dự thảo </w:t>
      </w:r>
      <w:bookmarkEnd w:id="0"/>
      <w:r>
        <w:rPr>
          <w:b/>
          <w:sz w:val="28"/>
          <w:szCs w:val="28"/>
        </w:rPr>
        <w:t xml:space="preserve">Nghị quyết quy định chính sách hỗ trợ </w:t>
      </w:r>
    </w:p>
    <w:p>
      <w:pPr>
        <w:tabs>
          <w:tab w:val="left" w:pos="567"/>
        </w:tabs>
        <w:jc w:val="center"/>
        <w:rPr>
          <w:b/>
          <w:sz w:val="28"/>
          <w:szCs w:val="28"/>
        </w:rPr>
      </w:pPr>
      <w:r>
        <w:rPr>
          <w:b/>
          <w:sz w:val="28"/>
          <w:szCs w:val="28"/>
        </w:rPr>
        <w:t xml:space="preserve">mức đóng bảo hiểm y tế cho các nhóm đối tượng xã hội trên địa bàn </w:t>
      </w:r>
    </w:p>
    <w:p>
      <w:pPr>
        <w:tabs>
          <w:tab w:val="left" w:pos="567"/>
        </w:tabs>
        <w:jc w:val="center"/>
        <w:rPr>
          <w:b/>
          <w:sz w:val="28"/>
          <w:szCs w:val="28"/>
        </w:rPr>
      </w:pPr>
      <w:r>
        <w:rPr>
          <w:b/>
          <w:sz w:val="28"/>
          <w:szCs w:val="28"/>
        </w:rPr>
        <w:t>thành phố Hải Phòng</w:t>
      </w:r>
    </w:p>
    <w:p>
      <w:pPr>
        <w:pStyle w:val="Heading7"/>
        <w:rPr>
          <w:noProof/>
        </w:rPr>
      </w:pPr>
      <w:r>
        <w:rPr>
          <w:noProof/>
        </w:rPr>
        <mc:AlternateContent>
          <mc:Choice Requires="wps">
            <w:drawing>
              <wp:anchor distT="4294967291" distB="4294967291" distL="114300" distR="114300" simplePos="0" relativeHeight="251652096" behindDoc="0" locked="0" layoutInCell="1" allowOverlap="1">
                <wp:simplePos x="0" y="0"/>
                <wp:positionH relativeFrom="column">
                  <wp:posOffset>2370206</wp:posOffset>
                </wp:positionH>
                <wp:positionV relativeFrom="paragraph">
                  <wp:posOffset>25704</wp:posOffset>
                </wp:positionV>
                <wp:extent cx="993914" cy="7951"/>
                <wp:effectExtent l="0" t="0" r="34925" b="30480"/>
                <wp:wrapNone/>
                <wp:docPr id="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3914" cy="79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y;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6.65pt,2pt" to="264.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1IHAIAADUEAAAOAAAAZHJzL2Uyb0RvYy54bWysU8GO2jAQvVfqP1i5QxI2sCQirKoEeqFd&#10;pN32bmyHWHVsyzYEVPXfO3aAsu2lqpqDM/bMPL+ZeV48nTqBjsxYrmQZpeMkQkwSRbncl9GX1/Vo&#10;HiHrsKRYKMnK6Mxs9LR8/27R64JNVKsEZQYBiLRFr8uodU4XcWxJyzpsx0ozCc5GmQ472Jp9TA3u&#10;Ab0T8SRJZnGvDNVGEWYtnNaDM1oG/KZhxD03jWUOiTICbi6sJqw7v8bLBS72BuuWkwsN/A8sOswl&#10;XHqDqrHD6GD4H1AdJ0ZZ1bgxUV2smoYTFmqAatLkt2peWqxZqAWaY/WtTfb/wZLPx61BnMLsIiRx&#10;ByPacMnQbOZb02tbQEQlt8YXR07yRW8U+WaRVFWL5Z4Fiq9nDXmpz4jfpPiN1XDBrv+kKMTgg1Oh&#10;T6fGdKgRXH/1iR4ceoFOYTDn22DYySECh3n+kKdZhAi4HvPpcBMuPIhP1ca6j0x1yBtlJKCAAImP&#10;G+s8qV8hPlyqNRciTF5I1AP8dDINCVYJTr3Th1mz31XCoCP22glfqBA892FGHSQNYC3DdHWxHeZi&#10;sOFyIT0eFAN0LtYgju95kq/mq3k2yiaz1ShL6nr0YV1lo9k6fZzWD3VV1ekPTy3NipZTyqRndxVq&#10;mv2dEC5PZpDYTaq3NsRv0UO/gOz1H0iHufpRDqLYKXremuu8QZsh+PKOvPjv92Dfv/blTwAAAP//&#10;AwBQSwMEFAAGAAgAAAAhAHPYzcvcAAAABwEAAA8AAABkcnMvZG93bnJldi54bWxMj81OwzAQhO9I&#10;vIO1SNyoQ8xfQ5yqQsAFqRIlcHbiJYmw11HspuHtWU5w29GMZr8pN4t3YsYpDoE0XK4yEEhtsAN1&#10;Guq3p4s7EDEZssYFQg3fGGFTnZ6UprDhSK8471MnuIRiYTT0KY2FlLHt0Zu4CiMSe59h8iaxnDpp&#10;J3Pkcu9knmU30puB+ENvRnzosf3aH7yG7cfLo9rNjQ/Orrv63fo6e861Pj9btvcgEi7pLwy/+IwO&#10;FTM14UA2CqdB3SrFUQ1XPIn963zNUxo+FMiqlP/5qx8AAAD//wMAUEsBAi0AFAAGAAgAAAAhALaD&#10;OJL+AAAA4QEAABMAAAAAAAAAAAAAAAAAAAAAAFtDb250ZW50X1R5cGVzXS54bWxQSwECLQAUAAYA&#10;CAAAACEAOP0h/9YAAACUAQAACwAAAAAAAAAAAAAAAAAvAQAAX3JlbHMvLnJlbHNQSwECLQAUAAYA&#10;CAAAACEAqzQtSBwCAAA1BAAADgAAAAAAAAAAAAAAAAAuAgAAZHJzL2Uyb0RvYy54bWxQSwECLQAU&#10;AAYACAAAACEAc9jNy9wAAAAHAQAADwAAAAAAAAAAAAAAAAB2BAAAZHJzL2Rvd25yZXYueG1sUEsF&#10;BgAAAAAEAAQA8wAAAH8FAAAAAA==&#10;"/>
            </w:pict>
          </mc:Fallback>
        </mc:AlternateContent>
      </w:r>
      <w:r>
        <w:rPr>
          <w:noProof/>
        </w:rPr>
        <w:t xml:space="preserve">                                            </w:t>
      </w:r>
    </w:p>
    <w:p>
      <w:pPr>
        <w:spacing w:before="240" w:after="240"/>
        <w:jc w:val="center"/>
        <w:rPr>
          <w:b/>
          <w:sz w:val="28"/>
          <w:szCs w:val="28"/>
        </w:rPr>
      </w:pPr>
      <w:r>
        <w:rPr>
          <w:iCs/>
          <w:sz w:val="28"/>
          <w:szCs w:val="28"/>
        </w:rPr>
        <w:t>Kính gửi: Trường trực Hội đồng nhân dân thành phố</w:t>
      </w:r>
    </w:p>
    <w:p>
      <w:pPr>
        <w:spacing w:before="60" w:after="60" w:line="360" w:lineRule="exact"/>
        <w:ind w:firstLine="720"/>
        <w:jc w:val="both"/>
        <w:rPr>
          <w:iCs/>
          <w:spacing w:val="-2"/>
          <w:sz w:val="28"/>
          <w:szCs w:val="28"/>
        </w:rPr>
      </w:pPr>
      <w:r>
        <w:rPr>
          <w:spacing w:val="-2"/>
          <w:sz w:val="28"/>
          <w:szCs w:val="28"/>
        </w:rPr>
        <w:t>Căn cứ Luật Tổ chức chính quyền địa phương số 72/2025/QH15;</w:t>
      </w:r>
    </w:p>
    <w:p>
      <w:pPr>
        <w:spacing w:before="60" w:after="60" w:line="360" w:lineRule="exact"/>
        <w:ind w:firstLine="720"/>
        <w:jc w:val="both"/>
        <w:rPr>
          <w:sz w:val="28"/>
          <w:szCs w:val="28"/>
        </w:rPr>
      </w:pPr>
      <w:r>
        <w:rPr>
          <w:sz w:val="28"/>
          <w:szCs w:val="28"/>
        </w:rPr>
        <w:t>Căn cứ Luật Ban hành văn bản quy phạm pháp luật ngày 19/02/2025;</w:t>
      </w:r>
    </w:p>
    <w:p>
      <w:pPr>
        <w:spacing w:before="60" w:after="60" w:line="360" w:lineRule="exact"/>
        <w:ind w:firstLine="720"/>
        <w:jc w:val="both"/>
        <w:rPr>
          <w:sz w:val="28"/>
          <w:szCs w:val="28"/>
        </w:rPr>
      </w:pPr>
      <w:r>
        <w:rPr>
          <w:sz w:val="28"/>
          <w:szCs w:val="28"/>
        </w:rPr>
        <w:t>Căn cứ Luật sửa đổi, bổ sung một số điều của Luật ban hành văn bản quy phạm pháp luật ngày 25/6/2025;</w:t>
      </w:r>
    </w:p>
    <w:p>
      <w:pPr>
        <w:pStyle w:val="Vnbnnidung20"/>
        <w:spacing w:before="60" w:after="60" w:line="360" w:lineRule="exact"/>
        <w:jc w:val="both"/>
        <w:rPr>
          <w:spacing w:val="-4"/>
          <w:sz w:val="28"/>
          <w:szCs w:val="28"/>
        </w:rPr>
      </w:pPr>
      <w:r>
        <w:rPr>
          <w:spacing w:val="-4"/>
          <w:sz w:val="28"/>
          <w:szCs w:val="28"/>
        </w:rPr>
        <w:t xml:space="preserve">Căn cứ Luật Ngân sách Nhà nước số 89/2025/QH15; </w:t>
      </w:r>
    </w:p>
    <w:p>
      <w:pPr>
        <w:pStyle w:val="Vnbnnidung20"/>
        <w:tabs>
          <w:tab w:val="left" w:pos="987"/>
        </w:tabs>
        <w:spacing w:before="60" w:after="60" w:line="360" w:lineRule="exact"/>
        <w:jc w:val="both"/>
        <w:rPr>
          <w:sz w:val="28"/>
          <w:szCs w:val="28"/>
        </w:rPr>
      </w:pPr>
      <w:r>
        <w:rPr>
          <w:spacing w:val="-4"/>
          <w:sz w:val="28"/>
          <w:szCs w:val="28"/>
        </w:rPr>
        <w:t xml:space="preserve">Căn cứ </w:t>
      </w:r>
      <w:r>
        <w:rPr>
          <w:sz w:val="28"/>
          <w:szCs w:val="28"/>
        </w:rPr>
        <w:t>Luật Bảo hiểm y tế ngày 28 tháng 11 năm 2008; Luật Bảo hiểm y tế sửa đổi, bổ sung ngày 27 tháng 11 năm 2024;</w:t>
      </w:r>
    </w:p>
    <w:p>
      <w:pPr>
        <w:pStyle w:val="Vnbnnidung20"/>
        <w:tabs>
          <w:tab w:val="left" w:pos="987"/>
        </w:tabs>
        <w:spacing w:before="60" w:after="60" w:line="360" w:lineRule="exact"/>
        <w:jc w:val="both"/>
        <w:rPr>
          <w:sz w:val="28"/>
          <w:szCs w:val="28"/>
        </w:rPr>
      </w:pPr>
      <w:r>
        <w:rPr>
          <w:spacing w:val="-4"/>
          <w:sz w:val="28"/>
          <w:szCs w:val="28"/>
        </w:rPr>
        <w:t>Căn cứ</w:t>
      </w:r>
      <w:r>
        <w:rPr>
          <w:sz w:val="28"/>
          <w:szCs w:val="28"/>
        </w:rPr>
        <w:t xml:space="preserve"> Luật Người cao tuổi ngày 23 tháng 11 năm 2009;</w:t>
      </w:r>
    </w:p>
    <w:p>
      <w:pPr>
        <w:tabs>
          <w:tab w:val="right" w:leader="dot" w:pos="8520"/>
        </w:tabs>
        <w:spacing w:before="60" w:after="60" w:line="360" w:lineRule="exact"/>
        <w:ind w:firstLine="720"/>
        <w:jc w:val="both"/>
        <w:rPr>
          <w:sz w:val="28"/>
          <w:szCs w:val="28"/>
        </w:rPr>
      </w:pPr>
      <w:r>
        <w:rPr>
          <w:sz w:val="28"/>
          <w:szCs w:val="28"/>
        </w:rPr>
        <w:t>Căn cứ Nghị quyết số 202/2025/QH15 ngày 12/6/2025 của Quốc hội về việc sắp xếp đơn vị hành chính cấp tỉnh;</w:t>
      </w:r>
    </w:p>
    <w:p>
      <w:pPr>
        <w:tabs>
          <w:tab w:val="right" w:leader="dot" w:pos="8520"/>
        </w:tabs>
        <w:spacing w:before="60" w:after="60" w:line="360" w:lineRule="exact"/>
        <w:ind w:firstLine="720"/>
        <w:jc w:val="both"/>
        <w:rPr>
          <w:sz w:val="28"/>
          <w:szCs w:val="28"/>
        </w:rPr>
      </w:pPr>
      <w:r>
        <w:rPr>
          <w:sz w:val="28"/>
          <w:szCs w:val="28"/>
        </w:rPr>
        <w:t xml:space="preserve">Căn cứ Nghị quyết </w:t>
      </w:r>
      <w:r>
        <w:rPr>
          <w:sz w:val="28"/>
          <w:szCs w:val="28"/>
          <w:lang w:val="nl-NL" w:eastAsia="en-GB"/>
        </w:rPr>
        <w:t>số 226/2025/QH15 về thí điểm</w:t>
      </w:r>
      <w:r>
        <w:rPr>
          <w:bCs/>
          <w:spacing w:val="-4"/>
          <w:sz w:val="28"/>
          <w:szCs w:val="28"/>
          <w:lang w:val="it-IT"/>
        </w:rPr>
        <w:t xml:space="preserve"> một số cơ chế, chính sách đặc thù phát triển thành phố Hải Phòng;</w:t>
      </w:r>
    </w:p>
    <w:p>
      <w:pPr>
        <w:tabs>
          <w:tab w:val="right" w:leader="dot" w:pos="8520"/>
        </w:tabs>
        <w:spacing w:before="60" w:after="60" w:line="360" w:lineRule="exact"/>
        <w:ind w:firstLine="720"/>
        <w:jc w:val="both"/>
        <w:rPr>
          <w:iCs/>
          <w:sz w:val="28"/>
          <w:szCs w:val="28"/>
          <w:lang w:val="nb-NO"/>
        </w:rPr>
      </w:pPr>
      <w:r>
        <w:rPr>
          <w:iCs/>
          <w:sz w:val="28"/>
          <w:szCs w:val="28"/>
          <w:lang w:val="nb-NO"/>
        </w:rPr>
        <w:t>Căn cứ Nghị định số 78/2025/NĐ-CP ngày 01/4/2025 của Chính phủ quy định chi tiết một số điều và biện pháp để tổ chức, hướng dẫn thi hành Luật ban hành văn bản quy phạm pháp luật;</w:t>
      </w:r>
    </w:p>
    <w:p>
      <w:pPr>
        <w:spacing w:before="60" w:after="60" w:line="360" w:lineRule="exact"/>
        <w:ind w:firstLine="720"/>
        <w:jc w:val="both"/>
        <w:rPr>
          <w:sz w:val="28"/>
          <w:szCs w:val="28"/>
        </w:rPr>
      </w:pPr>
      <w:bookmarkStart w:id="1" w:name="loai_1_name"/>
      <w:r>
        <w:rPr>
          <w:sz w:val="28"/>
          <w:szCs w:val="28"/>
        </w:rPr>
        <w:t>Căn cứ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bookmarkEnd w:id="1"/>
      <w:r>
        <w:rPr>
          <w:sz w:val="28"/>
          <w:szCs w:val="28"/>
        </w:rPr>
        <w:t>;</w:t>
      </w:r>
    </w:p>
    <w:p>
      <w:pPr>
        <w:pStyle w:val="Vnbnnidung20"/>
        <w:tabs>
          <w:tab w:val="left" w:pos="1006"/>
        </w:tabs>
        <w:spacing w:before="60" w:after="60" w:line="360" w:lineRule="exact"/>
        <w:jc w:val="both"/>
        <w:rPr>
          <w:iCs/>
          <w:sz w:val="28"/>
          <w:szCs w:val="28"/>
          <w:shd w:val="clear" w:color="auto" w:fill="FFFFFF"/>
        </w:rPr>
      </w:pPr>
      <w:r>
        <w:rPr>
          <w:sz w:val="28"/>
          <w:szCs w:val="28"/>
        </w:rPr>
        <w:t xml:space="preserve">Căn cứ Nghị định số 188/2025/NĐ-CP ngày 01 tháng 7 năm 2025 của Chính phủ </w:t>
      </w:r>
      <w:r>
        <w:rPr>
          <w:iCs/>
          <w:sz w:val="28"/>
          <w:szCs w:val="28"/>
          <w:shd w:val="clear" w:color="auto" w:fill="FFFFFF"/>
          <w:lang w:val="vi-VN"/>
        </w:rPr>
        <w:t>quy định chi tiết và hướng dẫn</w:t>
      </w:r>
      <w:r>
        <w:rPr>
          <w:iCs/>
          <w:sz w:val="28"/>
          <w:szCs w:val="28"/>
          <w:shd w:val="clear" w:color="auto" w:fill="FFFFFF"/>
        </w:rPr>
        <w:t xml:space="preserve"> thi hành một số </w:t>
      </w:r>
      <w:r>
        <w:rPr>
          <w:iCs/>
          <w:sz w:val="28"/>
          <w:szCs w:val="28"/>
          <w:shd w:val="clear" w:color="auto" w:fill="FFFFFF"/>
          <w:lang w:val="vi-VN"/>
        </w:rPr>
        <w:t>điều của Luật Bảo hiểm y tế</w:t>
      </w:r>
      <w:r>
        <w:rPr>
          <w:iCs/>
          <w:sz w:val="28"/>
          <w:szCs w:val="28"/>
          <w:shd w:val="clear" w:color="auto" w:fill="FFFFFF"/>
        </w:rPr>
        <w:t>;</w:t>
      </w:r>
    </w:p>
    <w:p>
      <w:pPr>
        <w:spacing w:before="60" w:after="60" w:line="360" w:lineRule="exact"/>
        <w:ind w:firstLine="720"/>
        <w:jc w:val="both"/>
        <w:rPr>
          <w:sz w:val="28"/>
          <w:szCs w:val="28"/>
        </w:rPr>
      </w:pPr>
      <w:r>
        <w:rPr>
          <w:sz w:val="28"/>
          <w:szCs w:val="28"/>
        </w:rPr>
        <w:t>Căn cứ Quyết định số 546/QĐ-TTg ngày 29/4/2022 của Thủ tướng Chính phủ về việc giao chỉ tiêu thực hiện bao phủ BHYT giai đoạn 2022-2025;</w:t>
      </w:r>
    </w:p>
    <w:p>
      <w:pPr>
        <w:pStyle w:val="Vnbnnidung20"/>
        <w:tabs>
          <w:tab w:val="left" w:pos="1002"/>
        </w:tabs>
        <w:spacing w:before="60" w:after="60" w:line="360" w:lineRule="exact"/>
        <w:jc w:val="both"/>
        <w:rPr>
          <w:sz w:val="28"/>
          <w:szCs w:val="28"/>
        </w:rPr>
      </w:pPr>
      <w:r>
        <w:rPr>
          <w:sz w:val="28"/>
          <w:szCs w:val="28"/>
        </w:rPr>
        <w:lastRenderedPageBreak/>
        <w:t xml:space="preserve">Căn cứ Nghị quyết số 09-NQ/ĐH ngày 15/10/2020 </w:t>
      </w:r>
      <w:r>
        <w:rPr>
          <w:rStyle w:val="Emphasis"/>
          <w:sz w:val="28"/>
          <w:szCs w:val="28"/>
        </w:rPr>
        <w:t>Đại hội Đảng bộ thành phố lần thứ XVI, nhiệm kỳ 2020 - 2025, xác định mục tiêu: “đời sống vật chất và tinh thần của Nhân dân được nâng cao”. “</w:t>
      </w:r>
      <w:r>
        <w:rPr>
          <w:sz w:val="28"/>
          <w:szCs w:val="28"/>
        </w:rPr>
        <w:t>Tiếp tục thực hiện thật tốt chủ trương đầu tư cho an sinh xã hội phải đi trước so với tốc độ phát triển kinh tế. Đến năm 2025 không còn hộ nghèo theo chuẩn quốc gia, tỷ lệ người dân tham gia bảo hiểm y tế đạt trên 95%.”</w:t>
      </w:r>
    </w:p>
    <w:p>
      <w:pPr>
        <w:pStyle w:val="Vnbnnidung20"/>
        <w:tabs>
          <w:tab w:val="left" w:pos="1002"/>
        </w:tabs>
        <w:spacing w:before="60" w:after="60" w:line="360" w:lineRule="exact"/>
        <w:jc w:val="both"/>
        <w:rPr>
          <w:sz w:val="28"/>
          <w:szCs w:val="28"/>
        </w:rPr>
      </w:pPr>
      <w:r>
        <w:rPr>
          <w:sz w:val="28"/>
          <w:szCs w:val="28"/>
        </w:rPr>
        <w:t>Căn cứ các Nghị quyết: số 11/2022/NQ-HĐND ngày 09/12/2022 quy định chính sách hỗ trợ đóng bảo hiểm y tế cho nhóm đối tượng xã hội trên địa bàn thành phố Hải Phòng; số 05/2024/NQ-HĐND ngày 19/7/2024 về việc sửa đổi, bổ sung một số điều của Nghị quyết số 11/2022/NQ-HĐND ngày 09/12/2022 của Hội đồng nhân dân thành phố quy định chính sách hỗ trợ đóng bảo hiểm y tế cho nhóm đối tượng xã hội trên địa bàn thành phố Hải Phòng; Nghị quyết số 16/2019/NQ-HĐND ngày 12/12/2019 về việc hỗ trợ mức đóng bảo hiểm y tế cho người cao tuổi và người thu gom rác trên địa bàn tỉnh Hải Dương; số 14/2020/NQ-HĐND ngày 24/12/2020 Quyết định hỗ trợ mức đóng bảo hiểm y tế và hỗ trợ bổ sung mức đóng bảo hiểm xã hội tự nguyện cho một số đối tượng trên địa bàn tỉnh Hải Dương; số 11/2021/NQ-HĐND ngày 08/12/2021 về điều chỉnh thời gian thực hiện hỗ trợ các đối tượng tham gia bảo hiểm y tế theo Nghị quyết số 14/2020/NQ-HĐND ngày 24/12/2020 Quyết định hỗ trợ mức đóng bảo hiểm y tế và hỗ trợ bổ sung mức đóng bảo hiểm xã hội tự nguyện cho một số đối tượng trên địa bàn tỉnh Hải Dương; số 19/2023/NQ-HĐND ngày 08/12/2023 của Hội đồng nhân dân tỉnh hỗ trợ mức đóng bảo hiểm y tế cho người cao tuổi từ đủ 77 tuổi đến dưới 80 tuổi trên địa bàn tỉnh Hải Dương; Nghị quyết số 11/2023/NQ-HĐND ngày 13/7/2023 của Hội đồng nhân dân tỉnh hỗ trợ mức đóng bảo hiểm y tế cho người cao tuổi từ đủ 65 tuổi đến dưới 70 tuổi trên địa bàn tỉnh Hải Dương.</w:t>
      </w:r>
    </w:p>
    <w:p>
      <w:pPr>
        <w:spacing w:line="360" w:lineRule="exact"/>
        <w:ind w:firstLine="720"/>
        <w:jc w:val="both"/>
        <w:rPr>
          <w:bCs/>
          <w:sz w:val="28"/>
          <w:szCs w:val="28"/>
        </w:rPr>
      </w:pPr>
      <w:r>
        <w:rPr>
          <w:sz w:val="28"/>
          <w:szCs w:val="28"/>
        </w:rPr>
        <w:t>Thực hiện quy định của Luật Ban hành văn bản quy phạm pháp luật, Uỷ ban nhân dân thành phố kính trình Thường trực Hội đồng nhân dân thành phố dự thảo Nghị quyết</w:t>
      </w:r>
      <w:r>
        <w:rPr>
          <w:bCs/>
          <w:sz w:val="28"/>
          <w:szCs w:val="28"/>
        </w:rPr>
        <w:t xml:space="preserve"> </w:t>
      </w:r>
      <w:r>
        <w:rPr>
          <w:sz w:val="28"/>
          <w:szCs w:val="28"/>
        </w:rPr>
        <w:t>quy định chính sách hỗ trợ mức đóng bảo hiểm y tế cho các nhóm đối tượng xã hội trên địa bàn thành phố Hải Phòng như sau:</w:t>
      </w:r>
    </w:p>
    <w:p>
      <w:pPr>
        <w:shd w:val="solid" w:color="FFFFFF" w:fill="auto"/>
        <w:spacing w:before="60" w:after="60" w:line="360" w:lineRule="exact"/>
        <w:ind w:right="28" w:firstLine="709"/>
        <w:jc w:val="both"/>
        <w:rPr>
          <w:b/>
          <w:spacing w:val="-6"/>
          <w:sz w:val="26"/>
          <w:szCs w:val="26"/>
          <w:lang w:val="nl-NL"/>
        </w:rPr>
      </w:pPr>
      <w:r>
        <w:rPr>
          <w:b/>
          <w:spacing w:val="-6"/>
          <w:sz w:val="26"/>
          <w:szCs w:val="26"/>
          <w:lang w:val="nl-NL"/>
        </w:rPr>
        <w:tab/>
        <w:t xml:space="preserve">I. SỰ CẦN THIẾT BAN HÀNH VĂN BẢN </w:t>
      </w:r>
    </w:p>
    <w:p>
      <w:pPr>
        <w:shd w:val="solid" w:color="FFFFFF" w:fill="auto"/>
        <w:spacing w:before="60" w:after="60" w:line="360" w:lineRule="exact"/>
        <w:ind w:right="28" w:firstLine="709"/>
        <w:jc w:val="both"/>
        <w:rPr>
          <w:b/>
          <w:spacing w:val="-6"/>
          <w:sz w:val="28"/>
          <w:szCs w:val="28"/>
          <w:lang w:val="nl-NL"/>
        </w:rPr>
      </w:pPr>
      <w:r>
        <w:rPr>
          <w:b/>
          <w:spacing w:val="-6"/>
          <w:sz w:val="28"/>
          <w:szCs w:val="28"/>
          <w:lang w:val="nl-NL"/>
        </w:rPr>
        <w:t>1. Cơ sở chính trị, pháp lý</w:t>
      </w:r>
    </w:p>
    <w:p>
      <w:pPr>
        <w:shd w:val="solid" w:color="FFFFFF" w:fill="auto"/>
        <w:spacing w:before="60" w:after="60" w:line="360" w:lineRule="exact"/>
        <w:ind w:right="28" w:firstLine="709"/>
        <w:jc w:val="both"/>
        <w:rPr>
          <w:sz w:val="28"/>
          <w:szCs w:val="28"/>
          <w:lang w:val="nl-NL"/>
        </w:rPr>
      </w:pPr>
      <w:r>
        <w:rPr>
          <w:sz w:val="28"/>
          <w:szCs w:val="28"/>
          <w:lang w:val="nl-NL"/>
        </w:rPr>
        <w:t xml:space="preserve">- Nghị Quyết số 45-NQ-TW ngày 24/01/2019 của Bộ Chính trị về xây dựng và phát triển thành phố Hải Phòng đến năm 2030, tầm nhìn đến năm 2045 có nêu: </w:t>
      </w:r>
      <w:r>
        <w:rPr>
          <w:i/>
          <w:sz w:val="28"/>
          <w:szCs w:val="28"/>
          <w:lang w:val="nl-NL"/>
        </w:rPr>
        <w:t>“Quán triệt và thực hiện nghiêm quan điểm phát triển bền vững với phương châm mọi người dân đều được hưởng thành quả phát triển, không ai bị bỏ lại phía sau...”</w:t>
      </w:r>
      <w:r>
        <w:rPr>
          <w:sz w:val="28"/>
          <w:szCs w:val="28"/>
          <w:lang w:val="nl-NL"/>
        </w:rPr>
        <w:t>;</w:t>
      </w:r>
    </w:p>
    <w:p>
      <w:pPr>
        <w:pStyle w:val="Vnbnnidung20"/>
        <w:tabs>
          <w:tab w:val="left" w:pos="1002"/>
        </w:tabs>
        <w:spacing w:before="60" w:after="60" w:line="360" w:lineRule="exact"/>
        <w:jc w:val="both"/>
        <w:rPr>
          <w:i/>
          <w:sz w:val="28"/>
          <w:szCs w:val="28"/>
        </w:rPr>
      </w:pPr>
      <w:r>
        <w:rPr>
          <w:sz w:val="28"/>
          <w:szCs w:val="28"/>
        </w:rPr>
        <w:t xml:space="preserve">- Nghị quyết số 09-NQ/ĐH ngày 15/10/2020 của </w:t>
      </w:r>
      <w:r>
        <w:rPr>
          <w:rStyle w:val="Emphasis"/>
          <w:i w:val="0"/>
          <w:iCs w:val="0"/>
          <w:sz w:val="28"/>
          <w:szCs w:val="28"/>
        </w:rPr>
        <w:t>Đại hội Đảng bộ thành phố lần thứ XVI, nhiệm kỳ 2020 - 2025, xác định mục tiêu</w:t>
      </w:r>
      <w:r>
        <w:rPr>
          <w:rStyle w:val="Emphasis"/>
          <w:sz w:val="28"/>
          <w:szCs w:val="28"/>
        </w:rPr>
        <w:t xml:space="preserve">: “đời sống vật chất </w:t>
      </w:r>
      <w:r>
        <w:rPr>
          <w:rStyle w:val="Emphasis"/>
          <w:sz w:val="28"/>
          <w:szCs w:val="28"/>
        </w:rPr>
        <w:lastRenderedPageBreak/>
        <w:t>và tinh thần của Nhân dân được nâng cao”. “</w:t>
      </w:r>
      <w:r>
        <w:rPr>
          <w:i/>
          <w:sz w:val="28"/>
          <w:szCs w:val="28"/>
        </w:rPr>
        <w:t>Tiếp tục thực hiện thật tốt chủ trương đầu tư cho an sinh xã hội phải đi trước so với tốc độ phát triển kinh tế. Đến năm 2025 không còn hộ nghèo theo chuẩn quốc gia, tỷ lệ người dân tham gia bảo hiểm y tế đạt trên 95%.”</w:t>
      </w:r>
    </w:p>
    <w:p>
      <w:pPr>
        <w:shd w:val="solid" w:color="FFFFFF" w:fill="auto"/>
        <w:spacing w:before="60" w:after="60" w:line="360" w:lineRule="exact"/>
        <w:ind w:right="28" w:firstLine="709"/>
        <w:jc w:val="both"/>
        <w:rPr>
          <w:sz w:val="28"/>
          <w:szCs w:val="28"/>
          <w:lang w:val="nl-NL"/>
        </w:rPr>
      </w:pPr>
      <w:bookmarkStart w:id="2" w:name="_Hlk101528975"/>
      <w:r>
        <w:rPr>
          <w:sz w:val="28"/>
          <w:szCs w:val="28"/>
          <w:lang w:val="nl-NL"/>
        </w:rPr>
        <w:t xml:space="preserve">- Tại điểm c, d khoản 1 Điều 15 Luật Tổ chức chính quyền địa phương năm 2025 quy định nhiệm vụ, quyền hạn của Hội đồng nhân dân cấp tỉnh: </w:t>
      </w:r>
    </w:p>
    <w:p>
      <w:pPr>
        <w:spacing w:before="60" w:after="60" w:line="360" w:lineRule="exact"/>
        <w:ind w:firstLine="720"/>
        <w:jc w:val="both"/>
        <w:rPr>
          <w:sz w:val="28"/>
          <w:szCs w:val="28"/>
          <w:lang w:val="nl-NL"/>
        </w:rPr>
      </w:pPr>
      <w:r>
        <w:rPr>
          <w:i/>
          <w:sz w:val="28"/>
          <w:szCs w:val="28"/>
          <w:lang w:val="nl-NL"/>
        </w:rPr>
        <w:t>“...Quyết định các chế độ chi ngân sách đối với một số nhiệm vụ chi có tính chất đặc thù ở địa phương theo quy định Luật Ngân sách nhà nước”</w:t>
      </w:r>
      <w:r>
        <w:rPr>
          <w:sz w:val="28"/>
          <w:szCs w:val="28"/>
          <w:lang w:val="nl-NL"/>
        </w:rPr>
        <w:t xml:space="preserve">; </w:t>
      </w:r>
    </w:p>
    <w:p>
      <w:pPr>
        <w:spacing w:before="60" w:after="60" w:line="360" w:lineRule="exact"/>
        <w:ind w:firstLine="720"/>
        <w:jc w:val="both"/>
        <w:rPr>
          <w:i/>
          <w:sz w:val="28"/>
          <w:szCs w:val="28"/>
        </w:rPr>
      </w:pPr>
      <w:r>
        <w:rPr>
          <w:i/>
          <w:sz w:val="28"/>
          <w:szCs w:val="28"/>
        </w:rPr>
        <w:t xml:space="preserve">“Ban hành Nghị quyết về những vấn đề thuộc nhiệm vụ, quyền hạn của Hội đồng nhân dân cấp mình; ...”. </w:t>
      </w:r>
    </w:p>
    <w:p>
      <w:pPr>
        <w:spacing w:before="60" w:after="60" w:line="360" w:lineRule="exact"/>
        <w:ind w:firstLine="720"/>
        <w:jc w:val="both"/>
        <w:rPr>
          <w:iCs/>
          <w:sz w:val="28"/>
          <w:szCs w:val="28"/>
        </w:rPr>
      </w:pPr>
      <w:r>
        <w:rPr>
          <w:iCs/>
          <w:sz w:val="28"/>
          <w:szCs w:val="28"/>
        </w:rPr>
        <w:t xml:space="preserve">- Tại điểm a, điểm c khoản 7 Điều 15 Luật Tổ chức chính quyền địa phương số 72/2025/QH15 quy định nhiệm vụ, quyền hạn của Hội đồng nhân dân cấp tỉnh trong </w:t>
      </w:r>
      <w:r>
        <w:rPr>
          <w:iCs/>
          <w:sz w:val="28"/>
          <w:szCs w:val="28"/>
          <w:lang w:val="vi-VN"/>
        </w:rPr>
        <w:t>lĩnh vực giáo dục, y tế</w:t>
      </w:r>
      <w:r>
        <w:rPr>
          <w:iCs/>
          <w:sz w:val="28"/>
          <w:szCs w:val="28"/>
        </w:rPr>
        <w:t>,</w:t>
      </w:r>
      <w:r>
        <w:rPr>
          <w:iCs/>
          <w:sz w:val="28"/>
          <w:szCs w:val="28"/>
          <w:lang w:val="vi-VN"/>
        </w:rPr>
        <w:t> </w:t>
      </w:r>
      <w:r>
        <w:rPr>
          <w:iCs/>
          <w:sz w:val="28"/>
          <w:szCs w:val="28"/>
        </w:rPr>
        <w:t>lao động như sau:</w:t>
      </w:r>
    </w:p>
    <w:p>
      <w:pPr>
        <w:spacing w:before="60" w:after="60" w:line="360" w:lineRule="exact"/>
        <w:ind w:firstLine="720"/>
        <w:jc w:val="both"/>
        <w:rPr>
          <w:i/>
          <w:iCs/>
          <w:sz w:val="28"/>
          <w:szCs w:val="28"/>
        </w:rPr>
      </w:pPr>
      <w:r>
        <w:rPr>
          <w:i/>
          <w:iCs/>
          <w:sz w:val="28"/>
          <w:szCs w:val="28"/>
        </w:rPr>
        <w:t>“</w:t>
      </w:r>
      <w:r>
        <w:rPr>
          <w:i/>
          <w:iCs/>
          <w:sz w:val="28"/>
          <w:szCs w:val="28"/>
          <w:lang w:val="vi-VN"/>
        </w:rPr>
        <w:t>a) Quyết định chính sách, biện pháp về phát triển sự nghiệp giáo dục, y tế, bảo</w:t>
      </w:r>
      <w:r>
        <w:rPr>
          <w:i/>
          <w:iCs/>
          <w:sz w:val="28"/>
          <w:szCs w:val="28"/>
        </w:rPr>
        <w:t> đảm</w:t>
      </w:r>
      <w:r>
        <w:rPr>
          <w:i/>
          <w:iCs/>
          <w:sz w:val="28"/>
          <w:szCs w:val="28"/>
          <w:lang w:val="vi-VN"/>
        </w:rPr>
        <w:t> an sinh xã hội của địa phương theo quy định của pháp luật;</w:t>
      </w:r>
    </w:p>
    <w:p>
      <w:pPr>
        <w:spacing w:before="60" w:after="60" w:line="360" w:lineRule="exact"/>
        <w:ind w:firstLine="720"/>
        <w:jc w:val="both"/>
        <w:rPr>
          <w:i/>
          <w:iCs/>
          <w:sz w:val="28"/>
          <w:szCs w:val="28"/>
        </w:rPr>
      </w:pPr>
      <w:r>
        <w:rPr>
          <w:i/>
          <w:iCs/>
          <w:sz w:val="28"/>
          <w:szCs w:val="28"/>
          <w:lang w:val="vi-VN"/>
        </w:rPr>
        <w:t>c) Quyết định chính sách, biện pháp bảo vệ, chăm sóc sức khỏe nhân dân; bảo vệ và chăm sóc trẻ em, người cao tuổi, người khuyết tật, người nghèo, trẻ mồ côi không nơi nương tựa và </w:t>
      </w:r>
      <w:r>
        <w:rPr>
          <w:i/>
          <w:iCs/>
          <w:sz w:val="28"/>
          <w:szCs w:val="28"/>
        </w:rPr>
        <w:t>các đối tượng chính sách</w:t>
      </w:r>
      <w:r>
        <w:rPr>
          <w:i/>
          <w:iCs/>
          <w:sz w:val="28"/>
          <w:szCs w:val="28"/>
          <w:lang w:val="vi-VN"/>
        </w:rPr>
        <w:t> khác</w:t>
      </w:r>
      <w:r>
        <w:rPr>
          <w:i/>
          <w:iCs/>
          <w:sz w:val="28"/>
          <w:szCs w:val="28"/>
        </w:rPr>
        <w:t> tại địa phương”.</w:t>
      </w:r>
    </w:p>
    <w:p>
      <w:pPr>
        <w:shd w:val="solid" w:color="FFFFFF" w:fill="auto"/>
        <w:spacing w:before="60" w:after="60" w:line="360" w:lineRule="exact"/>
        <w:ind w:right="28" w:firstLine="709"/>
        <w:jc w:val="both"/>
        <w:rPr>
          <w:i/>
          <w:spacing w:val="-4"/>
          <w:sz w:val="28"/>
          <w:szCs w:val="28"/>
          <w:lang w:val="nl-NL"/>
        </w:rPr>
      </w:pPr>
      <w:r>
        <w:rPr>
          <w:spacing w:val="-4"/>
          <w:sz w:val="28"/>
          <w:szCs w:val="28"/>
          <w:lang w:val="nl-NL"/>
        </w:rPr>
        <w:t xml:space="preserve">- Tại điểm h khoản 9 Điều 30 Luật Ngân sách Nhà nước năm 2015 quy định nhiệm vụ, quyền hạn của Hội đồng nhân dân các cấp: </w:t>
      </w:r>
      <w:r>
        <w:rPr>
          <w:i/>
          <w:spacing w:val="-4"/>
          <w:sz w:val="28"/>
          <w:szCs w:val="28"/>
          <w:lang w:val="nl-NL"/>
        </w:rPr>
        <w:t>“Quyết định các chế độ chi ngân sách đối với một số nhiệm vụ chi có tính chất đặc thù ở địa phương ngoài chế độ, tiêu chuẩn, định mức chi ngân sách do Chính phủ, Bộ trưởng Bộ Tài chính ban hành để thực hiện nhiệm vụ phát triển kinh tế xã hội, đảm bảo trật tự an toàn xã hội trên địa bàn phù hợp với khả năng cân đối ngân sách của địa phương”</w:t>
      </w:r>
      <w:r>
        <w:rPr>
          <w:spacing w:val="-4"/>
          <w:sz w:val="28"/>
          <w:szCs w:val="28"/>
          <w:lang w:val="nl-NL"/>
        </w:rPr>
        <w:t>;</w:t>
      </w:r>
    </w:p>
    <w:bookmarkEnd w:id="2"/>
    <w:p>
      <w:pPr>
        <w:tabs>
          <w:tab w:val="left" w:pos="0"/>
          <w:tab w:val="left" w:pos="851"/>
        </w:tabs>
        <w:spacing w:before="60" w:after="60" w:line="360" w:lineRule="exact"/>
        <w:ind w:firstLine="720"/>
        <w:jc w:val="both"/>
        <w:rPr>
          <w:i/>
          <w:iCs/>
          <w:sz w:val="28"/>
          <w:szCs w:val="28"/>
        </w:rPr>
      </w:pPr>
      <w:r>
        <w:rPr>
          <w:iCs/>
          <w:sz w:val="28"/>
          <w:szCs w:val="28"/>
        </w:rPr>
        <w:t xml:space="preserve">- Khoản 1 Điều 8 Luật Ban hành văn bản quy phạm pháp luật </w:t>
      </w:r>
      <w:r>
        <w:rPr>
          <w:sz w:val="28"/>
          <w:szCs w:val="28"/>
        </w:rPr>
        <w:t>năm 2025 quy định:</w:t>
      </w:r>
      <w:r>
        <w:rPr>
          <w:sz w:val="28"/>
          <w:szCs w:val="28"/>
          <w:lang w:val="en"/>
        </w:rPr>
        <w:t xml:space="preserve"> “</w:t>
      </w:r>
      <w:r>
        <w:rPr>
          <w:i/>
          <w:sz w:val="28"/>
          <w:szCs w:val="28"/>
          <w:lang w:val="en"/>
        </w:rPr>
        <w:t>Văn b</w:t>
      </w:r>
      <w:r>
        <w:rPr>
          <w:i/>
          <w:sz w:val="28"/>
          <w:szCs w:val="28"/>
        </w:rPr>
        <w:t>ản quy phạm pháp luật chỉ được sửa đổi, bổ sung, thay thế bằng văn bản quy phạm pháp luật của chính cơ quan, người có thẩm quyền đã ban hành văn bản đó…”</w:t>
      </w:r>
    </w:p>
    <w:p>
      <w:pPr>
        <w:tabs>
          <w:tab w:val="left" w:pos="0"/>
          <w:tab w:val="left" w:pos="851"/>
        </w:tabs>
        <w:spacing w:before="60" w:after="60" w:line="360" w:lineRule="exact"/>
        <w:ind w:firstLine="720"/>
        <w:jc w:val="both"/>
        <w:rPr>
          <w:sz w:val="28"/>
          <w:szCs w:val="28"/>
        </w:rPr>
      </w:pPr>
      <w:r>
        <w:rPr>
          <w:iCs/>
          <w:sz w:val="28"/>
          <w:szCs w:val="28"/>
        </w:rPr>
        <w:t xml:space="preserve">- Theo điểm a, b khoản 1 Điều 21 Luật Ban hành văn bản quy phạm pháp luật </w:t>
      </w:r>
      <w:r>
        <w:rPr>
          <w:sz w:val="28"/>
          <w:szCs w:val="28"/>
        </w:rPr>
        <w:t xml:space="preserve">năm 2025 (được sửa đổi, bổ sung tại khoản 3 Điều 1 Luật sửa đổi, bổ sung một số điều của Luật ban hành văn bản quy phạm pháp luật), Hội đồng nhân dân thành phố ban hành Nghị quyết để quy định: </w:t>
      </w:r>
    </w:p>
    <w:p>
      <w:pPr>
        <w:tabs>
          <w:tab w:val="left" w:pos="0"/>
          <w:tab w:val="left" w:pos="851"/>
        </w:tabs>
        <w:spacing w:before="60" w:after="60" w:line="360" w:lineRule="exact"/>
        <w:ind w:firstLine="720"/>
        <w:jc w:val="both"/>
        <w:rPr>
          <w:i/>
          <w:sz w:val="28"/>
          <w:szCs w:val="28"/>
        </w:rPr>
      </w:pPr>
      <w:r>
        <w:rPr>
          <w:i/>
          <w:sz w:val="28"/>
          <w:szCs w:val="28"/>
        </w:rPr>
        <w:t xml:space="preserve">a) Chi tiết điều, khoản, điểm và các nội dung khác được giao trong văn bản quy phạm pháp luật của cơ quan nhà nước cấp trên; </w:t>
      </w:r>
    </w:p>
    <w:p>
      <w:pPr>
        <w:tabs>
          <w:tab w:val="left" w:pos="0"/>
          <w:tab w:val="left" w:pos="851"/>
        </w:tabs>
        <w:spacing w:before="60" w:after="60" w:line="360" w:lineRule="exact"/>
        <w:ind w:firstLine="720"/>
        <w:jc w:val="both"/>
        <w:rPr>
          <w:i/>
          <w:sz w:val="28"/>
          <w:szCs w:val="28"/>
        </w:rPr>
      </w:pPr>
      <w:r>
        <w:rPr>
          <w:i/>
          <w:sz w:val="28"/>
          <w:szCs w:val="28"/>
        </w:rPr>
        <w:t>b) Chính sách, biện pháp nhằm bảo đảm thi hành Hiến pháp, luật, văn bản quy phạm pháp luật của cơ quan nhà nước cấp trên;</w:t>
      </w:r>
    </w:p>
    <w:p>
      <w:pPr>
        <w:tabs>
          <w:tab w:val="left" w:pos="567"/>
        </w:tabs>
        <w:spacing w:before="60" w:after="60" w:line="360" w:lineRule="exact"/>
        <w:jc w:val="both"/>
        <w:rPr>
          <w:b/>
          <w:spacing w:val="-6"/>
          <w:sz w:val="28"/>
          <w:szCs w:val="28"/>
          <w:lang w:val="nl-NL"/>
        </w:rPr>
      </w:pPr>
      <w:r>
        <w:rPr>
          <w:sz w:val="28"/>
          <w:szCs w:val="28"/>
          <w:lang w:val="it-IT"/>
        </w:rPr>
        <w:tab/>
      </w:r>
      <w:r>
        <w:rPr>
          <w:b/>
          <w:spacing w:val="-6"/>
          <w:sz w:val="28"/>
          <w:szCs w:val="28"/>
          <w:lang w:val="nl-NL"/>
        </w:rPr>
        <w:t xml:space="preserve">2. Cơ sở thực tiễn </w:t>
      </w:r>
    </w:p>
    <w:p>
      <w:pPr>
        <w:spacing w:before="60" w:after="60" w:line="360" w:lineRule="exact"/>
        <w:ind w:firstLine="720"/>
        <w:jc w:val="both"/>
        <w:rPr>
          <w:sz w:val="28"/>
          <w:szCs w:val="28"/>
          <w:lang w:val="nl-NL" w:eastAsia="en-GB"/>
        </w:rPr>
      </w:pPr>
      <w:r>
        <w:rPr>
          <w:sz w:val="28"/>
          <w:szCs w:val="28"/>
          <w:lang w:val="nl-NL" w:eastAsia="en-GB"/>
        </w:rPr>
        <w:lastRenderedPageBreak/>
        <w:t xml:space="preserve">Từ ngày 01/7/2025, việc hợp nhất thành phố Hải Phòng với tỉnh Hải Dương nên một số Nghị quyết quy định chính sách hỗ trợ mức đóng bảo hiểm y tế cho các nhóm đối tượng xã hội của thành phố Hải Phòng (cũ) và Tỉnh Hải Dương có sự chênh lệch về mức đóng, đối tượng được hỗ trợ không đồng đều, thời gian thực hiện khác nhau nên ảnh trực tiếp đến quyền lợi và chế độ, chính sách về bảo hiểm y tế của các đối tượng xã hội đang được hưởng trên địa bàn thành phố Hải Phòng (sau hợp nhất) cụ thể: Phía Đông thành phố người cao tuổi từ đủ 60 tuổi đến 79 tuổi không có lương hưu và trợ cấp xã hội được hỗ trợ 100% bảo hiểm y tế; Phía tây thành phố người cao tuổi từ đủ 65 đến dưới 77 tuổi được hỗ trợ 70% bảo hiểm y tế; từ 77 tuổi đến dưới 80 tuổi thì được hỗ trợ 100% bảo hiểm y tế; Phía đông thành phố hỗ trợ người nhiễm HIV, Hội viên Hội người mù được hỗ trợ 100% bảo hiểm y tế; Phía tây không hỗ trợ bảo hiểm y tế cho người nhiễm HIV, Hội viên Hội người mù; Phía đông thành phố không hỗ trợ bảo hiểm y tế cho </w:t>
      </w:r>
      <w:r>
        <w:rPr>
          <w:sz w:val="28"/>
          <w:szCs w:val="28"/>
        </w:rPr>
        <w:t>người thu gom rác tại các tổ thu gom rác thải ở các thôn, khu dân cư được UBND cấp xã xác nhậ</w:t>
      </w:r>
      <w:bookmarkStart w:id="3" w:name="_GoBack"/>
      <w:bookmarkEnd w:id="3"/>
      <w:r>
        <w:rPr>
          <w:sz w:val="28"/>
          <w:szCs w:val="28"/>
        </w:rPr>
        <w:t>n, Phía tây được hỗ trợ 70% bảo hiểm y tế cho người thu gom rác tại các tổ thu gom rác thải ở các thôn, khu dân cư được UBND cấp xã xác nhận.</w:t>
      </w:r>
    </w:p>
    <w:p>
      <w:pPr>
        <w:spacing w:before="60" w:after="60" w:line="360" w:lineRule="exact"/>
        <w:ind w:firstLine="720"/>
        <w:jc w:val="both"/>
        <w:rPr>
          <w:spacing w:val="-4"/>
          <w:sz w:val="28"/>
          <w:szCs w:val="28"/>
        </w:rPr>
      </w:pPr>
      <w:r>
        <w:rPr>
          <w:sz w:val="28"/>
          <w:szCs w:val="28"/>
        </w:rPr>
        <w:t xml:space="preserve">Xuất phát từ căn cứ chính trị, pháp lý và tình hình thực tiễn nêu trên, việc xây dựng </w:t>
      </w:r>
      <w:r>
        <w:rPr>
          <w:spacing w:val="-4"/>
          <w:sz w:val="28"/>
          <w:szCs w:val="28"/>
        </w:rPr>
        <w:t xml:space="preserve">Nghị quyết của Hội đồng nhân dân thành phố </w:t>
      </w:r>
      <w:r>
        <w:rPr>
          <w:bCs/>
          <w:sz w:val="28"/>
          <w:szCs w:val="28"/>
        </w:rPr>
        <w:t xml:space="preserve">quy định </w:t>
      </w:r>
      <w:r>
        <w:rPr>
          <w:sz w:val="28"/>
          <w:szCs w:val="28"/>
        </w:rPr>
        <w:t xml:space="preserve">chính sách hỗ trợ mức đóng bảo hiểm y tế cho các nhóm đối tượng xã hội trên địa bàn thành phố Hải Phòng </w:t>
      </w:r>
      <w:r>
        <w:rPr>
          <w:spacing w:val="-4"/>
          <w:sz w:val="28"/>
          <w:szCs w:val="28"/>
        </w:rPr>
        <w:t xml:space="preserve">để sớm được áp dụng thống nhất trên địa bàn thành phố là rất cần thiết trong tình hình thực tiễn hiện nay. </w:t>
      </w:r>
      <w:r>
        <w:rPr>
          <w:bCs/>
          <w:sz w:val="28"/>
          <w:szCs w:val="28"/>
        </w:rPr>
        <w:t>Qua đó, thể hiện sự quan tâm của thành phố với các đối tượng xã hội góp phần đảm bảo chính sách an sinh xã hội, đồng bộ, hài hoà giữa</w:t>
      </w:r>
      <w:r>
        <w:rPr>
          <w:bCs/>
          <w:i/>
          <w:sz w:val="28"/>
          <w:szCs w:val="28"/>
        </w:rPr>
        <w:t xml:space="preserve"> </w:t>
      </w:r>
      <w:r>
        <w:rPr>
          <w:bCs/>
          <w:iCs/>
          <w:sz w:val="28"/>
          <w:szCs w:val="28"/>
        </w:rPr>
        <w:t>phát triển kinh tế với việc giải quyết các vấn đề xã hội, phù hợp với chủ trương “không để ai bị bỏ lại phía sau”.</w:t>
      </w:r>
    </w:p>
    <w:p>
      <w:pPr>
        <w:widowControl w:val="0"/>
        <w:spacing w:before="60" w:after="60" w:line="360" w:lineRule="exact"/>
        <w:ind w:firstLine="720"/>
        <w:jc w:val="both"/>
        <w:rPr>
          <w:b/>
          <w:bCs/>
          <w:sz w:val="28"/>
          <w:szCs w:val="28"/>
          <w:shd w:val="clear" w:color="auto" w:fill="FFFFFF"/>
        </w:rPr>
      </w:pPr>
      <w:r>
        <w:rPr>
          <w:b/>
          <w:bCs/>
          <w:sz w:val="28"/>
          <w:szCs w:val="28"/>
        </w:rPr>
        <w:t>II. MỤC ĐÍCH  BAN HÀNH, QUAN ĐIỂM XÂY DỰNG DỰ THẢO VĂN BẢN</w:t>
      </w:r>
    </w:p>
    <w:p>
      <w:pPr>
        <w:spacing w:before="60" w:after="60" w:line="360" w:lineRule="exact"/>
        <w:ind w:firstLine="720"/>
        <w:jc w:val="both"/>
        <w:rPr>
          <w:b/>
          <w:bCs/>
          <w:sz w:val="28"/>
          <w:szCs w:val="28"/>
          <w:lang w:val="af-ZA"/>
        </w:rPr>
      </w:pPr>
      <w:r>
        <w:rPr>
          <w:b/>
          <w:bCs/>
          <w:sz w:val="28"/>
          <w:szCs w:val="28"/>
          <w:lang w:val="af-ZA"/>
        </w:rPr>
        <w:t>1. Mục đích ban hành văn bản</w:t>
      </w:r>
    </w:p>
    <w:p>
      <w:pPr>
        <w:widowControl w:val="0"/>
        <w:tabs>
          <w:tab w:val="left" w:pos="988"/>
          <w:tab w:val="left" w:pos="1094"/>
        </w:tabs>
        <w:spacing w:before="60" w:after="60" w:line="360" w:lineRule="exact"/>
        <w:ind w:firstLine="709"/>
        <w:jc w:val="both"/>
        <w:outlineLvl w:val="0"/>
        <w:rPr>
          <w:bCs/>
          <w:sz w:val="28"/>
          <w:szCs w:val="28"/>
          <w:lang w:val="nl-NL"/>
        </w:rPr>
      </w:pPr>
      <w:r>
        <w:rPr>
          <w:bCs/>
          <w:sz w:val="28"/>
          <w:szCs w:val="28"/>
          <w:lang w:val="nl-NL"/>
        </w:rPr>
        <w:t xml:space="preserve">- Thể chế hóa các quan điểm chỉ đạo, chủ trương, đường lối của Đảng, chính sách, pháp luật của Nhà nước và thành phố về công tác an sinh xã hội, chính sách trợ giúp xã hội. </w:t>
      </w:r>
    </w:p>
    <w:p>
      <w:pPr>
        <w:spacing w:before="60" w:after="60" w:line="360" w:lineRule="exact"/>
        <w:ind w:firstLine="720"/>
        <w:jc w:val="both"/>
        <w:rPr>
          <w:bCs/>
          <w:sz w:val="28"/>
          <w:szCs w:val="28"/>
          <w:lang w:val="af-ZA"/>
        </w:rPr>
      </w:pPr>
      <w:r>
        <w:rPr>
          <w:bCs/>
          <w:sz w:val="28"/>
          <w:szCs w:val="28"/>
          <w:lang w:val="af-ZA"/>
        </w:rPr>
        <w:t>- Nhằm đảm bảo cơ sở pháp lý để các cơ quan, đơn vị, địa phương thực hiện chế độ, chính sách hỗ trợ mức đóng bảo hiểm y tế cho các đối tượng bảo trợ xã hội một cách thống nhất trên địa bàn thành phố (không phân biệt phía Đông hoặc phía Tây thành phố).</w:t>
      </w:r>
    </w:p>
    <w:p>
      <w:pPr>
        <w:spacing w:before="60" w:after="60" w:line="360" w:lineRule="exact"/>
        <w:ind w:firstLine="720"/>
        <w:jc w:val="both"/>
        <w:rPr>
          <w:b/>
          <w:sz w:val="28"/>
          <w:szCs w:val="28"/>
        </w:rPr>
      </w:pPr>
      <w:r>
        <w:rPr>
          <w:b/>
          <w:sz w:val="28"/>
          <w:szCs w:val="28"/>
        </w:rPr>
        <w:t>2. Quan điểm xây dựng dự thảo văn bản</w:t>
      </w:r>
    </w:p>
    <w:p>
      <w:pPr>
        <w:tabs>
          <w:tab w:val="left" w:pos="567"/>
        </w:tabs>
        <w:spacing w:before="60" w:after="60" w:line="360" w:lineRule="exact"/>
        <w:jc w:val="both"/>
        <w:rPr>
          <w:bCs/>
          <w:sz w:val="28"/>
          <w:szCs w:val="28"/>
        </w:rPr>
      </w:pPr>
      <w:r>
        <w:rPr>
          <w:bCs/>
          <w:sz w:val="28"/>
          <w:szCs w:val="28"/>
        </w:rPr>
        <w:tab/>
        <w:t xml:space="preserve">- Việc xây dựng Nghị quyết quy định chính sách hỗ trợ mức đóng bảo hiểm y tế cho các nhóm đối tượng xã hội trên địa bàn thành phố Hải Phòng đảm bảo tính kế thừa, chọn lọc các chính sách đã được ban hành của 2 địa phương trước </w:t>
      </w:r>
      <w:r>
        <w:rPr>
          <w:bCs/>
          <w:sz w:val="28"/>
          <w:szCs w:val="28"/>
        </w:rPr>
        <w:lastRenderedPageBreak/>
        <w:t>sáp nhập, không tăng mức hỗ trợ và không phát sinh chế độ chính sách, thực hiện rà soát lựa chọn chính sách của phía Đông hoặc phía Tây thành phố để áp dụng thống nhất trên địa bàn thành phố.</w:t>
      </w:r>
    </w:p>
    <w:p>
      <w:pPr>
        <w:spacing w:before="60" w:after="60" w:line="360" w:lineRule="exact"/>
        <w:ind w:firstLine="709"/>
        <w:jc w:val="both"/>
        <w:rPr>
          <w:sz w:val="28"/>
          <w:szCs w:val="28"/>
        </w:rPr>
      </w:pPr>
      <w:r>
        <w:rPr>
          <w:sz w:val="28"/>
          <w:szCs w:val="28"/>
        </w:rPr>
        <w:t xml:space="preserve">- Đảm bảo chính sách được thực hiện ổn định, không phát sinh thủ tục hành chính, không gây xáo trộn đời sống Nhân dân; </w:t>
      </w:r>
      <w:r>
        <w:rPr>
          <w:rFonts w:eastAsia="Arial"/>
          <w:sz w:val="28"/>
          <w:szCs w:val="28"/>
        </w:rPr>
        <w:t xml:space="preserve">đồng thời phù hợp với tình hình thực tiễn </w:t>
      </w:r>
      <w:r>
        <w:rPr>
          <w:sz w:val="28"/>
          <w:szCs w:val="28"/>
        </w:rPr>
        <w:t>của thành phố khi sáp nhập đơn vị hành chính, góp phần đảm bảo an sinh xã hội trên địa bàn thành phố.</w:t>
      </w:r>
    </w:p>
    <w:p>
      <w:pPr>
        <w:spacing w:before="60" w:after="60" w:line="360" w:lineRule="exact"/>
        <w:ind w:firstLine="709"/>
        <w:jc w:val="both"/>
        <w:rPr>
          <w:b/>
          <w:sz w:val="28"/>
          <w:szCs w:val="28"/>
        </w:rPr>
      </w:pPr>
      <w:r>
        <w:rPr>
          <w:b/>
          <w:sz w:val="28"/>
          <w:szCs w:val="28"/>
        </w:rPr>
        <w:t>III. QUÁ TRÌNH XÂY DỰNG DỰ THẢO VĂN BẢN</w:t>
      </w:r>
    </w:p>
    <w:p>
      <w:pPr>
        <w:shd w:val="clear" w:color="auto" w:fill="FFFFFF"/>
        <w:tabs>
          <w:tab w:val="left" w:pos="567"/>
        </w:tabs>
        <w:spacing w:before="60" w:after="60" w:line="360" w:lineRule="exact"/>
        <w:jc w:val="both"/>
        <w:rPr>
          <w:rFonts w:eastAsia="Arial"/>
          <w:sz w:val="28"/>
          <w:szCs w:val="28"/>
        </w:rPr>
      </w:pPr>
      <w:r>
        <w:rPr>
          <w:sz w:val="28"/>
          <w:szCs w:val="28"/>
        </w:rPr>
        <w:tab/>
        <w:t xml:space="preserve">Thực hiện quy định của </w:t>
      </w:r>
      <w:r>
        <w:rPr>
          <w:spacing w:val="-8"/>
          <w:sz w:val="28"/>
          <w:szCs w:val="28"/>
        </w:rPr>
        <w:t xml:space="preserve">Luật Ban hành văn bản quy phạm pháp luật năm 2025; </w:t>
      </w:r>
      <w:r>
        <w:rPr>
          <w:rFonts w:eastAsia="Arial"/>
          <w:sz w:val="28"/>
          <w:szCs w:val="28"/>
        </w:rPr>
        <w:t xml:space="preserve">Luật sửa đổi, bổ sung một số điều của Luật ban hành văn bản quy phạm pháp luật </w:t>
      </w:r>
      <w:r>
        <w:rPr>
          <w:sz w:val="28"/>
          <w:szCs w:val="28"/>
        </w:rPr>
        <w:t xml:space="preserve">ngày 25/6/2025 </w:t>
      </w:r>
      <w:r>
        <w:rPr>
          <w:rFonts w:eastAsia="Arial"/>
          <w:sz w:val="28"/>
          <w:szCs w:val="28"/>
        </w:rPr>
        <w:t>và các văn bản quy phạm pháp luật có liên quan;</w:t>
      </w:r>
    </w:p>
    <w:p>
      <w:pPr>
        <w:spacing w:before="60" w:after="60" w:line="360" w:lineRule="exact"/>
        <w:ind w:firstLine="567"/>
        <w:jc w:val="both"/>
        <w:rPr>
          <w:sz w:val="28"/>
          <w:szCs w:val="28"/>
        </w:rPr>
      </w:pPr>
      <w:r>
        <w:rPr>
          <w:sz w:val="28"/>
          <w:szCs w:val="28"/>
        </w:rPr>
        <w:t>Thực hiện nhiệm vụ Ủy ban nhân dân thành phố giao, Sở Y tế đã chủ động phối hợp với các Sở, ngành, đơn vị liên quan xây dựng và hoàn thiện dự thảo hồ sơ Nghị quyết theo đúng quy trình, quy định pháp luật hiện hành, cụ thể:</w:t>
      </w:r>
    </w:p>
    <w:p>
      <w:pPr>
        <w:spacing w:before="60" w:after="60" w:line="360" w:lineRule="exact"/>
        <w:ind w:firstLine="567"/>
        <w:jc w:val="both"/>
        <w:rPr>
          <w:sz w:val="28"/>
          <w:szCs w:val="28"/>
        </w:rPr>
      </w:pPr>
      <w:r>
        <w:rPr>
          <w:sz w:val="28"/>
          <w:szCs w:val="28"/>
        </w:rPr>
        <w:t>1. Thành lập Tổ soạn thảo dự thảo Nghị quyết của Hội đồng nhân dân thành phố.</w:t>
      </w:r>
    </w:p>
    <w:p>
      <w:pPr>
        <w:spacing w:before="60" w:after="60" w:line="360" w:lineRule="exact"/>
        <w:ind w:firstLine="567"/>
        <w:jc w:val="both"/>
        <w:rPr>
          <w:sz w:val="28"/>
          <w:szCs w:val="28"/>
        </w:rPr>
      </w:pPr>
      <w:r>
        <w:rPr>
          <w:sz w:val="28"/>
          <w:szCs w:val="28"/>
        </w:rPr>
        <w:t>2. Dự thảo hồ sơ đề nghị xây dựng Nghị quyết của Hội đồng nhân dân thành phố quy định chính sách hỗ trợ mức đóng bao hiểm y tế cho các nhóm đối tượng xã hội trên địa bàn thành phố Hải Phòng.</w:t>
      </w:r>
    </w:p>
    <w:p>
      <w:pPr>
        <w:spacing w:before="60" w:after="60" w:line="360" w:lineRule="exact"/>
        <w:ind w:firstLine="567"/>
        <w:jc w:val="both"/>
        <w:rPr>
          <w:sz w:val="28"/>
          <w:szCs w:val="28"/>
        </w:rPr>
      </w:pPr>
      <w:r>
        <w:rPr>
          <w:sz w:val="28"/>
          <w:szCs w:val="28"/>
        </w:rPr>
        <w:t>3. Đăng tải dự thảo văn bản quy phạm pháp luật trên Cổng thông tin điện tử của Sở tại chuyên mục riêng, thuận tiện cho việc cá nhân, tổ chức có thể tiếp cận vào dự thảo văn bản để tham gia ý kiến. Đăng tải hồ sơ dự thảo Nghị quyết trên Cổng thông tin điện tử của thành phố trong thời gian ít nhất 10 ngày để lấy ý kiến.</w:t>
      </w:r>
    </w:p>
    <w:p>
      <w:pPr>
        <w:spacing w:before="60" w:after="60" w:line="360" w:lineRule="exact"/>
        <w:ind w:firstLine="567"/>
        <w:jc w:val="both"/>
        <w:rPr>
          <w:spacing w:val="-2"/>
          <w:sz w:val="28"/>
          <w:szCs w:val="28"/>
        </w:rPr>
      </w:pPr>
      <w:r>
        <w:rPr>
          <w:spacing w:val="-2"/>
          <w:sz w:val="28"/>
          <w:szCs w:val="28"/>
        </w:rPr>
        <w:t>4. Lấy ý kiến tham gia góp ý của Ủy ban Mặt trận Tổ quốc Việt Nam thành phố và các Sở, ngành, địa phương, đơn vị có liên quan (Sở Tài chính, Sở Nội vụ, Sở Nông nghiệp và Môi trường, Sở Tư pháp, Sở Khoa học và Công nghệ, Hội người cao tuổi thành phố, Bảo hiểm xã hội thành phố, UBND các xã, phường, đặc khu).</w:t>
      </w:r>
    </w:p>
    <w:p>
      <w:pPr>
        <w:spacing w:before="60" w:after="60" w:line="360" w:lineRule="exact"/>
        <w:ind w:firstLine="567"/>
        <w:jc w:val="both"/>
        <w:rPr>
          <w:spacing w:val="-2"/>
          <w:sz w:val="28"/>
          <w:szCs w:val="28"/>
        </w:rPr>
      </w:pPr>
      <w:r>
        <w:rPr>
          <w:spacing w:val="-2"/>
          <w:sz w:val="28"/>
          <w:szCs w:val="28"/>
        </w:rPr>
        <w:t xml:space="preserve">5. Nghiên cứu tiếp thu, giải trình ý kiến tham gia, tổng hợp, chỉnh lý dự thảo Nghị quyết, Tờ trình và các tài liệu khác gửi Sở Tư pháp thẩm định. </w:t>
      </w:r>
    </w:p>
    <w:p>
      <w:pPr>
        <w:spacing w:before="60" w:after="60" w:line="360" w:lineRule="exact"/>
        <w:ind w:firstLine="567"/>
        <w:jc w:val="both"/>
        <w:rPr>
          <w:spacing w:val="-2"/>
          <w:sz w:val="28"/>
          <w:szCs w:val="28"/>
        </w:rPr>
      </w:pPr>
      <w:r>
        <w:rPr>
          <w:spacing w:val="-2"/>
          <w:sz w:val="28"/>
          <w:szCs w:val="28"/>
        </w:rPr>
        <w:t>6. Đăng tải bản tổng hợp ý kiến, tiếp thu, giải trình ý kiến góp ý trên cổng thông tin điện tử của Sở, thời gian đăng tải ít nhất là 30 ngày.</w:t>
      </w:r>
    </w:p>
    <w:p>
      <w:pPr>
        <w:spacing w:before="60" w:after="60" w:line="360" w:lineRule="exact"/>
        <w:ind w:firstLine="567"/>
        <w:jc w:val="both"/>
        <w:rPr>
          <w:sz w:val="28"/>
          <w:szCs w:val="28"/>
        </w:rPr>
      </w:pPr>
      <w:r>
        <w:rPr>
          <w:sz w:val="28"/>
          <w:szCs w:val="28"/>
        </w:rPr>
        <w:t>7. Tiếp thu, giải trình ý kiến thẩm định của Sở Tư pháp, chỉnh lý hoàn thiện dự thảo hồ sơ đề nghị xây dựng Nghị quyết, Tờ trình và các tài liệu liên quan.</w:t>
      </w:r>
    </w:p>
    <w:p>
      <w:pPr>
        <w:spacing w:before="60" w:after="60" w:line="360" w:lineRule="exact"/>
        <w:ind w:firstLine="567"/>
        <w:jc w:val="both"/>
        <w:rPr>
          <w:spacing w:val="-2"/>
          <w:sz w:val="28"/>
          <w:szCs w:val="28"/>
        </w:rPr>
      </w:pPr>
      <w:r>
        <w:rPr>
          <w:spacing w:val="-2"/>
          <w:sz w:val="28"/>
          <w:szCs w:val="28"/>
        </w:rPr>
        <w:t>8. Trình Ủy ban nhân dân thành phố xem xét, thông qua việc trình HĐND thành phố dự thảo Nghị quyết.</w:t>
      </w:r>
    </w:p>
    <w:p>
      <w:pPr>
        <w:spacing w:before="60" w:after="60" w:line="360" w:lineRule="exact"/>
        <w:ind w:left="720"/>
        <w:jc w:val="both"/>
        <w:rPr>
          <w:b/>
          <w:bCs/>
          <w:sz w:val="28"/>
          <w:szCs w:val="28"/>
        </w:rPr>
      </w:pPr>
      <w:r>
        <w:rPr>
          <w:b/>
          <w:bCs/>
          <w:sz w:val="28"/>
          <w:szCs w:val="28"/>
        </w:rPr>
        <w:t>IV. BỐ CỤC VÀ NỘI DUNG CƠ BẢN CỦA DỰ THẢO VĂN BẢN</w:t>
      </w:r>
    </w:p>
    <w:p>
      <w:pPr>
        <w:spacing w:before="60" w:after="60" w:line="360" w:lineRule="exact"/>
        <w:ind w:left="720"/>
        <w:jc w:val="both"/>
        <w:rPr>
          <w:b/>
          <w:bCs/>
          <w:sz w:val="28"/>
          <w:szCs w:val="28"/>
        </w:rPr>
      </w:pPr>
      <w:r>
        <w:rPr>
          <w:b/>
          <w:bCs/>
          <w:sz w:val="28"/>
          <w:szCs w:val="28"/>
        </w:rPr>
        <w:lastRenderedPageBreak/>
        <w:t>1. Phạm vi điều chỉnh, đối tượng áp dụng</w:t>
      </w:r>
    </w:p>
    <w:p>
      <w:pPr>
        <w:spacing w:before="60" w:after="60" w:line="360" w:lineRule="exact"/>
        <w:ind w:firstLine="720"/>
        <w:jc w:val="both"/>
        <w:rPr>
          <w:sz w:val="28"/>
          <w:szCs w:val="28"/>
        </w:rPr>
      </w:pPr>
      <w:r>
        <w:rPr>
          <w:sz w:val="28"/>
          <w:szCs w:val="28"/>
        </w:rPr>
        <w:t xml:space="preserve">1.1. Phạm vi điều chỉnh </w:t>
      </w:r>
    </w:p>
    <w:p>
      <w:pPr>
        <w:spacing w:before="60" w:after="60" w:line="360" w:lineRule="exact"/>
        <w:ind w:firstLine="720"/>
        <w:jc w:val="both"/>
        <w:rPr>
          <w:sz w:val="28"/>
          <w:szCs w:val="28"/>
        </w:rPr>
      </w:pPr>
      <w:r>
        <w:rPr>
          <w:sz w:val="28"/>
          <w:szCs w:val="28"/>
        </w:rPr>
        <w:t xml:space="preserve">Nghị quyết này </w:t>
      </w:r>
      <w:r>
        <w:rPr>
          <w:bCs/>
          <w:kern w:val="36"/>
          <w:sz w:val="28"/>
          <w:szCs w:val="28"/>
        </w:rPr>
        <w:t xml:space="preserve">quy định </w:t>
      </w:r>
      <w:r>
        <w:rPr>
          <w:sz w:val="28"/>
          <w:szCs w:val="28"/>
        </w:rPr>
        <w:t>hỗ trợ mức đóng bảo hiểm y tế cho các nhóm đối tượng xã hội đang trường trú trên địa bàn thành phố Hải Phòng.</w:t>
      </w:r>
    </w:p>
    <w:p>
      <w:pPr>
        <w:pStyle w:val="ListParagraph"/>
        <w:spacing w:before="60" w:after="60" w:line="360" w:lineRule="exact"/>
        <w:ind w:left="0" w:firstLine="720"/>
        <w:jc w:val="both"/>
        <w:rPr>
          <w:rFonts w:ascii="Times New Roman" w:hAnsi="Times New Roman"/>
          <w:bCs/>
          <w:sz w:val="28"/>
          <w:szCs w:val="28"/>
        </w:rPr>
      </w:pPr>
      <w:r>
        <w:rPr>
          <w:rFonts w:ascii="Times New Roman" w:hAnsi="Times New Roman"/>
          <w:bCs/>
          <w:sz w:val="28"/>
          <w:szCs w:val="28"/>
        </w:rPr>
        <w:t>1.2. Đối tượng áp dụng</w:t>
      </w:r>
    </w:p>
    <w:p>
      <w:pPr>
        <w:pStyle w:val="Tiu10"/>
        <w:tabs>
          <w:tab w:val="left" w:pos="988"/>
          <w:tab w:val="left" w:pos="1094"/>
        </w:tabs>
        <w:spacing w:before="60" w:line="360" w:lineRule="exact"/>
        <w:ind w:firstLine="720"/>
        <w:jc w:val="both"/>
        <w:rPr>
          <w:b w:val="0"/>
          <w:bCs w:val="0"/>
          <w:kern w:val="36"/>
          <w:sz w:val="28"/>
          <w:szCs w:val="28"/>
        </w:rPr>
      </w:pPr>
      <w:r>
        <w:rPr>
          <w:b w:val="0"/>
          <w:sz w:val="28"/>
          <w:szCs w:val="28"/>
        </w:rPr>
        <w:t>a) Người cao tuổi từ đủ 60 tuổi đến 74 tuổi</w:t>
      </w:r>
      <w:r>
        <w:rPr>
          <w:sz w:val="28"/>
          <w:szCs w:val="28"/>
        </w:rPr>
        <w:t xml:space="preserve"> </w:t>
      </w:r>
      <w:r>
        <w:rPr>
          <w:b w:val="0"/>
          <w:kern w:val="36"/>
          <w:sz w:val="28"/>
          <w:szCs w:val="28"/>
        </w:rPr>
        <w:t>không có lương hưu, không có trợ cấp xã hội</w:t>
      </w:r>
      <w:r>
        <w:rPr>
          <w:bCs w:val="0"/>
          <w:kern w:val="36"/>
          <w:sz w:val="28"/>
          <w:szCs w:val="28"/>
        </w:rPr>
        <w:t xml:space="preserve"> </w:t>
      </w:r>
      <w:r>
        <w:rPr>
          <w:b w:val="0"/>
          <w:bCs w:val="0"/>
          <w:kern w:val="36"/>
          <w:sz w:val="28"/>
          <w:szCs w:val="28"/>
        </w:rPr>
        <w:t xml:space="preserve">hàng tháng; Hội viên Hội người mù thành phố </w:t>
      </w:r>
      <w:r>
        <w:rPr>
          <w:b w:val="0"/>
          <w:kern w:val="36"/>
          <w:sz w:val="28"/>
          <w:szCs w:val="28"/>
        </w:rPr>
        <w:t xml:space="preserve">chưa được cấp thẻ bảo hiểm y tế miễn phí đang thường trú trên địa bàn thành phố Hải Phòng. </w:t>
      </w:r>
    </w:p>
    <w:p>
      <w:pPr>
        <w:spacing w:before="60" w:after="60" w:line="360" w:lineRule="exact"/>
        <w:ind w:firstLine="720"/>
        <w:jc w:val="both"/>
        <w:rPr>
          <w:sz w:val="28"/>
          <w:szCs w:val="28"/>
        </w:rPr>
      </w:pPr>
      <w:r>
        <w:rPr>
          <w:kern w:val="36"/>
          <w:sz w:val="28"/>
          <w:szCs w:val="28"/>
        </w:rPr>
        <w:t>b)</w:t>
      </w:r>
      <w:r>
        <w:rPr>
          <w:b/>
          <w:kern w:val="36"/>
          <w:sz w:val="28"/>
          <w:szCs w:val="28"/>
        </w:rPr>
        <w:t xml:space="preserve"> </w:t>
      </w:r>
      <w:r>
        <w:rPr>
          <w:sz w:val="28"/>
          <w:szCs w:val="28"/>
        </w:rPr>
        <w:t xml:space="preserve">Người nhiễm HIV/AIDS theo quy định của </w:t>
      </w:r>
      <w:r>
        <w:rPr>
          <w:sz w:val="28"/>
          <w:szCs w:val="28"/>
          <w:shd w:val="clear" w:color="auto" w:fill="FFFFFF"/>
        </w:rPr>
        <w:t>Luật Phòng, chống nhiễm vi rút gây ra hội chứng suy giảm miễn dịch mắc phải ở người (HIV/AIDS) năm 2006; Luật sửa đổi, bổ sung một số điều của Luật Phòng, chống nhiễm vi rút gây ra hội chứng suy giảm miễn dịch mắc phải ở người (HIV/AIDS) năm 2020</w:t>
      </w:r>
      <w:r>
        <w:rPr>
          <w:sz w:val="28"/>
          <w:szCs w:val="28"/>
        </w:rPr>
        <w:t>;</w:t>
      </w:r>
    </w:p>
    <w:p>
      <w:pPr>
        <w:spacing w:before="60" w:after="60" w:line="360" w:lineRule="exact"/>
        <w:ind w:firstLine="720"/>
        <w:jc w:val="both"/>
        <w:rPr>
          <w:sz w:val="28"/>
          <w:szCs w:val="28"/>
        </w:rPr>
      </w:pPr>
      <w:r>
        <w:rPr>
          <w:sz w:val="28"/>
          <w:szCs w:val="28"/>
        </w:rPr>
        <w:t>c) Người thuộc hộ cận nghèo.</w:t>
      </w:r>
    </w:p>
    <w:p>
      <w:pPr>
        <w:spacing w:before="60" w:after="60" w:line="360" w:lineRule="exact"/>
        <w:ind w:firstLine="720"/>
        <w:jc w:val="both"/>
        <w:rPr>
          <w:sz w:val="28"/>
          <w:szCs w:val="28"/>
        </w:rPr>
      </w:pPr>
      <w:r>
        <w:rPr>
          <w:sz w:val="28"/>
          <w:szCs w:val="28"/>
        </w:rPr>
        <w:t>d) Người thuộc hộ gia đình làm nông nghiệp, lâm nghiệp, ngư nghiệp, diêm nghiệp có mức sống trung bình.</w:t>
      </w:r>
    </w:p>
    <w:p>
      <w:pPr>
        <w:spacing w:before="60" w:after="60" w:line="360" w:lineRule="exact"/>
        <w:ind w:firstLine="720"/>
        <w:jc w:val="both"/>
        <w:rPr>
          <w:sz w:val="28"/>
          <w:szCs w:val="28"/>
        </w:rPr>
      </w:pPr>
      <w:r>
        <w:rPr>
          <w:sz w:val="28"/>
          <w:szCs w:val="28"/>
        </w:rPr>
        <w:t xml:space="preserve">đ) Người thu gom rác tại các tại các tổ thu gom rác thải ở các thôn, khu dân cư được Ủy ban nhân dân cấp xã xác nhận (không thuộc doanh nghiệp, hợp tác xã thu gom rác). </w:t>
      </w:r>
    </w:p>
    <w:p>
      <w:pPr>
        <w:pStyle w:val="Tiu10"/>
        <w:tabs>
          <w:tab w:val="left" w:pos="988"/>
          <w:tab w:val="left" w:pos="1094"/>
        </w:tabs>
        <w:spacing w:before="60" w:line="360" w:lineRule="exact"/>
        <w:ind w:firstLine="720"/>
        <w:jc w:val="both"/>
        <w:rPr>
          <w:b w:val="0"/>
          <w:kern w:val="36"/>
          <w:sz w:val="28"/>
          <w:szCs w:val="28"/>
        </w:rPr>
      </w:pPr>
      <w:r>
        <w:rPr>
          <w:b w:val="0"/>
          <w:kern w:val="36"/>
          <w:sz w:val="28"/>
          <w:szCs w:val="28"/>
        </w:rPr>
        <w:t>e) Các cơ quan, tổ chức, cá nhân có liên quan.</w:t>
      </w:r>
    </w:p>
    <w:p>
      <w:pPr>
        <w:spacing w:before="60" w:after="60" w:line="360" w:lineRule="exact"/>
        <w:ind w:left="720"/>
        <w:jc w:val="both"/>
        <w:rPr>
          <w:b/>
          <w:bCs/>
          <w:sz w:val="28"/>
          <w:szCs w:val="28"/>
        </w:rPr>
      </w:pPr>
      <w:r>
        <w:rPr>
          <w:b/>
          <w:bCs/>
          <w:sz w:val="28"/>
          <w:szCs w:val="28"/>
        </w:rPr>
        <w:t xml:space="preserve">2. Bố cục của dự thảo văn bản </w:t>
      </w:r>
    </w:p>
    <w:p>
      <w:pPr>
        <w:spacing w:before="60" w:after="60" w:line="360" w:lineRule="exact"/>
        <w:ind w:left="720"/>
        <w:jc w:val="both"/>
        <w:rPr>
          <w:sz w:val="28"/>
          <w:szCs w:val="28"/>
        </w:rPr>
      </w:pPr>
      <w:r>
        <w:rPr>
          <w:bCs/>
          <w:sz w:val="28"/>
          <w:szCs w:val="28"/>
          <w:lang w:val="nl-NL"/>
        </w:rPr>
        <w:t>Nghị quyết gồm 05 Điều:</w:t>
      </w:r>
    </w:p>
    <w:p>
      <w:pPr>
        <w:widowControl w:val="0"/>
        <w:spacing w:before="60" w:after="60" w:line="360" w:lineRule="exact"/>
        <w:ind w:firstLine="720"/>
        <w:jc w:val="both"/>
        <w:rPr>
          <w:bCs/>
          <w:sz w:val="28"/>
          <w:szCs w:val="28"/>
          <w:lang w:val="nl-NL"/>
        </w:rPr>
      </w:pPr>
      <w:r>
        <w:rPr>
          <w:bCs/>
          <w:sz w:val="28"/>
          <w:szCs w:val="28"/>
          <w:lang w:val="nl-NL"/>
        </w:rPr>
        <w:t>- Điều 1. Phạm vi điều chỉnh, đối tượng áp dụng</w:t>
      </w:r>
    </w:p>
    <w:p>
      <w:pPr>
        <w:widowControl w:val="0"/>
        <w:spacing w:before="60" w:after="60" w:line="360" w:lineRule="exact"/>
        <w:ind w:firstLine="720"/>
        <w:jc w:val="both"/>
        <w:rPr>
          <w:sz w:val="28"/>
          <w:szCs w:val="28"/>
          <w:lang w:val="nl-NL"/>
        </w:rPr>
      </w:pPr>
      <w:r>
        <w:rPr>
          <w:bCs/>
          <w:sz w:val="28"/>
          <w:szCs w:val="28"/>
          <w:lang w:val="nl-NL"/>
        </w:rPr>
        <w:t xml:space="preserve">- </w:t>
      </w:r>
      <w:r>
        <w:rPr>
          <w:sz w:val="28"/>
          <w:szCs w:val="28"/>
        </w:rPr>
        <w:t xml:space="preserve">Điều 2. </w:t>
      </w:r>
      <w:r>
        <w:rPr>
          <w:sz w:val="28"/>
          <w:szCs w:val="28"/>
          <w:lang w:val="nl-NL"/>
        </w:rPr>
        <w:t xml:space="preserve">Mức hỗ trợ và các chính sách hỗ trợ mức đóng bảo hiểm y tế cho các nhóm đối tượng xã hội. </w:t>
      </w:r>
    </w:p>
    <w:p>
      <w:pPr>
        <w:widowControl w:val="0"/>
        <w:spacing w:before="60" w:after="60" w:line="360" w:lineRule="exact"/>
        <w:ind w:firstLine="720"/>
        <w:jc w:val="both"/>
        <w:rPr>
          <w:bCs/>
          <w:sz w:val="28"/>
          <w:szCs w:val="28"/>
          <w:lang w:val="nl-NL"/>
        </w:rPr>
      </w:pPr>
      <w:r>
        <w:rPr>
          <w:bCs/>
          <w:sz w:val="28"/>
          <w:szCs w:val="28"/>
          <w:lang w:val="nl-NL"/>
        </w:rPr>
        <w:t>- Điều 3. Kinh phí thực hiện</w:t>
      </w:r>
    </w:p>
    <w:p>
      <w:pPr>
        <w:widowControl w:val="0"/>
        <w:spacing w:before="60" w:after="60" w:line="360" w:lineRule="exact"/>
        <w:ind w:firstLine="720"/>
        <w:jc w:val="both"/>
        <w:rPr>
          <w:bCs/>
          <w:sz w:val="28"/>
          <w:szCs w:val="28"/>
          <w:lang w:val="nl-NL"/>
        </w:rPr>
      </w:pPr>
      <w:r>
        <w:rPr>
          <w:bCs/>
          <w:sz w:val="28"/>
          <w:szCs w:val="28"/>
          <w:lang w:val="nl-NL"/>
        </w:rPr>
        <w:t>- Điều 4. Hiệu lực thi hành</w:t>
      </w:r>
    </w:p>
    <w:p>
      <w:pPr>
        <w:widowControl w:val="0"/>
        <w:spacing w:before="60" w:after="60" w:line="360" w:lineRule="exact"/>
        <w:ind w:firstLine="720"/>
        <w:jc w:val="both"/>
        <w:rPr>
          <w:bCs/>
          <w:sz w:val="28"/>
          <w:szCs w:val="28"/>
          <w:lang w:val="nl-NL"/>
        </w:rPr>
      </w:pPr>
      <w:r>
        <w:rPr>
          <w:bCs/>
          <w:sz w:val="28"/>
          <w:szCs w:val="28"/>
          <w:lang w:val="nl-NL"/>
        </w:rPr>
        <w:t>- Điều 5. Tổ chức thực hiện</w:t>
      </w:r>
    </w:p>
    <w:p>
      <w:pPr>
        <w:spacing w:before="60" w:after="60" w:line="360" w:lineRule="exact"/>
        <w:ind w:left="720"/>
        <w:jc w:val="both"/>
        <w:rPr>
          <w:b/>
          <w:bCs/>
          <w:sz w:val="28"/>
          <w:szCs w:val="28"/>
        </w:rPr>
      </w:pPr>
      <w:r>
        <w:rPr>
          <w:b/>
          <w:bCs/>
          <w:sz w:val="28"/>
          <w:szCs w:val="28"/>
        </w:rPr>
        <w:t>3. Nội dung cơ bản</w:t>
      </w:r>
    </w:p>
    <w:p>
      <w:pPr>
        <w:pStyle w:val="ListParagraph"/>
        <w:spacing w:before="60" w:after="60" w:line="360" w:lineRule="exact"/>
        <w:ind w:left="0" w:firstLine="720"/>
        <w:jc w:val="both"/>
        <w:rPr>
          <w:rFonts w:ascii="Times New Roman" w:hAnsi="Times New Roman"/>
          <w:sz w:val="28"/>
          <w:szCs w:val="28"/>
        </w:rPr>
      </w:pPr>
      <w:r>
        <w:rPr>
          <w:rFonts w:ascii="Times New Roman" w:hAnsi="Times New Roman"/>
          <w:sz w:val="28"/>
          <w:szCs w:val="28"/>
        </w:rPr>
        <w:t>Ngân sách thành phố hỗ trợ % mức đóng bảo hiểm y tế cho các đối tượng xã hội, cụ thể:</w:t>
      </w:r>
    </w:p>
    <w:p>
      <w:pPr>
        <w:pStyle w:val="Tiu10"/>
        <w:tabs>
          <w:tab w:val="left" w:pos="988"/>
          <w:tab w:val="left" w:pos="1094"/>
        </w:tabs>
        <w:spacing w:before="60" w:line="360" w:lineRule="exact"/>
        <w:ind w:firstLine="720"/>
        <w:jc w:val="both"/>
        <w:rPr>
          <w:b w:val="0"/>
          <w:kern w:val="36"/>
          <w:sz w:val="28"/>
          <w:szCs w:val="28"/>
        </w:rPr>
      </w:pPr>
      <w:r>
        <w:rPr>
          <w:b w:val="0"/>
          <w:sz w:val="28"/>
          <w:szCs w:val="28"/>
        </w:rPr>
        <w:t>(1) Ngân sách thành phố hỗ trợ 100% mức đóng bảo hiểm y tế cho người cao tuổi từ đủ 60 tuổi đến 74 tuổi</w:t>
      </w:r>
      <w:r>
        <w:rPr>
          <w:sz w:val="28"/>
          <w:szCs w:val="28"/>
        </w:rPr>
        <w:t xml:space="preserve"> </w:t>
      </w:r>
      <w:r>
        <w:rPr>
          <w:b w:val="0"/>
          <w:kern w:val="36"/>
          <w:sz w:val="28"/>
          <w:szCs w:val="28"/>
        </w:rPr>
        <w:t>không có lương hưu, không có trợ cấp xã hội</w:t>
      </w:r>
      <w:r>
        <w:rPr>
          <w:bCs w:val="0"/>
          <w:kern w:val="36"/>
          <w:sz w:val="28"/>
          <w:szCs w:val="28"/>
        </w:rPr>
        <w:t xml:space="preserve"> </w:t>
      </w:r>
      <w:r>
        <w:rPr>
          <w:b w:val="0"/>
          <w:bCs w:val="0"/>
          <w:kern w:val="36"/>
          <w:sz w:val="28"/>
          <w:szCs w:val="28"/>
        </w:rPr>
        <w:t xml:space="preserve">hàng tháng; Hội viên Hội người mù thành phố </w:t>
      </w:r>
      <w:r>
        <w:rPr>
          <w:b w:val="0"/>
          <w:kern w:val="36"/>
          <w:sz w:val="28"/>
          <w:szCs w:val="28"/>
        </w:rPr>
        <w:t xml:space="preserve">chưa được cấp thẻ bảo hiểm y tế miễn phí đang thường trú trên địa bàn thành phố Hải Phòng. </w:t>
      </w:r>
    </w:p>
    <w:p>
      <w:pPr>
        <w:pStyle w:val="Tiu10"/>
        <w:tabs>
          <w:tab w:val="left" w:pos="988"/>
          <w:tab w:val="left" w:pos="1094"/>
        </w:tabs>
        <w:spacing w:before="60" w:line="360" w:lineRule="exact"/>
        <w:ind w:firstLine="720"/>
        <w:jc w:val="both"/>
        <w:rPr>
          <w:b w:val="0"/>
          <w:sz w:val="28"/>
          <w:szCs w:val="28"/>
        </w:rPr>
      </w:pPr>
      <w:r>
        <w:rPr>
          <w:b w:val="0"/>
          <w:kern w:val="36"/>
          <w:sz w:val="28"/>
          <w:szCs w:val="28"/>
        </w:rPr>
        <w:t xml:space="preserve">(2) </w:t>
      </w:r>
      <w:r>
        <w:rPr>
          <w:b w:val="0"/>
          <w:sz w:val="28"/>
          <w:szCs w:val="28"/>
        </w:rPr>
        <w:t xml:space="preserve">Ngân sách thành phố hỗ trợ 100% mức đóng bảo hiểm y tế cho người nhiễm HIV/AIDS theo quy định của </w:t>
      </w:r>
      <w:r>
        <w:rPr>
          <w:b w:val="0"/>
          <w:sz w:val="28"/>
          <w:szCs w:val="28"/>
          <w:shd w:val="clear" w:color="auto" w:fill="FFFFFF"/>
        </w:rPr>
        <w:t xml:space="preserve">Luật Phòng, chống nhiễm vi rút gây ra hội chứng suy giảm miễn dịch mắc phải ở người (HIV/AIDS) năm 2006; Luật sửa </w:t>
      </w:r>
      <w:r>
        <w:rPr>
          <w:b w:val="0"/>
          <w:sz w:val="28"/>
          <w:szCs w:val="28"/>
          <w:shd w:val="clear" w:color="auto" w:fill="FFFFFF"/>
        </w:rPr>
        <w:lastRenderedPageBreak/>
        <w:t>đổi, bổ sung một số điều của Luật Phòng, chống nhiễm vi rút gây ra hội chứng suy giảm miễn dịch mắc phải ở người (HIV/AIDS) năm 2020</w:t>
      </w:r>
      <w:r>
        <w:rPr>
          <w:b w:val="0"/>
          <w:sz w:val="28"/>
          <w:szCs w:val="28"/>
        </w:rPr>
        <w:t xml:space="preserve">. </w:t>
      </w:r>
    </w:p>
    <w:p>
      <w:pPr>
        <w:spacing w:before="60" w:after="60" w:line="360" w:lineRule="exact"/>
        <w:ind w:firstLine="720"/>
        <w:jc w:val="both"/>
        <w:rPr>
          <w:sz w:val="28"/>
          <w:szCs w:val="28"/>
        </w:rPr>
      </w:pPr>
      <w:r>
        <w:rPr>
          <w:sz w:val="28"/>
          <w:szCs w:val="28"/>
        </w:rPr>
        <w:t>(3) Ngân sách thành phố hỗ trợ 30% mức đóng bảo hiểm y tế cho người thuộc hộ cận nghèo (ngoài 70% mức ngân sách nhà nước đã hỗ trợ theo quy định), tổng mức hỗ trợ đạt 100%.</w:t>
      </w:r>
    </w:p>
    <w:p>
      <w:pPr>
        <w:spacing w:before="60" w:after="60" w:line="360" w:lineRule="exact"/>
        <w:ind w:firstLine="720"/>
        <w:jc w:val="both"/>
        <w:rPr>
          <w:sz w:val="28"/>
          <w:szCs w:val="28"/>
        </w:rPr>
      </w:pPr>
      <w:r>
        <w:rPr>
          <w:sz w:val="28"/>
          <w:szCs w:val="28"/>
        </w:rPr>
        <w:t>(4) Ngân sách thành phố hỗ trợ 20% mức đóng bảo hiểm y tế</w:t>
      </w:r>
      <w:r>
        <w:rPr>
          <w:b/>
          <w:sz w:val="28"/>
          <w:szCs w:val="28"/>
        </w:rPr>
        <w:t xml:space="preserve"> </w:t>
      </w:r>
      <w:r>
        <w:rPr>
          <w:sz w:val="28"/>
          <w:szCs w:val="28"/>
        </w:rPr>
        <w:t>cho</w:t>
      </w:r>
      <w:r>
        <w:rPr>
          <w:b/>
          <w:sz w:val="28"/>
          <w:szCs w:val="28"/>
        </w:rPr>
        <w:t xml:space="preserve"> </w:t>
      </w:r>
      <w:r>
        <w:rPr>
          <w:sz w:val="28"/>
          <w:szCs w:val="28"/>
        </w:rPr>
        <w:t>Người thuộc hộ gia đình làm nông nghiệp, lâm nghiệp, ngư nghiệp, diêm nghiệp có mức sống trung bình (ngoài 30% mức ngân sách nhà nước đã hỗ trợ theo quy định), tổng mức hỗ trợ đạt 50%.</w:t>
      </w:r>
    </w:p>
    <w:p>
      <w:pPr>
        <w:pStyle w:val="Tiu10"/>
        <w:tabs>
          <w:tab w:val="left" w:pos="988"/>
          <w:tab w:val="left" w:pos="1094"/>
        </w:tabs>
        <w:spacing w:before="60" w:line="360" w:lineRule="exact"/>
        <w:ind w:firstLine="720"/>
        <w:jc w:val="both"/>
        <w:rPr>
          <w:b w:val="0"/>
          <w:sz w:val="28"/>
          <w:szCs w:val="28"/>
        </w:rPr>
      </w:pPr>
      <w:r>
        <w:rPr>
          <w:b w:val="0"/>
          <w:sz w:val="28"/>
          <w:szCs w:val="28"/>
        </w:rPr>
        <w:t>(5) Ngân sách thành phố hỗ trợ 70% mức đóng bảo hiểm y tế cho người thu gom rác tại các tại các tổ thu gom rác thải ở các thôn, khu dân cư được Ủy ban nhân dân cấp xã xác nhận</w:t>
      </w:r>
      <w:r>
        <w:rPr>
          <w:sz w:val="28"/>
          <w:szCs w:val="28"/>
        </w:rPr>
        <w:t xml:space="preserve"> </w:t>
      </w:r>
      <w:r>
        <w:rPr>
          <w:b w:val="0"/>
          <w:sz w:val="28"/>
          <w:szCs w:val="28"/>
        </w:rPr>
        <w:t xml:space="preserve">không thuộc doanh nghiệp, hợp tác xã thu gom rác). </w:t>
      </w:r>
    </w:p>
    <w:p>
      <w:pPr>
        <w:tabs>
          <w:tab w:val="center" w:pos="7020"/>
        </w:tabs>
        <w:spacing w:before="60" w:after="60" w:line="360" w:lineRule="exact"/>
        <w:ind w:firstLine="720"/>
        <w:jc w:val="both"/>
        <w:rPr>
          <w:b/>
          <w:sz w:val="28"/>
          <w:szCs w:val="28"/>
          <w:lang w:val="nl-NL"/>
        </w:rPr>
      </w:pPr>
      <w:r>
        <w:rPr>
          <w:b/>
          <w:sz w:val="28"/>
          <w:szCs w:val="28"/>
          <w:lang w:val="nl-NL"/>
        </w:rPr>
        <w:t>V. DỰ KIẾN NGUỒN LỰC, ĐIỀU KIỆN ĐẢM BẢO CHO VIỆC THI HÀNH VĂN BẢN VÀ THỜI GIAN TRÌNH THÔNG QUA/BAN HÀNH</w:t>
      </w:r>
    </w:p>
    <w:p>
      <w:pPr>
        <w:tabs>
          <w:tab w:val="center" w:pos="7020"/>
        </w:tabs>
        <w:spacing w:before="60" w:after="60" w:line="360" w:lineRule="exact"/>
        <w:ind w:firstLine="720"/>
        <w:jc w:val="both"/>
        <w:rPr>
          <w:b/>
          <w:i/>
          <w:sz w:val="28"/>
          <w:szCs w:val="28"/>
          <w:lang w:val="nl-NL"/>
        </w:rPr>
      </w:pPr>
      <w:r>
        <w:rPr>
          <w:b/>
          <w:sz w:val="28"/>
          <w:szCs w:val="28"/>
          <w:lang w:val="nl-NL"/>
        </w:rPr>
        <w:t xml:space="preserve">1. Dự  kiến kinh phí hàng năm: Tổng kinh phí ngân sách thành phố hỗ trợ mức đóng bảo hiểm y tế cho các nhóm đối tượng xã hội là: 394.601.051.520 (làm tròn số: 394.602 triệu đồng). </w:t>
      </w:r>
      <w:r>
        <w:rPr>
          <w:b/>
          <w:i/>
          <w:sz w:val="28"/>
          <w:szCs w:val="28"/>
          <w:lang w:val="nl-NL"/>
        </w:rPr>
        <w:t xml:space="preserve">(Bằng chữ: Ba trăm chín mươi bốn tỷ, sáu trăm linh hai triệu đồng chẵn). </w:t>
      </w:r>
    </w:p>
    <w:p>
      <w:pPr>
        <w:pStyle w:val="Tiu10"/>
        <w:tabs>
          <w:tab w:val="left" w:pos="988"/>
          <w:tab w:val="left" w:pos="1094"/>
        </w:tabs>
        <w:spacing w:before="60" w:line="360" w:lineRule="exact"/>
        <w:ind w:firstLine="720"/>
        <w:jc w:val="both"/>
        <w:rPr>
          <w:b w:val="0"/>
          <w:kern w:val="36"/>
          <w:sz w:val="28"/>
          <w:szCs w:val="28"/>
        </w:rPr>
      </w:pPr>
      <w:r>
        <w:rPr>
          <w:b w:val="0"/>
          <w:sz w:val="28"/>
          <w:szCs w:val="28"/>
        </w:rPr>
        <w:t xml:space="preserve"> (1) Ngân sách thành phố hỗ trợ 100% mức đóng bảo hiểm y tế cho người cao tuổi từ đủ 60 tuổi đến 74 tuổi</w:t>
      </w:r>
      <w:r>
        <w:rPr>
          <w:sz w:val="28"/>
          <w:szCs w:val="28"/>
        </w:rPr>
        <w:t xml:space="preserve"> </w:t>
      </w:r>
      <w:r>
        <w:rPr>
          <w:b w:val="0"/>
          <w:kern w:val="36"/>
          <w:sz w:val="28"/>
          <w:szCs w:val="28"/>
        </w:rPr>
        <w:t>không có lương hưu, không có trợ cấp xã hội</w:t>
      </w:r>
      <w:r>
        <w:rPr>
          <w:bCs w:val="0"/>
          <w:kern w:val="36"/>
          <w:sz w:val="28"/>
          <w:szCs w:val="28"/>
        </w:rPr>
        <w:t xml:space="preserve"> </w:t>
      </w:r>
      <w:r>
        <w:rPr>
          <w:b w:val="0"/>
          <w:bCs w:val="0"/>
          <w:kern w:val="36"/>
          <w:sz w:val="28"/>
          <w:szCs w:val="28"/>
        </w:rPr>
        <w:t xml:space="preserve">hàng tháng; Hội viên Hội người mù thành phố </w:t>
      </w:r>
      <w:r>
        <w:rPr>
          <w:b w:val="0"/>
          <w:kern w:val="36"/>
          <w:sz w:val="28"/>
          <w:szCs w:val="28"/>
        </w:rPr>
        <w:t>chưa được cấp thẻ bảo hiểm y tế miễn phí đang thường trú trên địa bàn thành phố Hải Phòng (Lấy mức lương cơ sở Chính phủ quy định hiện hành để dự toán kinh phí nhân với mức đóng của nhóm do ngân sách nhà nước hỗ trợ mức đóng được quy định tại Điều 6 Nghị định 188/2025/NĐ-CP ngày 01/7/2025).</w:t>
      </w:r>
    </w:p>
    <w:p>
      <w:pPr>
        <w:pStyle w:val="Tiu10"/>
        <w:tabs>
          <w:tab w:val="left" w:pos="988"/>
          <w:tab w:val="left" w:pos="1094"/>
        </w:tabs>
        <w:spacing w:before="60" w:line="360" w:lineRule="exact"/>
        <w:ind w:firstLine="720"/>
        <w:jc w:val="both"/>
        <w:rPr>
          <w:b w:val="0"/>
          <w:kern w:val="36"/>
          <w:sz w:val="28"/>
          <w:szCs w:val="28"/>
        </w:rPr>
      </w:pPr>
      <w:r>
        <w:rPr>
          <w:b w:val="0"/>
          <w:kern w:val="36"/>
          <w:sz w:val="28"/>
          <w:szCs w:val="28"/>
        </w:rPr>
        <w:t xml:space="preserve">- Người cao tuổi từ đủ 60 tuổi đến 74 tuổi: 266.334 người x 2.340.000 x 4,5% x 12 tháng = 336.539.642.400 đồng (làm tròn số: 336.540 triệu đồng). </w:t>
      </w:r>
    </w:p>
    <w:p>
      <w:pPr>
        <w:pStyle w:val="Tiu10"/>
        <w:tabs>
          <w:tab w:val="left" w:pos="988"/>
          <w:tab w:val="left" w:pos="1094"/>
        </w:tabs>
        <w:spacing w:before="60" w:line="360" w:lineRule="exact"/>
        <w:ind w:firstLine="720"/>
        <w:jc w:val="both"/>
        <w:rPr>
          <w:b w:val="0"/>
          <w:kern w:val="36"/>
          <w:sz w:val="28"/>
          <w:szCs w:val="28"/>
        </w:rPr>
      </w:pPr>
      <w:r>
        <w:rPr>
          <w:b w:val="0"/>
          <w:kern w:val="36"/>
          <w:sz w:val="28"/>
          <w:szCs w:val="28"/>
        </w:rPr>
        <w:t>- Hội viên hội người mù: 526 người x 2.340.000 x 4,5% x 12 tháng = 664.653.600 (làm tròn số: 665 triệu đồng).</w:t>
      </w:r>
    </w:p>
    <w:p>
      <w:pPr>
        <w:pStyle w:val="Tiu10"/>
        <w:tabs>
          <w:tab w:val="left" w:pos="988"/>
          <w:tab w:val="left" w:pos="1094"/>
        </w:tabs>
        <w:spacing w:before="60" w:line="360" w:lineRule="exact"/>
        <w:ind w:firstLine="720"/>
        <w:jc w:val="both"/>
        <w:rPr>
          <w:b w:val="0"/>
          <w:sz w:val="28"/>
          <w:szCs w:val="28"/>
        </w:rPr>
      </w:pPr>
      <w:r>
        <w:rPr>
          <w:b w:val="0"/>
          <w:kern w:val="36"/>
          <w:sz w:val="28"/>
          <w:szCs w:val="28"/>
        </w:rPr>
        <w:t xml:space="preserve"> (2) </w:t>
      </w:r>
      <w:r>
        <w:rPr>
          <w:b w:val="0"/>
          <w:sz w:val="28"/>
          <w:szCs w:val="28"/>
        </w:rPr>
        <w:t>Ngân sách thành phố hỗ trợ 100% mức đóng bảo hiểm y tế cho người nhiễm HIV/AIDS:</w:t>
      </w:r>
      <w:r>
        <w:rPr>
          <w:b w:val="0"/>
          <w:kern w:val="36"/>
          <w:sz w:val="28"/>
          <w:szCs w:val="28"/>
        </w:rPr>
        <w:t xml:space="preserve"> 2.500 người x 2.340.000 x 4,5% x 12 tháng = 3.159.000.000 (làm tròn số: 3.159 triệu đồng).</w:t>
      </w:r>
    </w:p>
    <w:p>
      <w:pPr>
        <w:spacing w:before="60" w:after="60" w:line="360" w:lineRule="exact"/>
        <w:ind w:firstLine="720"/>
        <w:jc w:val="both"/>
        <w:rPr>
          <w:sz w:val="28"/>
          <w:szCs w:val="28"/>
        </w:rPr>
      </w:pPr>
      <w:r>
        <w:rPr>
          <w:sz w:val="28"/>
          <w:szCs w:val="28"/>
        </w:rPr>
        <w:t>(3) Ngân sách thành phố hỗ trợ 30% mức đóng bảo hiểm y tế cho người thuộc hộ cận nghèo.</w:t>
      </w:r>
    </w:p>
    <w:p>
      <w:pPr>
        <w:pStyle w:val="Tiu10"/>
        <w:tabs>
          <w:tab w:val="left" w:pos="988"/>
          <w:tab w:val="left" w:pos="1094"/>
        </w:tabs>
        <w:spacing w:before="60" w:line="360" w:lineRule="exact"/>
        <w:ind w:firstLine="720"/>
        <w:jc w:val="both"/>
        <w:rPr>
          <w:b w:val="0"/>
          <w:kern w:val="36"/>
          <w:sz w:val="28"/>
          <w:szCs w:val="28"/>
        </w:rPr>
      </w:pPr>
      <w:r>
        <w:rPr>
          <w:b w:val="0"/>
          <w:sz w:val="28"/>
          <w:szCs w:val="28"/>
        </w:rPr>
        <w:t>- 22.929</w:t>
      </w:r>
      <w:r>
        <w:rPr>
          <w:sz w:val="28"/>
          <w:szCs w:val="28"/>
        </w:rPr>
        <w:t xml:space="preserve"> </w:t>
      </w:r>
      <w:r>
        <w:rPr>
          <w:b w:val="0"/>
          <w:kern w:val="36"/>
          <w:sz w:val="28"/>
          <w:szCs w:val="28"/>
        </w:rPr>
        <w:t>người x 2.340.000 x 4,5% x 12 tháng x 30% = 8.691.925.320 (làm tròn số: 8.692 triệu đồng).</w:t>
      </w:r>
    </w:p>
    <w:p>
      <w:pPr>
        <w:spacing w:before="60" w:after="60" w:line="360" w:lineRule="exact"/>
        <w:ind w:firstLine="720"/>
        <w:jc w:val="both"/>
        <w:rPr>
          <w:sz w:val="28"/>
          <w:szCs w:val="28"/>
        </w:rPr>
      </w:pPr>
      <w:r>
        <w:rPr>
          <w:sz w:val="28"/>
          <w:szCs w:val="28"/>
        </w:rPr>
        <w:lastRenderedPageBreak/>
        <w:t xml:space="preserve"> (4) Ngân sách thành phố hỗ trợ 20% mức đóng bảo hiểm y tế</w:t>
      </w:r>
      <w:r>
        <w:rPr>
          <w:b/>
          <w:sz w:val="28"/>
          <w:szCs w:val="28"/>
        </w:rPr>
        <w:t xml:space="preserve"> </w:t>
      </w:r>
      <w:r>
        <w:rPr>
          <w:sz w:val="28"/>
          <w:szCs w:val="28"/>
        </w:rPr>
        <w:t>cho</w:t>
      </w:r>
      <w:r>
        <w:rPr>
          <w:b/>
          <w:sz w:val="28"/>
          <w:szCs w:val="28"/>
        </w:rPr>
        <w:t xml:space="preserve"> </w:t>
      </w:r>
      <w:r>
        <w:rPr>
          <w:sz w:val="28"/>
          <w:szCs w:val="28"/>
        </w:rPr>
        <w:t>người thuộc hộ gia đình làm nông nghiệp, lâm nghiệp, ngư nghiệp, diêm nghiệp có mức sống trung bình.</w:t>
      </w:r>
    </w:p>
    <w:p>
      <w:pPr>
        <w:pStyle w:val="Tiu10"/>
        <w:tabs>
          <w:tab w:val="left" w:pos="988"/>
          <w:tab w:val="left" w:pos="1094"/>
        </w:tabs>
        <w:spacing w:before="60" w:line="360" w:lineRule="exact"/>
        <w:ind w:firstLine="720"/>
        <w:jc w:val="both"/>
        <w:rPr>
          <w:b w:val="0"/>
          <w:kern w:val="36"/>
          <w:sz w:val="28"/>
          <w:szCs w:val="28"/>
        </w:rPr>
      </w:pPr>
      <w:r>
        <w:rPr>
          <w:sz w:val="28"/>
          <w:szCs w:val="28"/>
        </w:rPr>
        <w:t xml:space="preserve">- </w:t>
      </w:r>
      <w:r>
        <w:rPr>
          <w:b w:val="0"/>
          <w:sz w:val="28"/>
          <w:szCs w:val="28"/>
        </w:rPr>
        <w:t>172.551</w:t>
      </w:r>
      <w:r>
        <w:rPr>
          <w:sz w:val="28"/>
          <w:szCs w:val="28"/>
        </w:rPr>
        <w:t xml:space="preserve"> </w:t>
      </w:r>
      <w:r>
        <w:rPr>
          <w:b w:val="0"/>
          <w:kern w:val="36"/>
          <w:sz w:val="28"/>
          <w:szCs w:val="28"/>
        </w:rPr>
        <w:t>người x 2.340.000 x 4,5% x 12 tháng x 20% = 43.607.846.880 (làm tròn số: 43.608 triệu đồng).</w:t>
      </w:r>
    </w:p>
    <w:p>
      <w:pPr>
        <w:spacing w:before="60" w:after="60" w:line="360" w:lineRule="exact"/>
        <w:ind w:firstLine="720"/>
        <w:jc w:val="both"/>
        <w:rPr>
          <w:sz w:val="28"/>
          <w:szCs w:val="28"/>
        </w:rPr>
      </w:pPr>
      <w:r>
        <w:rPr>
          <w:sz w:val="28"/>
          <w:szCs w:val="28"/>
        </w:rPr>
        <w:t xml:space="preserve"> (5) Ngân sách thành phố hỗ trợ 70% mức đóng bảo hiểm y tế cho người thu gom rác tại các tại các tổ thu gom rác thải ở các thôn, khu dân cư được Ủy ban nhân dân cấp xã xác nhận</w:t>
      </w:r>
      <w:r>
        <w:rPr>
          <w:b/>
          <w:sz w:val="28"/>
          <w:szCs w:val="28"/>
        </w:rPr>
        <w:t xml:space="preserve"> </w:t>
      </w:r>
      <w:r>
        <w:rPr>
          <w:sz w:val="28"/>
          <w:szCs w:val="28"/>
        </w:rPr>
        <w:t xml:space="preserve">(không thuộc doanh nghiệp, hợp tác xã thu gom rác).  </w:t>
      </w:r>
    </w:p>
    <w:p>
      <w:pPr>
        <w:pStyle w:val="Tiu10"/>
        <w:tabs>
          <w:tab w:val="left" w:pos="988"/>
          <w:tab w:val="left" w:pos="1094"/>
        </w:tabs>
        <w:spacing w:before="60" w:line="360" w:lineRule="exact"/>
        <w:ind w:firstLine="720"/>
        <w:jc w:val="both"/>
        <w:rPr>
          <w:b w:val="0"/>
          <w:kern w:val="36"/>
          <w:sz w:val="28"/>
          <w:szCs w:val="28"/>
        </w:rPr>
      </w:pPr>
      <w:r>
        <w:rPr>
          <w:b w:val="0"/>
          <w:sz w:val="28"/>
          <w:szCs w:val="28"/>
        </w:rPr>
        <w:t>- 2.191</w:t>
      </w:r>
      <w:r>
        <w:rPr>
          <w:sz w:val="28"/>
          <w:szCs w:val="28"/>
        </w:rPr>
        <w:t xml:space="preserve"> </w:t>
      </w:r>
      <w:r>
        <w:rPr>
          <w:b w:val="0"/>
          <w:kern w:val="36"/>
          <w:sz w:val="28"/>
          <w:szCs w:val="28"/>
        </w:rPr>
        <w:t>người x 2.340.000 x 4,5% x 12 tháng x 70% =  1.937.983.320 (làm tròn số: 1.938 triệu đồng).</w:t>
      </w:r>
    </w:p>
    <w:p>
      <w:pPr>
        <w:tabs>
          <w:tab w:val="center" w:pos="7020"/>
        </w:tabs>
        <w:spacing w:before="60" w:after="60" w:line="360" w:lineRule="exact"/>
        <w:ind w:firstLine="720"/>
        <w:jc w:val="both"/>
        <w:rPr>
          <w:b/>
          <w:sz w:val="28"/>
          <w:szCs w:val="28"/>
          <w:lang w:val="nl-NL"/>
        </w:rPr>
      </w:pPr>
      <w:r>
        <w:rPr>
          <w:b/>
          <w:sz w:val="28"/>
          <w:szCs w:val="28"/>
          <w:lang w:val="nl-NL"/>
        </w:rPr>
        <w:t xml:space="preserve">2. Dự kiến kinh phí cả giai đoạn 2026-2030 là: 394.601.051.520 đồng x 5 năm  = 1.973.005.257.600 (làm tròn số: 1.973.006 triệu đồng); </w:t>
      </w:r>
      <w:r>
        <w:rPr>
          <w:b/>
          <w:i/>
          <w:sz w:val="28"/>
          <w:szCs w:val="28"/>
          <w:lang w:val="nl-NL"/>
        </w:rPr>
        <w:t>(Bằng chữ: Một nghìn chín trăm bảy mươi ba tỷ, không trăm linh sáu triệu đồng chẵn).</w:t>
      </w:r>
    </w:p>
    <w:p>
      <w:pPr>
        <w:pStyle w:val="Tiu10"/>
        <w:tabs>
          <w:tab w:val="left" w:pos="988"/>
          <w:tab w:val="left" w:pos="1094"/>
        </w:tabs>
        <w:spacing w:before="60" w:line="360" w:lineRule="exact"/>
        <w:ind w:firstLine="720"/>
        <w:jc w:val="both"/>
        <w:rPr>
          <w:b w:val="0"/>
          <w:kern w:val="36"/>
          <w:sz w:val="28"/>
          <w:szCs w:val="28"/>
        </w:rPr>
      </w:pPr>
      <w:r>
        <w:rPr>
          <w:kern w:val="36"/>
          <w:sz w:val="28"/>
          <w:szCs w:val="28"/>
        </w:rPr>
        <w:t>3. Nguồn Kinh phí</w:t>
      </w:r>
      <w:r>
        <w:rPr>
          <w:b w:val="0"/>
          <w:kern w:val="36"/>
          <w:sz w:val="28"/>
          <w:szCs w:val="28"/>
        </w:rPr>
        <w:t xml:space="preserve"> </w:t>
      </w:r>
    </w:p>
    <w:p>
      <w:pPr>
        <w:pStyle w:val="ListParagraph"/>
        <w:spacing w:before="60" w:after="60" w:line="360" w:lineRule="exact"/>
        <w:ind w:left="0" w:firstLine="720"/>
        <w:jc w:val="both"/>
        <w:rPr>
          <w:rFonts w:ascii="Times New Roman" w:hAnsi="Times New Roman"/>
          <w:sz w:val="28"/>
          <w:szCs w:val="28"/>
        </w:rPr>
      </w:pPr>
      <w:r>
        <w:rPr>
          <w:rFonts w:ascii="Times New Roman" w:hAnsi="Times New Roman"/>
          <w:sz w:val="28"/>
          <w:szCs w:val="28"/>
        </w:rPr>
        <w:t>Nguồn kinh phí bảo đảm cho việc thực hiện Nghị quyết do ngân sách thành phố bảo đảm theo phân cấp ngân sách hiện hành.</w:t>
      </w:r>
    </w:p>
    <w:p>
      <w:pPr>
        <w:spacing w:before="60" w:after="60" w:line="360" w:lineRule="exact"/>
        <w:ind w:firstLine="720"/>
        <w:jc w:val="both"/>
        <w:rPr>
          <w:b/>
          <w:bCs/>
          <w:sz w:val="28"/>
          <w:szCs w:val="28"/>
        </w:rPr>
      </w:pPr>
      <w:r>
        <w:rPr>
          <w:b/>
          <w:bCs/>
          <w:sz w:val="28"/>
          <w:szCs w:val="28"/>
        </w:rPr>
        <w:t>4. Thời gian trình thông qua/ban hành</w:t>
      </w:r>
    </w:p>
    <w:p>
      <w:pPr>
        <w:spacing w:before="60" w:after="60" w:line="360" w:lineRule="exact"/>
        <w:ind w:firstLine="720"/>
        <w:jc w:val="both"/>
        <w:rPr>
          <w:sz w:val="28"/>
          <w:szCs w:val="28"/>
          <w:lang w:val="pt-BR"/>
        </w:rPr>
      </w:pPr>
      <w:r>
        <w:rPr>
          <w:bCs/>
          <w:sz w:val="28"/>
          <w:szCs w:val="28"/>
          <w:lang w:val="af-ZA"/>
        </w:rPr>
        <w:t>Ủy</w:t>
      </w:r>
      <w:r>
        <w:rPr>
          <w:sz w:val="28"/>
          <w:szCs w:val="28"/>
          <w:lang w:val="pt-BR"/>
        </w:rPr>
        <w:t xml:space="preserve"> ban nhân dân thành phố đề nghị Hội đồng nhân dân thành phố xem xét, thông qua Nghị quyết vào kỳ họp thường lệ cuối năm 2025 của Hội đồng nhân dân thành phố.</w:t>
      </w:r>
    </w:p>
    <w:p>
      <w:pPr>
        <w:spacing w:before="60" w:after="60" w:line="360" w:lineRule="exact"/>
        <w:ind w:firstLine="720"/>
        <w:jc w:val="both"/>
        <w:rPr>
          <w:b/>
          <w:bCs/>
          <w:sz w:val="28"/>
          <w:szCs w:val="28"/>
        </w:rPr>
      </w:pPr>
      <w:r>
        <w:rPr>
          <w:b/>
          <w:bCs/>
          <w:sz w:val="28"/>
          <w:szCs w:val="28"/>
        </w:rPr>
        <w:t>VI. NHỮNG VẤN ĐỀ XIN Ý KIẾN (NẾU CÓ)</w:t>
      </w:r>
    </w:p>
    <w:p>
      <w:pPr>
        <w:spacing w:before="60" w:after="60" w:line="360" w:lineRule="exact"/>
        <w:ind w:firstLine="720"/>
        <w:jc w:val="both"/>
        <w:rPr>
          <w:sz w:val="28"/>
          <w:szCs w:val="28"/>
        </w:rPr>
      </w:pPr>
      <w:r>
        <w:rPr>
          <w:sz w:val="28"/>
          <w:szCs w:val="28"/>
        </w:rPr>
        <w:t>Những vấn đề còn ý kiến khác nhau cần xin ý kiến cấp có thẩm quyền và kiến nghị phướng án giải quyết.</w:t>
      </w:r>
    </w:p>
    <w:p>
      <w:pPr>
        <w:pStyle w:val="NormalWeb"/>
        <w:tabs>
          <w:tab w:val="left" w:pos="567"/>
        </w:tabs>
        <w:autoSpaceDE w:val="0"/>
        <w:autoSpaceDN w:val="0"/>
        <w:spacing w:before="60" w:beforeAutospacing="0" w:after="60" w:afterAutospacing="0" w:line="360" w:lineRule="exact"/>
        <w:ind w:firstLine="567"/>
        <w:jc w:val="both"/>
        <w:rPr>
          <w:sz w:val="28"/>
          <w:szCs w:val="28"/>
        </w:rPr>
      </w:pPr>
      <w:r>
        <w:rPr>
          <w:spacing w:val="-4"/>
          <w:sz w:val="28"/>
          <w:szCs w:val="28"/>
        </w:rPr>
        <w:t xml:space="preserve">Trên đây là Tờ trình về dự thảo </w:t>
      </w:r>
      <w:r>
        <w:rPr>
          <w:bCs/>
          <w:sz w:val="28"/>
          <w:szCs w:val="28"/>
        </w:rPr>
        <w:t>Nghị quyết quy định chính sách hỗ trợ mức đóng bảo hiểm y tế cho các nhóm đối tượng xã hội trên địa bàn thành phố Hải Phòng</w:t>
      </w:r>
      <w:r>
        <w:rPr>
          <w:kern w:val="36"/>
          <w:sz w:val="28"/>
          <w:szCs w:val="28"/>
        </w:rPr>
        <w:t>,</w:t>
      </w:r>
      <w:r>
        <w:rPr>
          <w:sz w:val="28"/>
          <w:szCs w:val="28"/>
        </w:rPr>
        <w:t xml:space="preserve"> Ủy ban nhân dân thành phố kính trình Thường trực Hội đồng nhân dân thành phố xem xét, quyết định.</w:t>
      </w:r>
    </w:p>
    <w:p>
      <w:pPr>
        <w:pStyle w:val="NormalWeb"/>
        <w:tabs>
          <w:tab w:val="left" w:pos="567"/>
        </w:tabs>
        <w:autoSpaceDE w:val="0"/>
        <w:autoSpaceDN w:val="0"/>
        <w:spacing w:before="60" w:beforeAutospacing="0" w:after="60" w:afterAutospacing="0" w:line="360" w:lineRule="exact"/>
        <w:ind w:firstLine="567"/>
        <w:jc w:val="both"/>
        <w:rPr>
          <w:i/>
          <w:iCs/>
          <w:sz w:val="28"/>
          <w:szCs w:val="28"/>
        </w:rPr>
      </w:pPr>
      <w:r>
        <w:rPr>
          <w:i/>
          <w:iCs/>
          <w:sz w:val="28"/>
          <w:szCs w:val="28"/>
        </w:rPr>
        <w:t>(Xin gửi kèm theo các tài liệu có liên quan)./.</w:t>
      </w:r>
    </w:p>
    <w:p>
      <w:pPr>
        <w:pStyle w:val="NormalWeb"/>
        <w:tabs>
          <w:tab w:val="left" w:pos="567"/>
        </w:tabs>
        <w:autoSpaceDE w:val="0"/>
        <w:autoSpaceDN w:val="0"/>
        <w:spacing w:before="60" w:beforeAutospacing="0" w:after="60" w:afterAutospacing="0" w:line="360" w:lineRule="exact"/>
        <w:ind w:firstLine="567"/>
        <w:jc w:val="both"/>
        <w:rPr>
          <w:i/>
          <w:iCs/>
          <w:sz w:val="28"/>
          <w:szCs w:val="28"/>
        </w:rPr>
      </w:pPr>
    </w:p>
    <w:tbl>
      <w:tblPr>
        <w:tblW w:w="8930" w:type="dxa"/>
        <w:tblInd w:w="250" w:type="dxa"/>
        <w:tblLook w:val="0000" w:firstRow="0" w:lastRow="0" w:firstColumn="0" w:lastColumn="0" w:noHBand="0" w:noVBand="0"/>
      </w:tblPr>
      <w:tblGrid>
        <w:gridCol w:w="5245"/>
        <w:gridCol w:w="3685"/>
      </w:tblGrid>
      <w:tr>
        <w:trPr>
          <w:trHeight w:val="2279"/>
        </w:trPr>
        <w:tc>
          <w:tcPr>
            <w:tcW w:w="5245" w:type="dxa"/>
          </w:tcPr>
          <w:p>
            <w:pPr>
              <w:tabs>
                <w:tab w:val="left" w:pos="567"/>
              </w:tabs>
              <w:spacing w:before="10" w:after="10"/>
            </w:pPr>
            <w:r>
              <w:rPr>
                <w:b/>
                <w:bCs/>
                <w:i/>
                <w:iCs/>
              </w:rPr>
              <w:t>Nơi nhận:</w:t>
            </w:r>
            <w:r>
              <w:rPr>
                <w:b/>
                <w:bCs/>
                <w:i/>
                <w:iCs/>
              </w:rPr>
              <w:br/>
            </w:r>
            <w:r>
              <w:t>- Như trên;</w:t>
            </w:r>
            <w:r>
              <w:br/>
              <w:t>- CT, các PCT UBND TP;</w:t>
            </w:r>
          </w:p>
          <w:p>
            <w:pPr>
              <w:tabs>
                <w:tab w:val="left" w:pos="567"/>
              </w:tabs>
              <w:spacing w:before="10" w:after="10"/>
            </w:pPr>
            <w:r>
              <w:t>- Các Ban HĐND TP;</w:t>
            </w:r>
          </w:p>
          <w:p>
            <w:pPr>
              <w:tabs>
                <w:tab w:val="left" w:pos="567"/>
              </w:tabs>
              <w:spacing w:before="10" w:after="10"/>
            </w:pPr>
            <w:r>
              <w:t>- Văn phòng ĐĐBQH&amp;HĐNDTP;</w:t>
            </w:r>
          </w:p>
          <w:p>
            <w:pPr>
              <w:tabs>
                <w:tab w:val="left" w:pos="567"/>
              </w:tabs>
              <w:spacing w:before="10" w:after="10"/>
            </w:pPr>
            <w:r>
              <w:t>- Các Sở: YT,TP,TC;</w:t>
            </w:r>
          </w:p>
          <w:p>
            <w:pPr>
              <w:tabs>
                <w:tab w:val="left" w:pos="567"/>
              </w:tabs>
              <w:spacing w:before="10" w:after="10"/>
            </w:pPr>
            <w:r>
              <w:t>- CVP, PCVP UBND TP;</w:t>
            </w:r>
          </w:p>
          <w:p>
            <w:pPr>
              <w:tabs>
                <w:tab w:val="left" w:pos="567"/>
              </w:tabs>
              <w:spacing w:before="10" w:after="10"/>
            </w:pPr>
            <w:r>
              <w:t>- Các Phòng: NVKTGS, TC;</w:t>
            </w:r>
          </w:p>
          <w:p>
            <w:pPr>
              <w:ind w:right="-61"/>
              <w:jc w:val="both"/>
              <w:rPr>
                <w:b/>
                <w:i/>
              </w:rPr>
            </w:pPr>
            <w:r>
              <w:t>- Lưu: VT, NVKTGS.</w:t>
            </w:r>
          </w:p>
        </w:tc>
        <w:tc>
          <w:tcPr>
            <w:tcW w:w="3685" w:type="dxa"/>
          </w:tcPr>
          <w:p>
            <w:pPr>
              <w:tabs>
                <w:tab w:val="left" w:pos="567"/>
              </w:tabs>
              <w:spacing w:before="10" w:after="10"/>
              <w:ind w:firstLine="23"/>
              <w:jc w:val="center"/>
              <w:rPr>
                <w:b/>
                <w:bCs/>
                <w:sz w:val="28"/>
                <w:szCs w:val="28"/>
              </w:rPr>
            </w:pPr>
            <w:r>
              <w:rPr>
                <w:b/>
                <w:bCs/>
                <w:sz w:val="28"/>
                <w:szCs w:val="28"/>
              </w:rPr>
              <w:t>TM. UỶ BAN NHÂN DÂN</w:t>
            </w:r>
          </w:p>
          <w:p>
            <w:pPr>
              <w:tabs>
                <w:tab w:val="left" w:pos="567"/>
              </w:tabs>
              <w:spacing w:before="10" w:after="10"/>
              <w:ind w:firstLine="23"/>
              <w:jc w:val="center"/>
              <w:rPr>
                <w:b/>
                <w:bCs/>
                <w:sz w:val="28"/>
                <w:szCs w:val="28"/>
              </w:rPr>
            </w:pPr>
            <w:r>
              <w:rPr>
                <w:b/>
                <w:bCs/>
                <w:sz w:val="28"/>
                <w:szCs w:val="28"/>
              </w:rPr>
              <w:t>CHỦ TỊCH</w:t>
            </w:r>
          </w:p>
          <w:p>
            <w:pPr>
              <w:tabs>
                <w:tab w:val="left" w:pos="567"/>
              </w:tabs>
              <w:spacing w:before="10" w:after="10"/>
              <w:ind w:firstLine="23"/>
              <w:jc w:val="center"/>
              <w:rPr>
                <w:b/>
                <w:bCs/>
                <w:sz w:val="26"/>
                <w:szCs w:val="28"/>
              </w:rPr>
            </w:pPr>
          </w:p>
          <w:p>
            <w:pPr>
              <w:tabs>
                <w:tab w:val="left" w:pos="567"/>
              </w:tabs>
              <w:spacing w:before="10" w:after="10"/>
              <w:rPr>
                <w:b/>
                <w:bCs/>
                <w:sz w:val="46"/>
                <w:szCs w:val="28"/>
              </w:rPr>
            </w:pPr>
          </w:p>
          <w:p>
            <w:pPr>
              <w:tabs>
                <w:tab w:val="left" w:pos="567"/>
              </w:tabs>
              <w:spacing w:before="10" w:after="10"/>
              <w:rPr>
                <w:b/>
                <w:bCs/>
                <w:sz w:val="46"/>
                <w:szCs w:val="28"/>
              </w:rPr>
            </w:pPr>
          </w:p>
          <w:p>
            <w:pPr>
              <w:tabs>
                <w:tab w:val="left" w:pos="567"/>
              </w:tabs>
              <w:spacing w:before="10" w:after="10"/>
              <w:ind w:firstLine="23"/>
              <w:jc w:val="center"/>
              <w:rPr>
                <w:b/>
                <w:bCs/>
                <w:sz w:val="26"/>
                <w:szCs w:val="28"/>
              </w:rPr>
            </w:pPr>
          </w:p>
          <w:p>
            <w:pPr>
              <w:autoSpaceDE w:val="0"/>
              <w:autoSpaceDN w:val="0"/>
              <w:jc w:val="center"/>
              <w:rPr>
                <w:b/>
                <w:bCs/>
                <w:spacing w:val="-6"/>
                <w:sz w:val="28"/>
                <w:szCs w:val="28"/>
                <w:lang w:val="pl-PL"/>
              </w:rPr>
            </w:pPr>
            <w:r>
              <w:rPr>
                <w:b/>
                <w:bCs/>
                <w:spacing w:val="-6"/>
                <w:sz w:val="28"/>
                <w:szCs w:val="28"/>
                <w:lang w:val="pl-PL"/>
              </w:rPr>
              <w:t>Lê Ngọc Châu</w:t>
            </w:r>
          </w:p>
        </w:tc>
      </w:tr>
    </w:tbl>
    <w:p>
      <w:pPr>
        <w:pStyle w:val="Tiu10"/>
        <w:tabs>
          <w:tab w:val="left" w:pos="1034"/>
        </w:tabs>
        <w:spacing w:before="60" w:line="360" w:lineRule="exact"/>
        <w:ind w:firstLine="0"/>
        <w:jc w:val="both"/>
        <w:rPr>
          <w:b w:val="0"/>
          <w:i/>
          <w:sz w:val="28"/>
          <w:szCs w:val="28"/>
        </w:rPr>
      </w:pPr>
    </w:p>
    <w:p>
      <w:pPr>
        <w:spacing w:line="360" w:lineRule="exact"/>
        <w:ind w:firstLine="720"/>
        <w:jc w:val="both"/>
        <w:rPr>
          <w:sz w:val="28"/>
          <w:szCs w:val="28"/>
          <w:lang w:val="pt-BR"/>
        </w:rPr>
      </w:pPr>
    </w:p>
    <w:p>
      <w:pPr>
        <w:tabs>
          <w:tab w:val="center" w:pos="7020"/>
        </w:tabs>
        <w:spacing w:before="60" w:after="60" w:line="320" w:lineRule="exact"/>
        <w:ind w:firstLine="720"/>
        <w:jc w:val="both"/>
        <w:rPr>
          <w:b/>
          <w:sz w:val="28"/>
          <w:szCs w:val="28"/>
          <w:lang w:val="nl-NL"/>
        </w:rPr>
      </w:pPr>
    </w:p>
    <w:p>
      <w:pPr>
        <w:spacing w:before="60" w:after="60" w:line="320" w:lineRule="exact"/>
        <w:ind w:firstLine="709"/>
        <w:jc w:val="both"/>
        <w:rPr>
          <w:b/>
          <w:sz w:val="28"/>
          <w:szCs w:val="28"/>
        </w:rPr>
      </w:pPr>
    </w:p>
    <w:p>
      <w:pPr>
        <w:spacing w:before="60" w:after="60" w:line="320" w:lineRule="exact"/>
        <w:ind w:firstLine="709"/>
        <w:jc w:val="both"/>
        <w:rPr>
          <w:b/>
          <w:sz w:val="28"/>
          <w:szCs w:val="28"/>
        </w:rPr>
      </w:pPr>
    </w:p>
    <w:p>
      <w:pPr>
        <w:spacing w:before="60" w:after="60" w:line="320" w:lineRule="exact"/>
        <w:ind w:firstLine="709"/>
        <w:jc w:val="both"/>
        <w:rPr>
          <w:b/>
          <w:sz w:val="28"/>
          <w:szCs w:val="28"/>
        </w:rPr>
      </w:pPr>
    </w:p>
    <w:p>
      <w:pPr>
        <w:spacing w:before="60" w:after="60" w:line="320" w:lineRule="exact"/>
        <w:ind w:firstLine="709"/>
        <w:jc w:val="both"/>
        <w:rPr>
          <w:b/>
          <w:sz w:val="28"/>
          <w:szCs w:val="28"/>
        </w:rPr>
      </w:pPr>
    </w:p>
    <w:p>
      <w:pPr>
        <w:spacing w:before="60" w:after="60" w:line="320" w:lineRule="exact"/>
        <w:ind w:firstLine="709"/>
        <w:jc w:val="both"/>
        <w:rPr>
          <w:sz w:val="28"/>
          <w:szCs w:val="28"/>
        </w:rPr>
      </w:pPr>
    </w:p>
    <w:p>
      <w:pPr>
        <w:spacing w:before="60" w:after="60" w:line="320" w:lineRule="exact"/>
        <w:ind w:firstLine="709"/>
        <w:jc w:val="both"/>
        <w:rPr>
          <w:sz w:val="28"/>
          <w:szCs w:val="28"/>
        </w:rPr>
      </w:pPr>
    </w:p>
    <w:p>
      <w:pPr>
        <w:spacing w:before="60" w:after="60" w:line="320" w:lineRule="exact"/>
        <w:ind w:firstLine="709"/>
        <w:jc w:val="both"/>
        <w:rPr>
          <w:sz w:val="28"/>
          <w:szCs w:val="28"/>
        </w:rPr>
      </w:pPr>
    </w:p>
    <w:p>
      <w:pPr>
        <w:spacing w:before="60" w:after="60" w:line="320" w:lineRule="exact"/>
        <w:ind w:firstLine="709"/>
        <w:jc w:val="both"/>
        <w:rPr>
          <w:sz w:val="28"/>
          <w:szCs w:val="28"/>
        </w:rPr>
      </w:pPr>
    </w:p>
    <w:p>
      <w:pPr>
        <w:spacing w:before="60" w:after="60" w:line="320" w:lineRule="exact"/>
        <w:ind w:firstLine="709"/>
        <w:jc w:val="both"/>
        <w:rPr>
          <w:sz w:val="28"/>
          <w:szCs w:val="28"/>
        </w:rPr>
      </w:pPr>
    </w:p>
    <w:p>
      <w:pPr>
        <w:spacing w:before="120" w:line="340" w:lineRule="exact"/>
        <w:ind w:firstLine="720"/>
        <w:jc w:val="both"/>
        <w:rPr>
          <w:b/>
          <w:bCs/>
          <w:sz w:val="28"/>
          <w:szCs w:val="28"/>
          <w:lang w:val="af-ZA"/>
        </w:rPr>
      </w:pPr>
    </w:p>
    <w:p>
      <w:pPr>
        <w:spacing w:before="120" w:line="340" w:lineRule="exact"/>
        <w:ind w:firstLine="720"/>
        <w:jc w:val="both"/>
        <w:rPr>
          <w:b/>
          <w:bCs/>
          <w:sz w:val="28"/>
          <w:szCs w:val="28"/>
          <w:lang w:val="af-ZA"/>
        </w:rPr>
      </w:pPr>
    </w:p>
    <w:p>
      <w:pPr>
        <w:spacing w:before="120" w:line="340" w:lineRule="exact"/>
        <w:ind w:firstLine="720"/>
        <w:jc w:val="both"/>
        <w:rPr>
          <w:b/>
          <w:bCs/>
          <w:sz w:val="28"/>
          <w:szCs w:val="28"/>
          <w:lang w:val="af-ZA"/>
        </w:rPr>
      </w:pPr>
    </w:p>
    <w:p>
      <w:pPr>
        <w:spacing w:before="120" w:line="340" w:lineRule="exact"/>
        <w:ind w:firstLine="720"/>
        <w:jc w:val="both"/>
        <w:rPr>
          <w:b/>
          <w:bCs/>
          <w:sz w:val="28"/>
          <w:szCs w:val="28"/>
          <w:lang w:val="af-ZA"/>
        </w:rPr>
      </w:pPr>
    </w:p>
    <w:p>
      <w:pPr>
        <w:spacing w:before="120" w:line="340" w:lineRule="exact"/>
        <w:ind w:firstLine="720"/>
        <w:jc w:val="both"/>
        <w:rPr>
          <w:b/>
          <w:bCs/>
          <w:sz w:val="28"/>
          <w:szCs w:val="28"/>
          <w:lang w:val="af-ZA"/>
        </w:rPr>
      </w:pPr>
    </w:p>
    <w:p>
      <w:pPr>
        <w:spacing w:before="120" w:line="340" w:lineRule="exact"/>
        <w:ind w:firstLine="720"/>
        <w:jc w:val="both"/>
        <w:rPr>
          <w:b/>
          <w:bCs/>
          <w:sz w:val="28"/>
          <w:szCs w:val="28"/>
          <w:lang w:val="af-ZA"/>
        </w:rPr>
      </w:pPr>
    </w:p>
    <w:p>
      <w:pPr>
        <w:spacing w:before="120" w:line="340" w:lineRule="exact"/>
        <w:ind w:firstLine="720"/>
        <w:jc w:val="both"/>
        <w:rPr>
          <w:b/>
          <w:bCs/>
          <w:sz w:val="28"/>
          <w:szCs w:val="28"/>
          <w:lang w:val="af-ZA"/>
        </w:rPr>
      </w:pPr>
    </w:p>
    <w:p>
      <w:pPr>
        <w:spacing w:before="120"/>
        <w:jc w:val="both"/>
        <w:rPr>
          <w:sz w:val="28"/>
          <w:szCs w:val="28"/>
        </w:rPr>
      </w:pPr>
    </w:p>
    <w:p>
      <w:pPr>
        <w:pStyle w:val="Normal1"/>
        <w:spacing w:before="120" w:after="120" w:line="360" w:lineRule="exact"/>
        <w:ind w:firstLine="709"/>
        <w:jc w:val="both"/>
        <w:rPr>
          <w:iCs/>
        </w:rPr>
      </w:pPr>
    </w:p>
    <w:p>
      <w:pPr>
        <w:pStyle w:val="Normal1"/>
        <w:spacing w:before="120" w:after="120" w:line="360" w:lineRule="exact"/>
        <w:ind w:firstLine="709"/>
        <w:jc w:val="both"/>
        <w:rPr>
          <w:iCs/>
        </w:rPr>
      </w:pPr>
    </w:p>
    <w:p>
      <w:pPr>
        <w:pStyle w:val="Normal1"/>
        <w:spacing w:before="120" w:after="120" w:line="360" w:lineRule="exact"/>
        <w:ind w:firstLine="709"/>
        <w:jc w:val="both"/>
        <w:rPr>
          <w:iCs/>
        </w:rPr>
      </w:pPr>
    </w:p>
    <w:p>
      <w:pPr>
        <w:pStyle w:val="Tiu10"/>
        <w:tabs>
          <w:tab w:val="left" w:pos="988"/>
          <w:tab w:val="left" w:pos="1094"/>
        </w:tabs>
        <w:spacing w:before="120" w:after="120" w:line="360" w:lineRule="exact"/>
        <w:ind w:firstLine="720"/>
        <w:jc w:val="both"/>
        <w:rPr>
          <w:sz w:val="28"/>
          <w:szCs w:val="28"/>
        </w:rPr>
      </w:pPr>
    </w:p>
    <w:p>
      <w:pPr>
        <w:pStyle w:val="Tiu10"/>
        <w:tabs>
          <w:tab w:val="left" w:pos="988"/>
          <w:tab w:val="left" w:pos="1094"/>
        </w:tabs>
        <w:spacing w:before="120" w:after="120" w:line="360" w:lineRule="exact"/>
        <w:ind w:firstLine="720"/>
        <w:jc w:val="both"/>
        <w:rPr>
          <w:sz w:val="28"/>
          <w:szCs w:val="28"/>
        </w:rPr>
      </w:pPr>
    </w:p>
    <w:sectPr>
      <w:headerReference w:type="default" r:id="rId8"/>
      <w:pgSz w:w="11909" w:h="16834" w:code="9"/>
      <w:pgMar w:top="1134" w:right="1134" w:bottom="1134" w:left="1701" w:header="425"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7464"/>
      <w:docPartObj>
        <w:docPartGallery w:val="Page Numbers (Top of Page)"/>
        <w:docPartUnique/>
      </w:docPartObj>
    </w:sdtPr>
    <w:sdtContent>
      <w:p>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243A"/>
    <w:multiLevelType w:val="hybridMultilevel"/>
    <w:tmpl w:val="FAD2EC40"/>
    <w:lvl w:ilvl="0" w:tplc="62FA99F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C08332F"/>
    <w:multiLevelType w:val="hybridMultilevel"/>
    <w:tmpl w:val="12909522"/>
    <w:lvl w:ilvl="0" w:tplc="7D2EAA06">
      <w:start w:val="1"/>
      <w:numFmt w:val="bullet"/>
      <w:lvlText w:val="-"/>
      <w:lvlJc w:val="left"/>
      <w:pPr>
        <w:ind w:left="1144" w:hanging="360"/>
      </w:pPr>
      <w:rPr>
        <w:rFonts w:ascii="Times New Roman" w:eastAsia="Times New Roman"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 w15:restartNumberingAfterBreak="0">
    <w:nsid w:val="0C1B2385"/>
    <w:multiLevelType w:val="hybridMultilevel"/>
    <w:tmpl w:val="92F8C2D6"/>
    <w:lvl w:ilvl="0" w:tplc="4DBEEC6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DA10C51"/>
    <w:multiLevelType w:val="hybridMultilevel"/>
    <w:tmpl w:val="629447BE"/>
    <w:lvl w:ilvl="0" w:tplc="0908E36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145C5211"/>
    <w:multiLevelType w:val="hybridMultilevel"/>
    <w:tmpl w:val="4630FFD2"/>
    <w:lvl w:ilvl="0" w:tplc="3A14989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EA4DFA"/>
    <w:multiLevelType w:val="hybridMultilevel"/>
    <w:tmpl w:val="ACD293F0"/>
    <w:lvl w:ilvl="0" w:tplc="615A3B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96A2A6C"/>
    <w:multiLevelType w:val="hybridMultilevel"/>
    <w:tmpl w:val="290E5B88"/>
    <w:lvl w:ilvl="0" w:tplc="323EE25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5E6FA7"/>
    <w:multiLevelType w:val="hybridMultilevel"/>
    <w:tmpl w:val="1DEE74A2"/>
    <w:lvl w:ilvl="0" w:tplc="896A29E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BA17E21"/>
    <w:multiLevelType w:val="hybridMultilevel"/>
    <w:tmpl w:val="9F864006"/>
    <w:lvl w:ilvl="0" w:tplc="573CFDA8">
      <w:start w:val="1"/>
      <w:numFmt w:val="decimal"/>
      <w:lvlText w:val="%1."/>
      <w:lvlJc w:val="left"/>
      <w:pPr>
        <w:ind w:left="1407" w:hanging="84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 w15:restartNumberingAfterBreak="0">
    <w:nsid w:val="30A721A4"/>
    <w:multiLevelType w:val="hybridMultilevel"/>
    <w:tmpl w:val="C5D4D208"/>
    <w:lvl w:ilvl="0" w:tplc="F63CDED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C34CE8"/>
    <w:multiLevelType w:val="hybridMultilevel"/>
    <w:tmpl w:val="2A6CEB46"/>
    <w:lvl w:ilvl="0" w:tplc="6CFEA5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B00313F"/>
    <w:multiLevelType w:val="multilevel"/>
    <w:tmpl w:val="18F8243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DA52CC4"/>
    <w:multiLevelType w:val="hybridMultilevel"/>
    <w:tmpl w:val="2F10E4D8"/>
    <w:lvl w:ilvl="0" w:tplc="1B864D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DBA4C3B"/>
    <w:multiLevelType w:val="hybridMultilevel"/>
    <w:tmpl w:val="94F8701A"/>
    <w:lvl w:ilvl="0" w:tplc="265015E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4" w15:restartNumberingAfterBreak="0">
    <w:nsid w:val="40652CBD"/>
    <w:multiLevelType w:val="hybridMultilevel"/>
    <w:tmpl w:val="F4AE389A"/>
    <w:lvl w:ilvl="0" w:tplc="2612CAD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44C20130"/>
    <w:multiLevelType w:val="hybridMultilevel"/>
    <w:tmpl w:val="8648076E"/>
    <w:lvl w:ilvl="0" w:tplc="4B8EE37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49824CF0"/>
    <w:multiLevelType w:val="hybridMultilevel"/>
    <w:tmpl w:val="353A685E"/>
    <w:lvl w:ilvl="0" w:tplc="CD0245C0">
      <w:start w:val="1"/>
      <w:numFmt w:val="upperRoman"/>
      <w:lvlText w:val="%1."/>
      <w:lvlJc w:val="left"/>
      <w:pPr>
        <w:ind w:left="1429" w:hanging="72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7" w15:restartNumberingAfterBreak="0">
    <w:nsid w:val="49CA071E"/>
    <w:multiLevelType w:val="multilevel"/>
    <w:tmpl w:val="C98C865E"/>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4C411A45"/>
    <w:multiLevelType w:val="hybridMultilevel"/>
    <w:tmpl w:val="6CE0343A"/>
    <w:lvl w:ilvl="0" w:tplc="EC58984E">
      <w:start w:val="1"/>
      <w:numFmt w:val="lowerLetter"/>
      <w:lvlText w:val="%1)"/>
      <w:lvlJc w:val="left"/>
      <w:pPr>
        <w:ind w:left="114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9" w15:restartNumberingAfterBreak="0">
    <w:nsid w:val="4D1148BF"/>
    <w:multiLevelType w:val="hybridMultilevel"/>
    <w:tmpl w:val="81CC0C98"/>
    <w:lvl w:ilvl="0" w:tplc="BB8C6404">
      <w:start w:val="3"/>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514455C1"/>
    <w:multiLevelType w:val="hybridMultilevel"/>
    <w:tmpl w:val="CFAEC5CE"/>
    <w:lvl w:ilvl="0" w:tplc="25A2434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8974B3"/>
    <w:multiLevelType w:val="hybridMultilevel"/>
    <w:tmpl w:val="A0A0B04A"/>
    <w:lvl w:ilvl="0" w:tplc="BEE04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013489"/>
    <w:multiLevelType w:val="hybridMultilevel"/>
    <w:tmpl w:val="F154CA32"/>
    <w:lvl w:ilvl="0" w:tplc="ECF6194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565C5790"/>
    <w:multiLevelType w:val="hybridMultilevel"/>
    <w:tmpl w:val="7B6EB26C"/>
    <w:lvl w:ilvl="0" w:tplc="E264CA6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5869053F"/>
    <w:multiLevelType w:val="hybridMultilevel"/>
    <w:tmpl w:val="A84C0694"/>
    <w:lvl w:ilvl="0" w:tplc="6792B6B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B572F74"/>
    <w:multiLevelType w:val="hybridMultilevel"/>
    <w:tmpl w:val="BBDA169A"/>
    <w:lvl w:ilvl="0" w:tplc="5D04F9D4">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26" w15:restartNumberingAfterBreak="0">
    <w:nsid w:val="6BBD0E95"/>
    <w:multiLevelType w:val="hybridMultilevel"/>
    <w:tmpl w:val="FC5A9426"/>
    <w:lvl w:ilvl="0" w:tplc="B1B26FF8">
      <w:start w:val="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71702CD1"/>
    <w:multiLevelType w:val="hybridMultilevel"/>
    <w:tmpl w:val="E4CE4AFC"/>
    <w:lvl w:ilvl="0" w:tplc="FB045596">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6335911"/>
    <w:multiLevelType w:val="hybridMultilevel"/>
    <w:tmpl w:val="443281B6"/>
    <w:lvl w:ilvl="0" w:tplc="B56218FE">
      <w:start w:val="1"/>
      <w:numFmt w:val="lowerLetter"/>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8B047DC"/>
    <w:multiLevelType w:val="hybridMultilevel"/>
    <w:tmpl w:val="D4762AA6"/>
    <w:lvl w:ilvl="0" w:tplc="FB406A70">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 w15:restartNumberingAfterBreak="0">
    <w:nsid w:val="798E7E7A"/>
    <w:multiLevelType w:val="hybridMultilevel"/>
    <w:tmpl w:val="26B698F4"/>
    <w:lvl w:ilvl="0" w:tplc="62A8236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7AF272E6"/>
    <w:multiLevelType w:val="hybridMultilevel"/>
    <w:tmpl w:val="94F8701A"/>
    <w:lvl w:ilvl="0" w:tplc="265015E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2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2"/>
  </w:num>
  <w:num w:numId="5">
    <w:abstractNumId w:val="23"/>
  </w:num>
  <w:num w:numId="6">
    <w:abstractNumId w:val="16"/>
  </w:num>
  <w:num w:numId="7">
    <w:abstractNumId w:val="31"/>
  </w:num>
  <w:num w:numId="8">
    <w:abstractNumId w:val="22"/>
  </w:num>
  <w:num w:numId="9">
    <w:abstractNumId w:val="19"/>
  </w:num>
  <w:num w:numId="10">
    <w:abstractNumId w:val="13"/>
  </w:num>
  <w:num w:numId="11">
    <w:abstractNumId w:val="25"/>
  </w:num>
  <w:num w:numId="12">
    <w:abstractNumId w:val="11"/>
  </w:num>
  <w:num w:numId="13">
    <w:abstractNumId w:val="28"/>
  </w:num>
  <w:num w:numId="14">
    <w:abstractNumId w:val="15"/>
  </w:num>
  <w:num w:numId="15">
    <w:abstractNumId w:val="21"/>
  </w:num>
  <w:num w:numId="16">
    <w:abstractNumId w:val="4"/>
  </w:num>
  <w:num w:numId="17">
    <w:abstractNumId w:val="3"/>
  </w:num>
  <w:num w:numId="18">
    <w:abstractNumId w:val="26"/>
  </w:num>
  <w:num w:numId="19">
    <w:abstractNumId w:val="1"/>
  </w:num>
  <w:num w:numId="20">
    <w:abstractNumId w:val="7"/>
  </w:num>
  <w:num w:numId="21">
    <w:abstractNumId w:val="2"/>
  </w:num>
  <w:num w:numId="22">
    <w:abstractNumId w:val="0"/>
  </w:num>
  <w:num w:numId="23">
    <w:abstractNumId w:val="14"/>
  </w:num>
  <w:num w:numId="24">
    <w:abstractNumId w:val="10"/>
  </w:num>
  <w:num w:numId="25">
    <w:abstractNumId w:val="5"/>
  </w:num>
  <w:num w:numId="26">
    <w:abstractNumId w:val="18"/>
  </w:num>
  <w:num w:numId="27">
    <w:abstractNumId w:val="27"/>
  </w:num>
  <w:num w:numId="28">
    <w:abstractNumId w:val="9"/>
  </w:num>
  <w:num w:numId="29">
    <w:abstractNumId w:val="6"/>
  </w:num>
  <w:num w:numId="30">
    <w:abstractNumId w:val="24"/>
  </w:num>
  <w:num w:numId="31">
    <w:abstractNumId w:val="17"/>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docId w15:val="{C911F7B3-537F-4C99-9C1D-50270752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eastAsia="Times New Roman"/>
      <w:sz w:val="24"/>
      <w:szCs w:val="24"/>
    </w:rPr>
  </w:style>
  <w:style w:type="paragraph" w:styleId="Heading1">
    <w:name w:val="heading 1"/>
    <w:basedOn w:val="Normal"/>
    <w:next w:val="Normal"/>
    <w:link w:val="Heading1Char"/>
    <w:qFormat/>
    <w:pPr>
      <w:keepNext/>
      <w:jc w:val="both"/>
      <w:outlineLvl w:val="0"/>
    </w:pPr>
    <w:rPr>
      <w:rFonts w:ascii=".VnTime" w:eastAsia="SimSun" w:hAnsi=".VnTime"/>
      <w:sz w:val="28"/>
      <w:szCs w:val="20"/>
      <w:lang w:val="vi-VN"/>
    </w:rPr>
  </w:style>
  <w:style w:type="paragraph" w:styleId="Heading4">
    <w:name w:val="heading 4"/>
    <w:basedOn w:val="Normal"/>
    <w:next w:val="Normal"/>
    <w:link w:val="Heading4Char"/>
    <w:qFormat/>
    <w:pPr>
      <w:keepNext/>
      <w:jc w:val="right"/>
      <w:outlineLvl w:val="3"/>
    </w:pPr>
    <w:rPr>
      <w:i/>
      <w:iCs/>
      <w:sz w:val="28"/>
    </w:rPr>
  </w:style>
  <w:style w:type="paragraph" w:styleId="Heading7">
    <w:name w:val="heading 7"/>
    <w:basedOn w:val="Normal"/>
    <w:next w:val="Normal"/>
    <w:link w:val="Heading7Char"/>
    <w:qFormat/>
    <w:pPr>
      <w:keepNext/>
      <w:jc w:val="center"/>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Pr>
      <w:rFonts w:eastAsia="Times New Roman"/>
      <w:i/>
      <w:iCs/>
      <w:szCs w:val="24"/>
    </w:rPr>
  </w:style>
  <w:style w:type="character" w:customStyle="1" w:styleId="Heading7Char">
    <w:name w:val="Heading 7 Char"/>
    <w:basedOn w:val="DefaultParagraphFont"/>
    <w:link w:val="Heading7"/>
    <w:rPr>
      <w:rFonts w:eastAsia="Times New Roman"/>
      <w:b/>
      <w:bCs/>
      <w:szCs w:val="24"/>
    </w:rPr>
  </w:style>
  <w:style w:type="paragraph" w:styleId="NormalWeb">
    <w:name w:val="Normal (Web)"/>
    <w:aliases w:val="Char Char,webb,Char8,Normal (Web) Char Char Char Char Char,Normal (Web) Char1, Char Char, Char8 Char, Char8,Char Char Char Char Char Char Char Char Char Char Char,Normal (Web) Char Char, Char Char25,Char Char25,Обычный (веб)1, Char Char1"/>
    <w:basedOn w:val="Normal"/>
    <w:link w:val="NormalWebChar"/>
    <w:uiPriority w:val="99"/>
    <w:qFormat/>
    <w:pPr>
      <w:spacing w:before="100" w:beforeAutospacing="1" w:after="100" w:afterAutospacing="1"/>
    </w:pPr>
    <w:rPr>
      <w:rFonts w:eastAsia="Arial Unicode MS"/>
      <w:sz w:val="29"/>
      <w:szCs w:val="29"/>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Times New Roman"/>
      <w:sz w:val="24"/>
      <w:szCs w:val="24"/>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eastAsia="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customStyle="1" w:styleId="Normal1">
    <w:name w:val="Normal1"/>
    <w:pPr>
      <w:spacing w:after="0" w:line="240" w:lineRule="auto"/>
    </w:pPr>
    <w:rPr>
      <w:rFonts w:eastAsia="Times New Roman"/>
      <w:lang w:val="nl-NL"/>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eastAsia="Times New Roman"/>
      <w:sz w:val="20"/>
      <w:szCs w:val="20"/>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b/>
      <w:bCs/>
      <w:sz w:val="20"/>
      <w:szCs w:val="20"/>
    </w:rPr>
  </w:style>
  <w:style w:type="character" w:customStyle="1" w:styleId="Tiu1">
    <w:name w:val="Tiêu đề #1_"/>
    <w:basedOn w:val="DefaultParagraphFont"/>
    <w:link w:val="Tiu10"/>
    <w:rPr>
      <w:rFonts w:eastAsia="Times New Roman"/>
      <w:b/>
      <w:bCs/>
      <w:sz w:val="26"/>
      <w:szCs w:val="26"/>
    </w:rPr>
  </w:style>
  <w:style w:type="paragraph" w:customStyle="1" w:styleId="Tiu10">
    <w:name w:val="Tiêu đề #1"/>
    <w:basedOn w:val="Normal"/>
    <w:link w:val="Tiu1"/>
    <w:pPr>
      <w:widowControl w:val="0"/>
      <w:spacing w:after="60" w:line="259" w:lineRule="auto"/>
      <w:ind w:firstLine="700"/>
      <w:outlineLvl w:val="0"/>
    </w:pPr>
    <w:rPr>
      <w:b/>
      <w:bCs/>
      <w:sz w:val="26"/>
      <w:szCs w:val="26"/>
    </w:rPr>
  </w:style>
  <w:style w:type="character" w:customStyle="1" w:styleId="Vnbnnidung2">
    <w:name w:val="Văn bản nội dung (2)_"/>
    <w:basedOn w:val="DefaultParagraphFont"/>
    <w:link w:val="Vnbnnidung20"/>
    <w:rPr>
      <w:rFonts w:eastAsia="Times New Roman"/>
      <w:sz w:val="26"/>
      <w:szCs w:val="26"/>
    </w:rPr>
  </w:style>
  <w:style w:type="paragraph" w:customStyle="1" w:styleId="Vnbnnidung20">
    <w:name w:val="Văn bản nội dung (2)"/>
    <w:basedOn w:val="Normal"/>
    <w:link w:val="Vnbnnidung2"/>
    <w:pPr>
      <w:widowControl w:val="0"/>
      <w:spacing w:after="40" w:line="259" w:lineRule="auto"/>
      <w:ind w:firstLine="720"/>
    </w:pPr>
    <w:rPr>
      <w:sz w:val="26"/>
      <w:szCs w:val="26"/>
    </w:rPr>
  </w:style>
  <w:style w:type="character" w:styleId="Hyperlink">
    <w:name w:val="Hyperlink"/>
    <w:rPr>
      <w:color w:val="467886"/>
      <w:u w:val="single"/>
    </w:rPr>
  </w:style>
  <w:style w:type="character" w:customStyle="1" w:styleId="NormalWebChar">
    <w:name w:val="Normal (Web) Char"/>
    <w:aliases w:val="Char Char Char,webb Char,Char8 Char,Normal (Web) Char Char Char Char Char Char,Normal (Web) Char1 Char, Char Char Char, Char8 Char Char, Char8 Char1,Char Char Char Char Char Char Char Char Char Char Char Char, Char Char25 Char"/>
    <w:link w:val="NormalWeb"/>
    <w:uiPriority w:val="99"/>
    <w:qFormat/>
    <w:rPr>
      <w:rFonts w:eastAsia="Arial Unicode MS"/>
      <w:sz w:val="29"/>
      <w:szCs w:val="29"/>
    </w:rPr>
  </w:style>
  <w:style w:type="character" w:styleId="Emphasis">
    <w:name w:val="Emphasis"/>
    <w:basedOn w:val="DefaultParagraphFont"/>
    <w:uiPriority w:val="20"/>
    <w:qFormat/>
    <w:rPr>
      <w:i/>
      <w:iCs/>
    </w:rPr>
  </w:style>
  <w:style w:type="paragraph" w:styleId="BodyText">
    <w:name w:val="Body Text"/>
    <w:basedOn w:val="Normal"/>
    <w:link w:val="BodyTextChar"/>
    <w:unhideWhenUsed/>
    <w:pPr>
      <w:spacing w:after="120"/>
    </w:pPr>
    <w:rPr>
      <w:rFonts w:eastAsia="SimSun"/>
      <w:lang w:val="vi-VN"/>
    </w:rPr>
  </w:style>
  <w:style w:type="character" w:customStyle="1" w:styleId="BodyTextChar">
    <w:name w:val="Body Text Char"/>
    <w:basedOn w:val="DefaultParagraphFont"/>
    <w:link w:val="BodyText"/>
    <w:rPr>
      <w:rFonts w:eastAsia="SimSun"/>
      <w:sz w:val="24"/>
      <w:szCs w:val="24"/>
      <w:lang w:val="vi-VN"/>
    </w:rPr>
  </w:style>
  <w:style w:type="character" w:customStyle="1" w:styleId="Heading1Char">
    <w:name w:val="Heading 1 Char"/>
    <w:basedOn w:val="DefaultParagraphFont"/>
    <w:link w:val="Heading1"/>
    <w:rPr>
      <w:rFonts w:ascii=".VnTime" w:eastAsia="SimSun" w:hAnsi=".VnTime"/>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8543">
      <w:bodyDiv w:val="1"/>
      <w:marLeft w:val="0"/>
      <w:marRight w:val="0"/>
      <w:marTop w:val="0"/>
      <w:marBottom w:val="0"/>
      <w:divBdr>
        <w:top w:val="none" w:sz="0" w:space="0" w:color="auto"/>
        <w:left w:val="none" w:sz="0" w:space="0" w:color="auto"/>
        <w:bottom w:val="none" w:sz="0" w:space="0" w:color="auto"/>
        <w:right w:val="none" w:sz="0" w:space="0" w:color="auto"/>
      </w:divBdr>
    </w:div>
    <w:div w:id="281496191">
      <w:bodyDiv w:val="1"/>
      <w:marLeft w:val="0"/>
      <w:marRight w:val="0"/>
      <w:marTop w:val="0"/>
      <w:marBottom w:val="0"/>
      <w:divBdr>
        <w:top w:val="none" w:sz="0" w:space="0" w:color="auto"/>
        <w:left w:val="none" w:sz="0" w:space="0" w:color="auto"/>
        <w:bottom w:val="none" w:sz="0" w:space="0" w:color="auto"/>
        <w:right w:val="none" w:sz="0" w:space="0" w:color="auto"/>
      </w:divBdr>
    </w:div>
    <w:div w:id="415713660">
      <w:bodyDiv w:val="1"/>
      <w:marLeft w:val="0"/>
      <w:marRight w:val="0"/>
      <w:marTop w:val="0"/>
      <w:marBottom w:val="0"/>
      <w:divBdr>
        <w:top w:val="none" w:sz="0" w:space="0" w:color="auto"/>
        <w:left w:val="none" w:sz="0" w:space="0" w:color="auto"/>
        <w:bottom w:val="none" w:sz="0" w:space="0" w:color="auto"/>
        <w:right w:val="none" w:sz="0" w:space="0" w:color="auto"/>
      </w:divBdr>
    </w:div>
    <w:div w:id="620845759">
      <w:bodyDiv w:val="1"/>
      <w:marLeft w:val="0"/>
      <w:marRight w:val="0"/>
      <w:marTop w:val="0"/>
      <w:marBottom w:val="0"/>
      <w:divBdr>
        <w:top w:val="none" w:sz="0" w:space="0" w:color="auto"/>
        <w:left w:val="none" w:sz="0" w:space="0" w:color="auto"/>
        <w:bottom w:val="none" w:sz="0" w:space="0" w:color="auto"/>
        <w:right w:val="none" w:sz="0" w:space="0" w:color="auto"/>
      </w:divBdr>
    </w:div>
    <w:div w:id="678770817">
      <w:bodyDiv w:val="1"/>
      <w:marLeft w:val="0"/>
      <w:marRight w:val="0"/>
      <w:marTop w:val="0"/>
      <w:marBottom w:val="0"/>
      <w:divBdr>
        <w:top w:val="none" w:sz="0" w:space="0" w:color="auto"/>
        <w:left w:val="none" w:sz="0" w:space="0" w:color="auto"/>
        <w:bottom w:val="none" w:sz="0" w:space="0" w:color="auto"/>
        <w:right w:val="none" w:sz="0" w:space="0" w:color="auto"/>
      </w:divBdr>
    </w:div>
    <w:div w:id="973751254">
      <w:bodyDiv w:val="1"/>
      <w:marLeft w:val="0"/>
      <w:marRight w:val="0"/>
      <w:marTop w:val="0"/>
      <w:marBottom w:val="0"/>
      <w:divBdr>
        <w:top w:val="none" w:sz="0" w:space="0" w:color="auto"/>
        <w:left w:val="none" w:sz="0" w:space="0" w:color="auto"/>
        <w:bottom w:val="none" w:sz="0" w:space="0" w:color="auto"/>
        <w:right w:val="none" w:sz="0" w:space="0" w:color="auto"/>
      </w:divBdr>
    </w:div>
    <w:div w:id="1071149701">
      <w:bodyDiv w:val="1"/>
      <w:marLeft w:val="0"/>
      <w:marRight w:val="0"/>
      <w:marTop w:val="0"/>
      <w:marBottom w:val="0"/>
      <w:divBdr>
        <w:top w:val="none" w:sz="0" w:space="0" w:color="auto"/>
        <w:left w:val="none" w:sz="0" w:space="0" w:color="auto"/>
        <w:bottom w:val="none" w:sz="0" w:space="0" w:color="auto"/>
        <w:right w:val="none" w:sz="0" w:space="0" w:color="auto"/>
      </w:divBdr>
    </w:div>
    <w:div w:id="1346638127">
      <w:bodyDiv w:val="1"/>
      <w:marLeft w:val="0"/>
      <w:marRight w:val="0"/>
      <w:marTop w:val="0"/>
      <w:marBottom w:val="0"/>
      <w:divBdr>
        <w:top w:val="none" w:sz="0" w:space="0" w:color="auto"/>
        <w:left w:val="none" w:sz="0" w:space="0" w:color="auto"/>
        <w:bottom w:val="none" w:sz="0" w:space="0" w:color="auto"/>
        <w:right w:val="none" w:sz="0" w:space="0" w:color="auto"/>
      </w:divBdr>
    </w:div>
    <w:div w:id="1409812035">
      <w:bodyDiv w:val="1"/>
      <w:marLeft w:val="0"/>
      <w:marRight w:val="0"/>
      <w:marTop w:val="0"/>
      <w:marBottom w:val="0"/>
      <w:divBdr>
        <w:top w:val="none" w:sz="0" w:space="0" w:color="auto"/>
        <w:left w:val="none" w:sz="0" w:space="0" w:color="auto"/>
        <w:bottom w:val="none" w:sz="0" w:space="0" w:color="auto"/>
        <w:right w:val="none" w:sz="0" w:space="0" w:color="auto"/>
      </w:divBdr>
    </w:div>
    <w:div w:id="1736002625">
      <w:bodyDiv w:val="1"/>
      <w:marLeft w:val="0"/>
      <w:marRight w:val="0"/>
      <w:marTop w:val="0"/>
      <w:marBottom w:val="0"/>
      <w:divBdr>
        <w:top w:val="none" w:sz="0" w:space="0" w:color="auto"/>
        <w:left w:val="none" w:sz="0" w:space="0" w:color="auto"/>
        <w:bottom w:val="none" w:sz="0" w:space="0" w:color="auto"/>
        <w:right w:val="none" w:sz="0" w:space="0" w:color="auto"/>
      </w:divBdr>
    </w:div>
    <w:div w:id="198662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4E68D-F18C-49EA-A65F-D841BA19C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9</Pages>
  <Words>2710</Words>
  <Characters>15452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227</cp:revision>
  <cp:lastPrinted>2024-11-22T08:51:00Z</cp:lastPrinted>
  <dcterms:created xsi:type="dcterms:W3CDTF">2024-11-25T01:10:00Z</dcterms:created>
  <dcterms:modified xsi:type="dcterms:W3CDTF">2025-10-16T08:08:00Z</dcterms:modified>
</cp:coreProperties>
</file>