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601" w:type="dxa"/>
        <w:tblLook w:val="0000" w:firstRow="0" w:lastRow="0" w:firstColumn="0" w:lastColumn="0" w:noHBand="0" w:noVBand="0"/>
      </w:tblPr>
      <w:tblGrid>
        <w:gridCol w:w="7088"/>
        <w:gridCol w:w="7513"/>
      </w:tblGrid>
      <w:tr w:rsidR="00AE39C8" w:rsidRPr="00AE39C8" w14:paraId="7976E6C0" w14:textId="77777777" w:rsidTr="00DF3DC8">
        <w:trPr>
          <w:trHeight w:val="1124"/>
        </w:trPr>
        <w:tc>
          <w:tcPr>
            <w:tcW w:w="7088" w:type="dxa"/>
          </w:tcPr>
          <w:p w14:paraId="08D48AA4" w14:textId="77777777" w:rsidR="00DF3DC8" w:rsidRPr="002F7C43" w:rsidRDefault="00DF3DC8" w:rsidP="003A4515">
            <w:pPr>
              <w:rPr>
                <w:sz w:val="28"/>
                <w:szCs w:val="28"/>
              </w:rPr>
            </w:pPr>
            <w:r w:rsidRPr="002F7C43">
              <w:rPr>
                <w:sz w:val="28"/>
                <w:szCs w:val="28"/>
              </w:rPr>
              <w:t>UBND THÀNH PHỐ HẢI PHÒNG</w:t>
            </w:r>
          </w:p>
          <w:p w14:paraId="5CD7672E" w14:textId="77777777" w:rsidR="00DF3DC8" w:rsidRPr="002F7C43" w:rsidRDefault="00DF3DC8" w:rsidP="003A4515">
            <w:pPr>
              <w:rPr>
                <w:b/>
                <w:bCs/>
                <w:sz w:val="28"/>
                <w:szCs w:val="28"/>
              </w:rPr>
            </w:pPr>
            <w:r w:rsidRPr="002F7C43">
              <w:rPr>
                <w:b/>
                <w:bCs/>
                <w:sz w:val="28"/>
                <w:szCs w:val="28"/>
              </w:rPr>
              <w:t>SỞ KHOA HỌC VÀ CÔNG NGHỆ</w:t>
            </w:r>
          </w:p>
          <w:p w14:paraId="4E9E32FE" w14:textId="77777777" w:rsidR="00DF3DC8" w:rsidRPr="00AE39C8" w:rsidRDefault="00583FB1" w:rsidP="00DF3DC8">
            <w:pPr>
              <w:spacing w:before="120" w:after="120"/>
              <w:rPr>
                <w:sz w:val="26"/>
                <w:szCs w:val="24"/>
                <w:lang w:val="vi-VN"/>
              </w:rPr>
            </w:pPr>
            <w:r w:rsidRPr="00AE39C8">
              <w:rPr>
                <w:noProof/>
                <w:sz w:val="26"/>
                <w:szCs w:val="24"/>
              </w:rPr>
              <mc:AlternateContent>
                <mc:Choice Requires="wps">
                  <w:drawing>
                    <wp:anchor distT="4294967295" distB="4294967295" distL="114300" distR="114300" simplePos="0" relativeHeight="251657216" behindDoc="0" locked="0" layoutInCell="1" allowOverlap="1" wp14:anchorId="78092C2A" wp14:editId="4155AA0A">
                      <wp:simplePos x="0" y="0"/>
                      <wp:positionH relativeFrom="column">
                        <wp:posOffset>1774825</wp:posOffset>
                      </wp:positionH>
                      <wp:positionV relativeFrom="paragraph">
                        <wp:posOffset>32385</wp:posOffset>
                      </wp:positionV>
                      <wp:extent cx="893445" cy="0"/>
                      <wp:effectExtent l="0" t="0" r="0" b="0"/>
                      <wp:wrapNone/>
                      <wp:docPr id="122998064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3445" cy="0"/>
                              </a:xfrm>
                              <a:prstGeom prst="line">
                                <a:avLst/>
                              </a:prstGeom>
                              <a:noFill/>
                              <a:ln w="6350" cap="flat" cmpd="sng" algn="ctr">
                                <a:solidFill>
                                  <a:srgbClr val="000000"/>
                                </a:solidFill>
                                <a:prstDash val="solid"/>
                                <a:miter lim="800000"/>
                              </a:ln>
                            </wps:spPr>
                            <wps:bodyPr/>
                          </wps:wsp>
                        </a:graphicData>
                      </a:graphic>
                      <wp14:sizeRelH relativeFrom="page">
                        <wp14:pctWidth>0</wp14:pctWidth>
                      </wp14:sizeRelH>
                      <wp14:sizeRelV relativeFrom="page">
                        <wp14:pctHeight>0</wp14:pctHeight>
                      </wp14:sizeRelV>
                    </wp:anchor>
                  </w:drawing>
                </mc:Choice>
                <mc:Fallback>
                  <w:pict>
                    <v:line w14:anchorId="05BCE69E"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75pt,2.55pt" to="210.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" strokeweight=".5pt">
                      <v:stroke joinstyle="miter"/>
                      <o:lock v:ext="edit" shapetype="f"/>
                    </v:line>
                  </w:pict>
                </mc:Fallback>
              </mc:AlternateContent>
            </w:r>
          </w:p>
          <w:p w14:paraId="2617079A" w14:textId="77777777" w:rsidR="00DF3DC8" w:rsidRPr="00AE39C8" w:rsidRDefault="00DF3DC8" w:rsidP="003A4515"/>
        </w:tc>
        <w:tc>
          <w:tcPr>
            <w:tcW w:w="7513" w:type="dxa"/>
          </w:tcPr>
          <w:p w14:paraId="5C8B63CE" w14:textId="77777777" w:rsidR="00DF3DC8" w:rsidRPr="002F7C43" w:rsidRDefault="00DF3DC8" w:rsidP="003A4515">
            <w:pPr>
              <w:rPr>
                <w:b/>
                <w:bCs/>
                <w:sz w:val="28"/>
                <w:szCs w:val="28"/>
              </w:rPr>
            </w:pPr>
            <w:r w:rsidRPr="002F7C43">
              <w:rPr>
                <w:b/>
                <w:bCs/>
                <w:sz w:val="28"/>
                <w:szCs w:val="28"/>
              </w:rPr>
              <w:t>CỘNG HOÀ XÃ HỘI CHỦ NGHĨA VIỆT NAM</w:t>
            </w:r>
          </w:p>
          <w:p w14:paraId="6A80ACE6" w14:textId="77777777" w:rsidR="00DF3DC8" w:rsidRPr="002F7C43" w:rsidRDefault="00DF3DC8" w:rsidP="003A4515">
            <w:pPr>
              <w:rPr>
                <w:b/>
                <w:bCs/>
                <w:sz w:val="28"/>
                <w:szCs w:val="28"/>
              </w:rPr>
            </w:pPr>
            <w:r w:rsidRPr="002F7C43">
              <w:rPr>
                <w:b/>
                <w:bCs/>
                <w:sz w:val="28"/>
                <w:szCs w:val="28"/>
              </w:rPr>
              <w:t>Độc lập – Tự do – Hạnh phúc</w:t>
            </w:r>
          </w:p>
          <w:p w14:paraId="6575F64D" w14:textId="77777777" w:rsidR="00DF3DC8" w:rsidRPr="00AE39C8" w:rsidRDefault="00DF3DC8" w:rsidP="008553EA">
            <w:pPr>
              <w:spacing w:before="120"/>
              <w:rPr>
                <w:i/>
                <w:iCs/>
                <w:sz w:val="26"/>
                <w:szCs w:val="24"/>
              </w:rPr>
            </w:pPr>
            <w:r w:rsidRPr="00AE39C8">
              <w:rPr>
                <w:i/>
                <w:iCs/>
                <w:noProof/>
                <w:sz w:val="26"/>
                <w:szCs w:val="24"/>
              </w:rPr>
              <mc:AlternateContent>
                <mc:Choice Requires="wps">
                  <w:drawing>
                    <wp:anchor distT="4294967295" distB="4294967295" distL="114300" distR="114300" simplePos="0" relativeHeight="251658240" behindDoc="0" locked="0" layoutInCell="1" allowOverlap="1" wp14:anchorId="12F04105" wp14:editId="0B523FAF">
                      <wp:simplePos x="0" y="0"/>
                      <wp:positionH relativeFrom="column">
                        <wp:posOffset>1280160</wp:posOffset>
                      </wp:positionH>
                      <wp:positionV relativeFrom="paragraph">
                        <wp:posOffset>13335</wp:posOffset>
                      </wp:positionV>
                      <wp:extent cx="2105660" cy="0"/>
                      <wp:effectExtent l="0" t="0" r="0" b="0"/>
                      <wp:wrapNone/>
                      <wp:docPr id="137216145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05660" cy="0"/>
                              </a:xfrm>
                              <a:prstGeom prst="line">
                                <a:avLst/>
                              </a:prstGeom>
                              <a:noFill/>
                              <a:ln w="6350" cap="flat" cmpd="sng" algn="ctr">
                                <a:solidFill>
                                  <a:srgbClr val="000000"/>
                                </a:solidFill>
                                <a:prstDash val="solid"/>
                                <a:miter lim="800000"/>
                              </a:ln>
                            </wps:spPr>
                            <wps:bodyPr/>
                          </wps:wsp>
                        </a:graphicData>
                      </a:graphic>
                      <wp14:sizeRelH relativeFrom="page">
                        <wp14:pctWidth>0</wp14:pctWidth>
                      </wp14:sizeRelH>
                      <wp14:sizeRelV relativeFrom="page">
                        <wp14:pctHeight>0</wp14:pctHeight>
                      </wp14:sizeRelV>
                    </wp:anchor>
                  </w:drawing>
                </mc:Choice>
                <mc:Fallback>
                  <w:pict>
                    <v:line w14:anchorId="30B8EBD8"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0.8pt,1.05pt" to="266.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" strokeweight=".5pt">
                      <v:stroke joinstyle="miter"/>
                      <o:lock v:ext="edit" shapetype="f"/>
                    </v:line>
                  </w:pict>
                </mc:Fallback>
              </mc:AlternateContent>
            </w:r>
            <w:r w:rsidRPr="00AE39C8">
              <w:rPr>
                <w:i/>
                <w:iCs/>
                <w:sz w:val="26"/>
                <w:szCs w:val="24"/>
              </w:rPr>
              <w:t>Hải Phòng, ngày 13 tháng 9 năm 2026</w:t>
            </w:r>
          </w:p>
        </w:tc>
      </w:tr>
    </w:tbl>
    <w:p w14:paraId="617F3A7A" w14:textId="77777777" w:rsidR="002D0870" w:rsidRDefault="00DF3DC8" w:rsidP="00FF4FE3">
      <w:pPr>
        <w:rPr>
          <w:b/>
          <w:bCs/>
          <w:sz w:val="28"/>
          <w:szCs w:val="28"/>
        </w:rPr>
      </w:pPr>
      <w:r w:rsidRPr="00AE39C8">
        <w:rPr>
          <w:b/>
          <w:bCs/>
          <w:sz w:val="28"/>
          <w:szCs w:val="28"/>
          <w:lang w:val="vi-VN"/>
        </w:rPr>
        <w:t>BẢN SO SÁNH, THUYẾT MINH DỰ THẢ</w:t>
      </w:r>
      <w:r w:rsidR="00C81D43">
        <w:rPr>
          <w:b/>
          <w:bCs/>
          <w:sz w:val="28"/>
          <w:szCs w:val="28"/>
          <w:lang w:val="vi-VN"/>
        </w:rPr>
        <w:t xml:space="preserve">O </w:t>
      </w:r>
      <w:r w:rsidR="00C81D43">
        <w:rPr>
          <w:b/>
          <w:bCs/>
          <w:sz w:val="28"/>
          <w:szCs w:val="28"/>
        </w:rPr>
        <w:t>QUYẾT ĐỊNH</w:t>
      </w:r>
      <w:r w:rsidR="00FF4FE3">
        <w:rPr>
          <w:b/>
          <w:bCs/>
          <w:sz w:val="28"/>
          <w:szCs w:val="28"/>
        </w:rPr>
        <w:t xml:space="preserve"> BAN HÀNH QUY ĐỊNH VỀ </w:t>
      </w:r>
      <w:r w:rsidR="002D0870">
        <w:rPr>
          <w:b/>
          <w:bCs/>
          <w:sz w:val="28"/>
          <w:szCs w:val="28"/>
        </w:rPr>
        <w:t>VIỆC X</w:t>
      </w:r>
      <w:r w:rsidR="00595679">
        <w:rPr>
          <w:b/>
          <w:bCs/>
          <w:sz w:val="28"/>
          <w:szCs w:val="28"/>
        </w:rPr>
        <w:t>É</w:t>
      </w:r>
      <w:r w:rsidR="002D0870">
        <w:rPr>
          <w:b/>
          <w:bCs/>
          <w:sz w:val="28"/>
          <w:szCs w:val="28"/>
        </w:rPr>
        <w:t>T CÔNG NHẬN HIỆU QUẢ ÁP DỤNG VÀ KHẢ NĂNG NHÂN RỘNG CỦA SÁNG KIẾN TRÊN ĐỊA BÀN THÀNH PHỐ HẢI PHÒNG</w:t>
      </w:r>
    </w:p>
    <w:p w14:paraId="68F3355B" w14:textId="77777777" w:rsidR="00DF3DC8" w:rsidRPr="00C81D43" w:rsidRDefault="00DF3DC8">
      <w:pPr>
        <w:rPr>
          <w:b/>
          <w:bCs/>
          <w:sz w:val="28"/>
          <w:szCs w:val="28"/>
        </w:rPr>
      </w:pPr>
    </w:p>
    <w:p w14:paraId="5552D87F" w14:textId="77777777" w:rsidR="005B4935" w:rsidRPr="005B4935" w:rsidRDefault="005B4935">
      <w:pPr>
        <w:rPr>
          <w:b/>
          <w:bCs/>
          <w:sz w:val="28"/>
          <w:szCs w:val="28"/>
        </w:rPr>
      </w:pPr>
    </w:p>
    <w:tbl>
      <w:tblPr>
        <w:tblW w:w="15029"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15" w:type="dxa"/>
          <w:left w:w="15" w:type="dxa"/>
          <w:bottom w:w="15" w:type="dxa"/>
          <w:right w:w="15" w:type="dxa"/>
        </w:tblCellMar>
        <w:tblLook w:val="04A0" w:firstRow="1" w:lastRow="0" w:firstColumn="1" w:lastColumn="0" w:noHBand="0" w:noVBand="1"/>
      </w:tblPr>
      <w:tblGrid>
        <w:gridCol w:w="712"/>
        <w:gridCol w:w="3683"/>
        <w:gridCol w:w="3263"/>
        <w:gridCol w:w="7371"/>
      </w:tblGrid>
      <w:tr w:rsidR="005B4935" w:rsidRPr="005B4935" w14:paraId="7C8D89B6" w14:textId="77777777" w:rsidTr="00CD6634">
        <w:trPr>
          <w:cantSplit/>
          <w:tblHeader/>
        </w:trPr>
        <w:tc>
          <w:tcPr>
            <w:tcW w:w="712" w:type="dxa"/>
            <w:shd w:val="clear" w:color="auto" w:fill="FFFFFF" w:themeFill="background1"/>
            <w:vAlign w:val="center"/>
          </w:tcPr>
          <w:p w14:paraId="66486450" w14:textId="77777777" w:rsidR="005B4935" w:rsidRPr="005B4935" w:rsidRDefault="005B4935" w:rsidP="005B4935">
            <w:pPr>
              <w:rPr>
                <w:b/>
                <w:bCs/>
                <w:sz w:val="28"/>
                <w:szCs w:val="28"/>
              </w:rPr>
            </w:pPr>
            <w:r>
              <w:rPr>
                <w:b/>
                <w:bCs/>
                <w:sz w:val="28"/>
                <w:szCs w:val="28"/>
              </w:rPr>
              <w:t>TT</w:t>
            </w:r>
          </w:p>
        </w:tc>
        <w:tc>
          <w:tcPr>
            <w:tcW w:w="3683" w:type="dxa"/>
            <w:shd w:val="clear" w:color="auto" w:fill="FFFFFF" w:themeFill="background1"/>
            <w:tcMar>
              <w:top w:w="120" w:type="dxa"/>
              <w:left w:w="180" w:type="dxa"/>
              <w:bottom w:w="120" w:type="dxa"/>
              <w:right w:w="180" w:type="dxa"/>
            </w:tcMar>
            <w:vAlign w:val="center"/>
            <w:hideMark/>
          </w:tcPr>
          <w:p w14:paraId="023D4BA6" w14:textId="77777777" w:rsidR="005B4935" w:rsidRPr="005B4935" w:rsidRDefault="005B4935" w:rsidP="005B4935">
            <w:pPr>
              <w:rPr>
                <w:b/>
                <w:bCs/>
                <w:sz w:val="28"/>
                <w:szCs w:val="28"/>
              </w:rPr>
            </w:pPr>
            <w:r w:rsidRPr="005B4935">
              <w:rPr>
                <w:b/>
                <w:bCs/>
                <w:sz w:val="28"/>
                <w:szCs w:val="28"/>
              </w:rPr>
              <w:t>QUY PHẠM PHÁP LUẬT HIỆN HÀNH</w:t>
            </w:r>
          </w:p>
        </w:tc>
        <w:tc>
          <w:tcPr>
            <w:tcW w:w="3263" w:type="dxa"/>
            <w:shd w:val="clear" w:color="auto" w:fill="FFFFFF" w:themeFill="background1"/>
            <w:tcMar>
              <w:top w:w="120" w:type="dxa"/>
              <w:left w:w="180" w:type="dxa"/>
              <w:bottom w:w="120" w:type="dxa"/>
              <w:right w:w="180" w:type="dxa"/>
            </w:tcMar>
            <w:vAlign w:val="center"/>
            <w:hideMark/>
          </w:tcPr>
          <w:p w14:paraId="048BD914" w14:textId="77777777" w:rsidR="005B4935" w:rsidRPr="005B4935" w:rsidRDefault="005B4935" w:rsidP="005B4935">
            <w:pPr>
              <w:rPr>
                <w:b/>
                <w:bCs/>
                <w:sz w:val="28"/>
                <w:szCs w:val="28"/>
              </w:rPr>
            </w:pPr>
            <w:r w:rsidRPr="005B4935">
              <w:rPr>
                <w:b/>
                <w:bCs/>
                <w:sz w:val="28"/>
                <w:szCs w:val="28"/>
              </w:rPr>
              <w:t>DỰ THẢO VĂN BẢN</w:t>
            </w:r>
          </w:p>
        </w:tc>
        <w:tc>
          <w:tcPr>
            <w:tcW w:w="7371" w:type="dxa"/>
            <w:shd w:val="clear" w:color="auto" w:fill="FFFFFF" w:themeFill="background1"/>
            <w:tcMar>
              <w:top w:w="120" w:type="dxa"/>
              <w:left w:w="180" w:type="dxa"/>
              <w:bottom w:w="120" w:type="dxa"/>
              <w:right w:w="180" w:type="dxa"/>
            </w:tcMar>
            <w:vAlign w:val="center"/>
            <w:hideMark/>
          </w:tcPr>
          <w:p w14:paraId="04138979" w14:textId="77777777" w:rsidR="005B4935" w:rsidRPr="005B4935" w:rsidRDefault="005B4935" w:rsidP="005B4935">
            <w:pPr>
              <w:rPr>
                <w:b/>
                <w:bCs/>
                <w:sz w:val="28"/>
                <w:szCs w:val="28"/>
              </w:rPr>
            </w:pPr>
            <w:r w:rsidRPr="005B4935">
              <w:rPr>
                <w:b/>
                <w:bCs/>
                <w:sz w:val="28"/>
                <w:szCs w:val="28"/>
              </w:rPr>
              <w:t>THUYẾT MINH</w:t>
            </w:r>
          </w:p>
        </w:tc>
      </w:tr>
      <w:tr w:rsidR="006144C2" w14:paraId="086902EB" w14:textId="77777777" w:rsidTr="00C51476">
        <w:tc>
          <w:tcPr>
            <w:tcW w:w="712" w:type="dxa"/>
            <w:shd w:val="clear" w:color="auto" w:fill="FFFFFF" w:themeFill="background1"/>
            <w:tcMar>
              <w:top w:w="70" w:type="dxa"/>
              <w:left w:w="150" w:type="dxa"/>
              <w:bottom w:w="70" w:type="dxa"/>
              <w:right w:w="150" w:type="dxa"/>
            </w:tcMar>
            <w:vAlign w:val="center"/>
          </w:tcPr>
          <w:p w14:paraId="5CE906DA" w14:textId="77777777" w:rsidR="006144C2" w:rsidRDefault="00000000">
            <w:pPr>
              <w:spacing w:before="60" w:after="60"/>
            </w:pPr>
            <w:r>
              <w:rPr>
                <w:rFonts w:eastAsia="Times New Roman"/>
                <w:color w:val="000000"/>
                <w:sz w:val="28"/>
                <w:szCs w:val="28"/>
              </w:rPr>
              <w:t>1</w:t>
            </w:r>
          </w:p>
        </w:tc>
        <w:tc>
          <w:tcPr>
            <w:tcW w:w="3683" w:type="dxa"/>
            <w:shd w:val="clear" w:color="auto" w:fill="FFFFFF" w:themeFill="background1"/>
            <w:tcMar>
              <w:top w:w="70" w:type="dxa"/>
              <w:left w:w="150" w:type="dxa"/>
              <w:bottom w:w="70" w:type="dxa"/>
              <w:right w:w="150" w:type="dxa"/>
            </w:tcMar>
            <w:vAlign w:val="center"/>
          </w:tcPr>
          <w:p w14:paraId="72B8B62E" w14:textId="77777777" w:rsidR="006144C2" w:rsidRDefault="00000000">
            <w:pPr>
              <w:spacing w:before="60" w:after="60"/>
              <w:jc w:val="both"/>
            </w:pPr>
            <w:r>
              <w:rPr>
                <w:rFonts w:eastAsia="Times New Roman"/>
                <w:color w:val="000000"/>
                <w:sz w:val="28"/>
                <w:szCs w:val="28"/>
              </w:rPr>
              <w:t>- Khoản 2 Điều 22 Luật Thi đua, khen thưởng số 06/2022/QH15 quy định việc công nhận hiệu quả, khả năng nhân rộng của sáng kiến trong bộ, ban, ngành, tỉnh.</w:t>
            </w:r>
          </w:p>
          <w:p w14:paraId="3331EC83" w14:textId="77777777" w:rsidR="006144C2" w:rsidRDefault="00000000">
            <w:pPr>
              <w:spacing w:before="60" w:after="60"/>
              <w:jc w:val="both"/>
            </w:pPr>
            <w:r>
              <w:rPr>
                <w:rFonts w:eastAsia="Times New Roman"/>
                <w:color w:val="000000"/>
                <w:sz w:val="28"/>
                <w:szCs w:val="28"/>
              </w:rPr>
              <w:t>- Khoản 1, 2 Điều 9 Thông tư số 15/2025/TT-BNV phân biệt công nhận sáng kiến với công nhận hiệu quả áp dụng, khả năng nhân rộng.</w:t>
            </w:r>
          </w:p>
          <w:p w14:paraId="1D4B235A" w14:textId="77777777" w:rsidR="006144C2" w:rsidRDefault="00000000">
            <w:pPr>
              <w:spacing w:before="60" w:after="60"/>
              <w:jc w:val="both"/>
            </w:pPr>
            <w:r>
              <w:rPr>
                <w:rFonts w:eastAsia="Times New Roman"/>
                <w:color w:val="000000"/>
                <w:sz w:val="28"/>
                <w:szCs w:val="28"/>
              </w:rPr>
              <w:t>- Khoản 6, điểm d khoản 24 Điều 1 Luật số 06/2026/QH16 sửa Điều 22, bổ sung khoản 8 Điều 84 về thẩm quyền quy định việc công nhận (có hiệu lực từ 01/10/2026).</w:t>
            </w:r>
          </w:p>
        </w:tc>
        <w:tc>
          <w:tcPr>
            <w:tcW w:w="3263" w:type="dxa"/>
            <w:shd w:val="clear" w:color="auto" w:fill="FFFFFF" w:themeFill="background1"/>
            <w:tcMar>
              <w:top w:w="70" w:type="dxa"/>
              <w:left w:w="150" w:type="dxa"/>
              <w:bottom w:w="70" w:type="dxa"/>
              <w:right w:w="150" w:type="dxa"/>
            </w:tcMar>
            <w:vAlign w:val="center"/>
          </w:tcPr>
          <w:p w14:paraId="6697EB4A" w14:textId="77777777" w:rsidR="006144C2" w:rsidRDefault="00000000">
            <w:pPr>
              <w:spacing w:before="60" w:after="60"/>
              <w:jc w:val="both"/>
            </w:pPr>
            <w:r>
              <w:rPr>
                <w:rFonts w:eastAsia="Times New Roman"/>
                <w:color w:val="000000"/>
                <w:sz w:val="28"/>
                <w:szCs w:val="28"/>
              </w:rPr>
              <w:t>Điều 1. Phạm vi điều chỉnh</w:t>
            </w:r>
          </w:p>
        </w:tc>
        <w:tc>
          <w:tcPr>
            <w:tcW w:w="7371" w:type="dxa"/>
            <w:shd w:val="clear" w:color="auto" w:fill="FFFFFF" w:themeFill="background1"/>
            <w:tcMar>
              <w:top w:w="70" w:type="dxa"/>
              <w:left w:w="150" w:type="dxa"/>
              <w:bottom w:w="70" w:type="dxa"/>
              <w:right w:w="150" w:type="dxa"/>
            </w:tcMar>
            <w:vAlign w:val="center"/>
          </w:tcPr>
          <w:p w14:paraId="6D2A6D8A" w14:textId="77777777" w:rsidR="006144C2" w:rsidRDefault="00000000">
            <w:pPr>
              <w:spacing w:before="60" w:after="60"/>
              <w:jc w:val="both"/>
            </w:pPr>
            <w:r>
              <w:rPr>
                <w:rFonts w:eastAsia="Times New Roman"/>
                <w:color w:val="000000"/>
                <w:sz w:val="28"/>
                <w:szCs w:val="28"/>
              </w:rPr>
              <w:t>Xác định phạm vi của Quy định là việc xét, công nhận hiệu quả áp dụng và khả năng nhân rộng của sáng kiến trong phạm vi thành phố để làm căn cứ xét tặng danh hiệu Chiến sĩ thi đua thành phố. Việc giới hạn rõ mục đích này giúp xác định đúng điều kiện, hồ sơ và thẩm quyền cần quy định.</w:t>
            </w:r>
          </w:p>
          <w:p w14:paraId="0FB94A69" w14:textId="77777777" w:rsidR="006144C2" w:rsidRDefault="00000000">
            <w:pPr>
              <w:spacing w:before="60" w:after="60"/>
              <w:jc w:val="both"/>
            </w:pPr>
            <w:r>
              <w:rPr>
                <w:rFonts w:eastAsia="Times New Roman"/>
                <w:color w:val="000000"/>
                <w:sz w:val="28"/>
                <w:szCs w:val="28"/>
              </w:rPr>
              <w:t>Quy định tập trung vào đánh giá kết quả áp dụng và khả năng phổ biến giải pháp đã được công nhận là sáng kiến; không thiết lập lại thủ tục công nhận sáng kiến ban đầu tại cơ sở, không điều chỉnh việc đánh giá nhiệm vụ khoa học, công nghệ và đổi mới sáng tạo.</w:t>
            </w:r>
          </w:p>
          <w:p w14:paraId="52685A9C" w14:textId="77777777" w:rsidR="006144C2" w:rsidRDefault="00000000">
            <w:pPr>
              <w:spacing w:before="60" w:after="60"/>
              <w:jc w:val="both"/>
            </w:pPr>
            <w:r>
              <w:rPr>
                <w:rFonts w:eastAsia="Times New Roman"/>
                <w:color w:val="000000"/>
                <w:sz w:val="28"/>
                <w:szCs w:val="28"/>
              </w:rPr>
              <w:t>Các nội dung về điều kiện, tiêu chí, Hội đồng, hồ sơ và trình tự được quy định thống nhất để các cơ quan, đơn vị có cùng căn cứ thực hiện. Việc viện dẫn Luật số 06/2026/QH16 gắn với thời điểm có hiệu lực của Luật và thời điểm ban hành Quyết định.</w:t>
            </w:r>
          </w:p>
        </w:tc>
      </w:tr>
      <w:tr w:rsidR="006144C2" w14:paraId="2E606ACA" w14:textId="77777777" w:rsidTr="00C51476">
        <w:tc>
          <w:tcPr>
            <w:tcW w:w="712" w:type="dxa"/>
            <w:shd w:val="clear" w:color="auto" w:fill="FFFFFF" w:themeFill="background1"/>
            <w:tcMar>
              <w:top w:w="70" w:type="dxa"/>
              <w:left w:w="150" w:type="dxa"/>
              <w:bottom w:w="70" w:type="dxa"/>
              <w:right w:w="150" w:type="dxa"/>
            </w:tcMar>
            <w:vAlign w:val="center"/>
          </w:tcPr>
          <w:p w14:paraId="3FA1A898" w14:textId="77777777" w:rsidR="006144C2" w:rsidRDefault="00000000">
            <w:pPr>
              <w:spacing w:before="60" w:after="60"/>
            </w:pPr>
            <w:r>
              <w:rPr>
                <w:rFonts w:eastAsia="Times New Roman"/>
                <w:color w:val="000000"/>
                <w:sz w:val="28"/>
                <w:szCs w:val="28"/>
              </w:rPr>
              <w:lastRenderedPageBreak/>
              <w:t>2</w:t>
            </w:r>
          </w:p>
        </w:tc>
        <w:tc>
          <w:tcPr>
            <w:tcW w:w="3683" w:type="dxa"/>
            <w:shd w:val="clear" w:color="auto" w:fill="FFFFFF" w:themeFill="background1"/>
            <w:tcMar>
              <w:top w:w="70" w:type="dxa"/>
              <w:left w:w="150" w:type="dxa"/>
              <w:bottom w:w="70" w:type="dxa"/>
              <w:right w:w="150" w:type="dxa"/>
            </w:tcMar>
            <w:vAlign w:val="center"/>
          </w:tcPr>
          <w:p w14:paraId="37CDA40A" w14:textId="77777777" w:rsidR="006144C2" w:rsidRDefault="00000000">
            <w:pPr>
              <w:spacing w:before="60" w:after="60"/>
              <w:jc w:val="both"/>
            </w:pPr>
            <w:r>
              <w:rPr>
                <w:rFonts w:eastAsia="Times New Roman"/>
                <w:color w:val="000000"/>
                <w:sz w:val="28"/>
                <w:szCs w:val="28"/>
              </w:rPr>
              <w:t>- Điều 2 Luật Thi đua, khen thưởng số 06/2022/QH15 quy định đối tượng áp dụng của Luật.</w:t>
            </w:r>
          </w:p>
          <w:p w14:paraId="671ADEC9" w14:textId="77777777" w:rsidR="006144C2" w:rsidRDefault="00000000">
            <w:pPr>
              <w:spacing w:before="60" w:after="60"/>
              <w:jc w:val="both"/>
            </w:pPr>
            <w:r>
              <w:rPr>
                <w:rFonts w:eastAsia="Times New Roman"/>
                <w:color w:val="000000"/>
                <w:sz w:val="28"/>
                <w:szCs w:val="28"/>
              </w:rPr>
              <w:t>- Điều 22 Luật Thi đua, khen thưởng quy định danh hiệu Chiến sĩ thi đua bộ, ban, ngành, tỉnh.</w:t>
            </w:r>
          </w:p>
          <w:p w14:paraId="0CE1A5FB" w14:textId="77777777" w:rsidR="006144C2" w:rsidRDefault="00000000">
            <w:pPr>
              <w:spacing w:before="60" w:after="60"/>
              <w:jc w:val="both"/>
            </w:pPr>
            <w:r>
              <w:rPr>
                <w:rFonts w:eastAsia="Times New Roman"/>
                <w:color w:val="000000"/>
                <w:sz w:val="28"/>
                <w:szCs w:val="28"/>
              </w:rPr>
              <w:t>- Khoản 1 Điều 1 Luật Tổ chức chính quyền địa phương số 72/2025/QH15 quy định đơn vị hành chính cấp tỉnh và cấp xã, trong đó cấp xã gồm xã, phường, đặc khu.</w:t>
            </w:r>
          </w:p>
        </w:tc>
        <w:tc>
          <w:tcPr>
            <w:tcW w:w="3263" w:type="dxa"/>
            <w:shd w:val="clear" w:color="auto" w:fill="FFFFFF" w:themeFill="background1"/>
            <w:tcMar>
              <w:top w:w="70" w:type="dxa"/>
              <w:left w:w="150" w:type="dxa"/>
              <w:bottom w:w="70" w:type="dxa"/>
              <w:right w:w="150" w:type="dxa"/>
            </w:tcMar>
            <w:vAlign w:val="center"/>
          </w:tcPr>
          <w:p w14:paraId="47A9434F" w14:textId="77777777" w:rsidR="006144C2" w:rsidRDefault="00000000">
            <w:pPr>
              <w:spacing w:before="60" w:after="60"/>
              <w:jc w:val="both"/>
            </w:pPr>
            <w:r>
              <w:rPr>
                <w:rFonts w:eastAsia="Times New Roman"/>
                <w:color w:val="000000"/>
                <w:sz w:val="28"/>
                <w:szCs w:val="28"/>
              </w:rPr>
              <w:t>Điều 2. Đối tượng áp dụng</w:t>
            </w:r>
          </w:p>
        </w:tc>
        <w:tc>
          <w:tcPr>
            <w:tcW w:w="7371" w:type="dxa"/>
            <w:shd w:val="clear" w:color="auto" w:fill="FFFFFF" w:themeFill="background1"/>
            <w:tcMar>
              <w:top w:w="70" w:type="dxa"/>
              <w:left w:w="150" w:type="dxa"/>
              <w:bottom w:w="70" w:type="dxa"/>
              <w:right w:w="150" w:type="dxa"/>
            </w:tcMar>
            <w:vAlign w:val="center"/>
          </w:tcPr>
          <w:p w14:paraId="4387FF39" w14:textId="77777777" w:rsidR="006144C2" w:rsidRDefault="00000000">
            <w:pPr>
              <w:spacing w:before="60" w:after="60"/>
              <w:jc w:val="both"/>
            </w:pPr>
            <w:r>
              <w:rPr>
                <w:rFonts w:eastAsia="Times New Roman"/>
                <w:color w:val="000000"/>
                <w:sz w:val="28"/>
                <w:szCs w:val="28"/>
              </w:rPr>
              <w:t>Xác định các cá nhân, cơ quan, đơn vị thuộc phạm vi quản lý, tuyến trình thi đua, khen thưởng của thành phố để áp dụng thống nhất Quy định và làm rõ trách nhiệm lập, xác nhận, tổng hợp hồ sơ.</w:t>
            </w:r>
          </w:p>
          <w:p w14:paraId="5356F929" w14:textId="77777777" w:rsidR="006144C2" w:rsidRDefault="00000000">
            <w:pPr>
              <w:spacing w:before="60" w:after="60"/>
              <w:jc w:val="both"/>
            </w:pPr>
            <w:r>
              <w:rPr>
                <w:rFonts w:eastAsia="Times New Roman"/>
                <w:color w:val="000000"/>
                <w:sz w:val="28"/>
                <w:szCs w:val="28"/>
              </w:rPr>
              <w:t>Bao quát cán bộ, công chức, viên chức, người lao động trong các cơ quan hành chính, đơn vị sự nghiệp, tổ chức kinh tế, Mặt trận Tổ quốc, các tổ chức và địa phương thuộc phạm vi điều chỉnh; phù hợp tổ chức chính quyền địa phương hai cấp.</w:t>
            </w:r>
          </w:p>
          <w:p w14:paraId="4AA1705D" w14:textId="77777777" w:rsidR="006144C2" w:rsidRDefault="00000000">
            <w:pPr>
              <w:spacing w:before="60" w:after="60"/>
              <w:jc w:val="both"/>
            </w:pPr>
            <w:r>
              <w:rPr>
                <w:rFonts w:eastAsia="Times New Roman"/>
                <w:color w:val="000000"/>
                <w:sz w:val="28"/>
                <w:szCs w:val="28"/>
              </w:rPr>
              <w:t>Quy định theo phạm vi quản lý và tuyến trình nhằm tránh việc chỉ căn cứ vào nơi đặt trụ sở để yêu cầu mọi cơ quan, trường học, doanh nghiệp trên địa bàn cùng gửi hồ sơ qua một đầu mối. Các đối tượng được đánh giá theo cùng tiêu chí, không phân biệt theo giới tính hoặc dân tộc.</w:t>
            </w:r>
          </w:p>
        </w:tc>
      </w:tr>
      <w:tr w:rsidR="006144C2" w14:paraId="5F96FB8F" w14:textId="77777777" w:rsidTr="00C51476">
        <w:tc>
          <w:tcPr>
            <w:tcW w:w="712" w:type="dxa"/>
            <w:shd w:val="clear" w:color="auto" w:fill="FFFFFF" w:themeFill="background1"/>
            <w:tcMar>
              <w:top w:w="70" w:type="dxa"/>
              <w:left w:w="150" w:type="dxa"/>
              <w:bottom w:w="70" w:type="dxa"/>
              <w:right w:w="150" w:type="dxa"/>
            </w:tcMar>
            <w:vAlign w:val="center"/>
          </w:tcPr>
          <w:p w14:paraId="43ED9A67" w14:textId="77777777" w:rsidR="006144C2" w:rsidRDefault="00000000">
            <w:pPr>
              <w:spacing w:before="60" w:after="60"/>
            </w:pPr>
            <w:r>
              <w:rPr>
                <w:rFonts w:eastAsia="Times New Roman"/>
                <w:color w:val="000000"/>
                <w:sz w:val="28"/>
                <w:szCs w:val="28"/>
              </w:rPr>
              <w:t>3</w:t>
            </w:r>
          </w:p>
        </w:tc>
        <w:tc>
          <w:tcPr>
            <w:tcW w:w="3683" w:type="dxa"/>
            <w:shd w:val="clear" w:color="auto" w:fill="FFFFFF" w:themeFill="background1"/>
            <w:tcMar>
              <w:top w:w="70" w:type="dxa"/>
              <w:left w:w="150" w:type="dxa"/>
              <w:bottom w:w="70" w:type="dxa"/>
              <w:right w:w="150" w:type="dxa"/>
            </w:tcMar>
            <w:vAlign w:val="center"/>
          </w:tcPr>
          <w:p w14:paraId="0D494527" w14:textId="77777777" w:rsidR="006144C2" w:rsidRDefault="00000000">
            <w:pPr>
              <w:spacing w:before="60" w:after="60"/>
              <w:jc w:val="both"/>
            </w:pPr>
            <w:r>
              <w:rPr>
                <w:rFonts w:eastAsia="Times New Roman"/>
                <w:color w:val="000000"/>
                <w:sz w:val="28"/>
                <w:szCs w:val="28"/>
              </w:rPr>
              <w:t>- Khoản 4 Điều 3 Luật Thi đua, khen thưởng số 06/2022/QH15 quy định khái niệm sáng kiến dùng trong thi đua, khen thưởng.</w:t>
            </w:r>
          </w:p>
          <w:p w14:paraId="4EEE9394" w14:textId="77777777" w:rsidR="006144C2" w:rsidRDefault="00000000">
            <w:pPr>
              <w:spacing w:before="60" w:after="60"/>
              <w:jc w:val="both"/>
            </w:pPr>
            <w:r>
              <w:rPr>
                <w:rFonts w:eastAsia="Times New Roman"/>
                <w:color w:val="000000"/>
                <w:sz w:val="28"/>
                <w:szCs w:val="28"/>
              </w:rPr>
              <w:t>- Khoản 4, 5 Điều 2; khoản 1 Điều 3 Điều lệ Sáng kiến ban hành kèm Nghị định số 13/2012/NĐ-CP quy định cơ sở, tác giả, đồng tác giả và điều kiện công nhận sáng kiến.</w:t>
            </w:r>
          </w:p>
          <w:p w14:paraId="31A06743" w14:textId="77777777" w:rsidR="006144C2" w:rsidRDefault="00000000">
            <w:pPr>
              <w:spacing w:before="60" w:after="60"/>
              <w:jc w:val="both"/>
            </w:pPr>
            <w:r>
              <w:rPr>
                <w:rFonts w:eastAsia="Times New Roman"/>
                <w:color w:val="000000"/>
                <w:sz w:val="28"/>
                <w:szCs w:val="28"/>
              </w:rPr>
              <w:lastRenderedPageBreak/>
              <w:t>- Điều 2 Thông tư số 18/2013/TT-BKHCN; khoản 1, 2 Điều 9 Thông tư số 15/2025/TT-BNV.</w:t>
            </w:r>
          </w:p>
        </w:tc>
        <w:tc>
          <w:tcPr>
            <w:tcW w:w="3263" w:type="dxa"/>
            <w:shd w:val="clear" w:color="auto" w:fill="FFFFFF" w:themeFill="background1"/>
            <w:tcMar>
              <w:top w:w="70" w:type="dxa"/>
              <w:left w:w="150" w:type="dxa"/>
              <w:bottom w:w="70" w:type="dxa"/>
              <w:right w:w="150" w:type="dxa"/>
            </w:tcMar>
            <w:vAlign w:val="center"/>
          </w:tcPr>
          <w:p w14:paraId="71A64EA7" w14:textId="77777777" w:rsidR="006144C2" w:rsidRDefault="00000000">
            <w:pPr>
              <w:spacing w:before="60" w:after="60"/>
              <w:jc w:val="both"/>
            </w:pPr>
            <w:r>
              <w:rPr>
                <w:rFonts w:eastAsia="Times New Roman"/>
                <w:color w:val="000000"/>
                <w:sz w:val="28"/>
                <w:szCs w:val="28"/>
              </w:rPr>
              <w:lastRenderedPageBreak/>
              <w:t>Điều 3. Giải thích từ ngữ</w:t>
            </w:r>
          </w:p>
        </w:tc>
        <w:tc>
          <w:tcPr>
            <w:tcW w:w="7371" w:type="dxa"/>
            <w:shd w:val="clear" w:color="auto" w:fill="FFFFFF" w:themeFill="background1"/>
            <w:tcMar>
              <w:top w:w="70" w:type="dxa"/>
              <w:left w:w="150" w:type="dxa"/>
              <w:bottom w:w="70" w:type="dxa"/>
              <w:right w:w="150" w:type="dxa"/>
            </w:tcMar>
            <w:vAlign w:val="center"/>
          </w:tcPr>
          <w:p w14:paraId="14244A4B" w14:textId="77777777" w:rsidR="006144C2" w:rsidRDefault="00000000">
            <w:pPr>
              <w:spacing w:before="60" w:after="60"/>
              <w:jc w:val="both"/>
            </w:pPr>
            <w:r>
              <w:rPr>
                <w:rFonts w:eastAsia="Times New Roman"/>
                <w:color w:val="000000"/>
                <w:sz w:val="28"/>
                <w:szCs w:val="28"/>
              </w:rPr>
              <w:t>Thống nhất cách hiểu về sáng kiến, đơn vị cơ sở, cấp cơ sở, cấp thành phố, tác giả và đồng tác giả để xác định đúng chủ thể, phạm vi đánh giá và trách nhiệm đối với hồ sơ.</w:t>
            </w:r>
          </w:p>
          <w:p w14:paraId="4F42C8D5" w14:textId="77777777" w:rsidR="006144C2" w:rsidRDefault="00000000">
            <w:pPr>
              <w:spacing w:before="60" w:after="60"/>
              <w:jc w:val="both"/>
            </w:pPr>
            <w:r>
              <w:rPr>
                <w:rFonts w:eastAsia="Times New Roman"/>
                <w:color w:val="000000"/>
                <w:sz w:val="28"/>
                <w:szCs w:val="28"/>
              </w:rPr>
              <w:t>Khái niệm cơ sở và tác giả xuất phát từ Điều lệ Sáng kiến: cơ sở phải có năng lực pháp lý phù hợp; tác giả phải trực tiếp tạo ra giải pháp bằng lao động sáng tạo. Việc xác định đồng tác giả dựa vào nội dung sáng tạo thực tế, phân biệt với người chỉ hỗ trợ tổ chức áp dụng.</w:t>
            </w:r>
          </w:p>
          <w:p w14:paraId="501F65F3" w14:textId="77777777" w:rsidR="006144C2" w:rsidRDefault="00000000">
            <w:pPr>
              <w:spacing w:before="60" w:after="60"/>
              <w:jc w:val="both"/>
            </w:pPr>
            <w:r>
              <w:rPr>
                <w:rFonts w:eastAsia="Times New Roman"/>
                <w:color w:val="000000"/>
                <w:sz w:val="28"/>
                <w:szCs w:val="28"/>
              </w:rPr>
              <w:t xml:space="preserve">Việc giải thích cần phân biệt hai giai đoạn: công nhận sáng kiến tại cơ sở có thể xem xét giải pháp đã áp dụng hoặc áp dụng thử; sáng kiến dùng trong thi đua, khen thưởng phải đáp ứng yêu cầu </w:t>
            </w:r>
            <w:r>
              <w:rPr>
                <w:rFonts w:eastAsia="Times New Roman"/>
                <w:color w:val="000000"/>
                <w:sz w:val="28"/>
                <w:szCs w:val="28"/>
              </w:rPr>
              <w:lastRenderedPageBreak/>
              <w:t>đã được áp dụng, mang lại lợi ích thiết thực và có khả năng nhân rộng theo khoản 4 Điều 3 của Luật. Các khái niệm về cấp xét không thay thế quy định riêng về thẩm quyền công nhận.</w:t>
            </w:r>
          </w:p>
        </w:tc>
      </w:tr>
      <w:tr w:rsidR="006144C2" w14:paraId="034934AC" w14:textId="77777777" w:rsidTr="00C51476">
        <w:tc>
          <w:tcPr>
            <w:tcW w:w="712" w:type="dxa"/>
            <w:shd w:val="clear" w:color="auto" w:fill="FFFFFF" w:themeFill="background1"/>
            <w:tcMar>
              <w:top w:w="70" w:type="dxa"/>
              <w:left w:w="150" w:type="dxa"/>
              <w:bottom w:w="70" w:type="dxa"/>
              <w:right w:w="150" w:type="dxa"/>
            </w:tcMar>
            <w:vAlign w:val="center"/>
          </w:tcPr>
          <w:p w14:paraId="3E3D8673" w14:textId="77777777" w:rsidR="006144C2" w:rsidRDefault="00000000">
            <w:pPr>
              <w:spacing w:before="60" w:after="60"/>
            </w:pPr>
            <w:r>
              <w:rPr>
                <w:rFonts w:eastAsia="Times New Roman"/>
                <w:color w:val="000000"/>
                <w:sz w:val="28"/>
                <w:szCs w:val="28"/>
              </w:rPr>
              <w:lastRenderedPageBreak/>
              <w:t>4</w:t>
            </w:r>
          </w:p>
        </w:tc>
        <w:tc>
          <w:tcPr>
            <w:tcW w:w="3683" w:type="dxa"/>
            <w:shd w:val="clear" w:color="auto" w:fill="FFFFFF" w:themeFill="background1"/>
            <w:tcMar>
              <w:top w:w="70" w:type="dxa"/>
              <w:left w:w="150" w:type="dxa"/>
              <w:bottom w:w="70" w:type="dxa"/>
              <w:right w:w="150" w:type="dxa"/>
            </w:tcMar>
            <w:vAlign w:val="center"/>
          </w:tcPr>
          <w:p w14:paraId="595BBA06" w14:textId="77777777" w:rsidR="006144C2" w:rsidRDefault="00000000">
            <w:pPr>
              <w:spacing w:before="60" w:after="60"/>
              <w:jc w:val="both"/>
            </w:pPr>
            <w:r>
              <w:rPr>
                <w:rFonts w:eastAsia="Times New Roman"/>
                <w:color w:val="000000"/>
                <w:sz w:val="28"/>
                <w:szCs w:val="28"/>
              </w:rPr>
              <w:t>- Điều 5 Luật Thi đua, khen thưởng số 06/2022/QH15 quy định nguyên tắc thi đua, khen thưởng.</w:t>
            </w:r>
          </w:p>
          <w:p w14:paraId="2EFC66A0" w14:textId="77777777" w:rsidR="006144C2" w:rsidRDefault="00000000">
            <w:pPr>
              <w:spacing w:before="60" w:after="60"/>
              <w:jc w:val="both"/>
            </w:pPr>
            <w:r>
              <w:rPr>
                <w:rFonts w:eastAsia="Times New Roman"/>
                <w:color w:val="000000"/>
                <w:sz w:val="28"/>
                <w:szCs w:val="28"/>
              </w:rPr>
              <w:t>- Khoản 5 Điều 2, khoản 2 Điều 3, khoản 1 và điểm b khoản 3 Điều 5, khoản 3 Điều 7 Điều lệ Sáng kiến kèm Nghị định số 13/2012/NĐ-CP.</w:t>
            </w:r>
          </w:p>
          <w:p w14:paraId="23F9D7ED" w14:textId="77777777" w:rsidR="006144C2" w:rsidRDefault="00000000">
            <w:pPr>
              <w:spacing w:before="60" w:after="60"/>
              <w:jc w:val="both"/>
            </w:pPr>
            <w:r>
              <w:rPr>
                <w:rFonts w:eastAsia="Times New Roman"/>
                <w:color w:val="000000"/>
                <w:sz w:val="28"/>
                <w:szCs w:val="28"/>
              </w:rPr>
              <w:t>- Điểm b khoản 1 Điều 5 và khoản 3 Điều 9 Thông tư số 18/2013/TT-BKHCN quy định thông tin về đồng tác giả và hủy bỏ công nhận sáng kiến tại cơ sở.</w:t>
            </w:r>
          </w:p>
        </w:tc>
        <w:tc>
          <w:tcPr>
            <w:tcW w:w="3263" w:type="dxa"/>
            <w:shd w:val="clear" w:color="auto" w:fill="FFFFFF" w:themeFill="background1"/>
            <w:tcMar>
              <w:top w:w="70" w:type="dxa"/>
              <w:left w:w="150" w:type="dxa"/>
              <w:bottom w:w="70" w:type="dxa"/>
              <w:right w:w="150" w:type="dxa"/>
            </w:tcMar>
            <w:vAlign w:val="center"/>
          </w:tcPr>
          <w:p w14:paraId="42DD63BB" w14:textId="77777777" w:rsidR="006144C2" w:rsidRDefault="00000000">
            <w:pPr>
              <w:spacing w:before="60" w:after="60"/>
              <w:jc w:val="both"/>
            </w:pPr>
            <w:r>
              <w:rPr>
                <w:rFonts w:eastAsia="Times New Roman"/>
                <w:color w:val="000000"/>
                <w:sz w:val="28"/>
                <w:szCs w:val="28"/>
              </w:rPr>
              <w:t>Điều 4. Nguyên tắc xét, công nhận hiệu quả áp dụng và khả năng nhân rộng của sáng kiến</w:t>
            </w:r>
          </w:p>
        </w:tc>
        <w:tc>
          <w:tcPr>
            <w:tcW w:w="7371" w:type="dxa"/>
            <w:shd w:val="clear" w:color="auto" w:fill="FFFFFF" w:themeFill="background1"/>
            <w:tcMar>
              <w:top w:w="70" w:type="dxa"/>
              <w:left w:w="150" w:type="dxa"/>
              <w:bottom w:w="70" w:type="dxa"/>
              <w:right w:w="150" w:type="dxa"/>
            </w:tcMar>
            <w:vAlign w:val="center"/>
          </w:tcPr>
          <w:p w14:paraId="4247E575" w14:textId="77777777" w:rsidR="006144C2" w:rsidRDefault="00000000">
            <w:pPr>
              <w:spacing w:before="60" w:after="60"/>
              <w:jc w:val="both"/>
            </w:pPr>
            <w:r>
              <w:rPr>
                <w:rFonts w:eastAsia="Times New Roman"/>
                <w:color w:val="000000"/>
                <w:sz w:val="28"/>
                <w:szCs w:val="28"/>
              </w:rPr>
              <w:t>Đặt ra nguyên tắc công khai, khách quan, công bằng, chính xác để việc công nhận gắn với giá trị của giải pháp và đóng góp thực chất của tác giả. Mỗi sáng kiến được công nhận hiệu quả, khả năng nhân rộng trong thành phố một lần nhằm tránh cấp lặp kết quả; một tác giả vẫn có thể được xét nhiều giải pháp khác nhau.</w:t>
            </w:r>
          </w:p>
          <w:p w14:paraId="5B3AA241" w14:textId="028B6FF8" w:rsidR="006144C2" w:rsidRDefault="00000000">
            <w:pPr>
              <w:spacing w:before="60" w:after="60"/>
              <w:jc w:val="both"/>
            </w:pPr>
            <w:r>
              <w:rPr>
                <w:rFonts w:eastAsia="Times New Roman"/>
                <w:color w:val="000000"/>
                <w:sz w:val="28"/>
                <w:szCs w:val="28"/>
              </w:rPr>
              <w:t xml:space="preserve">Tỷ lệ đóng góp từ 30% là phương án dự thảo đề xuất để tập trung ghi nhận người có đóng góp đáng kể, hạn chế việc chỉ đứng tên. </w:t>
            </w:r>
            <w:r w:rsidR="00B41ED1">
              <w:rPr>
                <w:rFonts w:eastAsia="Times New Roman"/>
                <w:color w:val="000000"/>
                <w:sz w:val="28"/>
                <w:szCs w:val="28"/>
              </w:rPr>
              <w:t>M</w:t>
            </w:r>
            <w:r>
              <w:rPr>
                <w:rFonts w:eastAsia="Times New Roman"/>
                <w:color w:val="000000"/>
                <w:sz w:val="28"/>
                <w:szCs w:val="28"/>
              </w:rPr>
              <w:t>ức 30% cho phép xem xét ba người có đóng góp tương đối đều. Ngoại lệ đối với nhiệm vụ do Thành ủy, UBND thành phố giao nhằm tính đến giải pháp cần phối hợp nhiều chuyên môn. Các mức và ngoại lệ này không được ấn định tại pháp luật trung ương nêu ở cột bên; việc lựa chọn phải bảo đảm thẩm quyền và quyền của người có đóng góp thực chất, không chỉ dựa vào số lượng tác giả.</w:t>
            </w:r>
          </w:p>
          <w:p w14:paraId="736F6EE7" w14:textId="77777777" w:rsidR="006144C2" w:rsidRDefault="00000000">
            <w:pPr>
              <w:spacing w:before="60" w:after="60"/>
              <w:jc w:val="both"/>
            </w:pPr>
            <w:r>
              <w:rPr>
                <w:rFonts w:eastAsia="Times New Roman"/>
                <w:color w:val="000000"/>
                <w:sz w:val="28"/>
                <w:szCs w:val="28"/>
              </w:rPr>
              <w:t>Quy định đầu mối đối với nhóm tác giả liên cơ quan nhằm tránh hồ sơ trùng lặp, xác định nơi chịu trách nhiệm xác minh; thẩm quyền công nhận tại cơ sở vẫn phải phù hợp quan hệ chủ đầu tư, chuyển giao và thỏa thuận theo Điều lệ Sáng kiến.</w:t>
            </w:r>
          </w:p>
          <w:p w14:paraId="14FE8536" w14:textId="77777777" w:rsidR="006144C2" w:rsidRDefault="00000000">
            <w:pPr>
              <w:spacing w:before="60" w:after="60"/>
              <w:jc w:val="both"/>
            </w:pPr>
            <w:r>
              <w:rPr>
                <w:rFonts w:eastAsia="Times New Roman"/>
                <w:color w:val="000000"/>
                <w:sz w:val="28"/>
                <w:szCs w:val="28"/>
              </w:rPr>
              <w:t xml:space="preserve">Quy định không xét nội dung sao chép, xâm phạm quyền sở hữu trí tuệ nhằm bảo vệ tính trung thực và quyền hợp pháp; việc xử </w:t>
            </w:r>
            <w:r>
              <w:rPr>
                <w:rFonts w:eastAsia="Times New Roman"/>
                <w:color w:val="000000"/>
                <w:sz w:val="28"/>
                <w:szCs w:val="28"/>
              </w:rPr>
              <w:lastRenderedPageBreak/>
              <w:t>lý kết quả đã công nhận được dẫn sang Điều 10 để thống nhất trình tự.</w:t>
            </w:r>
          </w:p>
        </w:tc>
      </w:tr>
      <w:tr w:rsidR="006144C2" w14:paraId="5C07B7BF" w14:textId="77777777" w:rsidTr="00C51476">
        <w:tc>
          <w:tcPr>
            <w:tcW w:w="712" w:type="dxa"/>
            <w:shd w:val="clear" w:color="auto" w:fill="FFFFFF" w:themeFill="background1"/>
            <w:tcMar>
              <w:top w:w="70" w:type="dxa"/>
              <w:left w:w="150" w:type="dxa"/>
              <w:bottom w:w="70" w:type="dxa"/>
              <w:right w:w="150" w:type="dxa"/>
            </w:tcMar>
            <w:vAlign w:val="center"/>
          </w:tcPr>
          <w:p w14:paraId="2A766BF9" w14:textId="77777777" w:rsidR="006144C2" w:rsidRDefault="00000000">
            <w:pPr>
              <w:spacing w:before="60" w:after="60"/>
            </w:pPr>
            <w:r>
              <w:rPr>
                <w:rFonts w:eastAsia="Times New Roman"/>
                <w:color w:val="000000"/>
                <w:sz w:val="28"/>
                <w:szCs w:val="28"/>
              </w:rPr>
              <w:lastRenderedPageBreak/>
              <w:t>5</w:t>
            </w:r>
          </w:p>
        </w:tc>
        <w:tc>
          <w:tcPr>
            <w:tcW w:w="3683" w:type="dxa"/>
            <w:shd w:val="clear" w:color="auto" w:fill="FFFFFF" w:themeFill="background1"/>
            <w:tcMar>
              <w:top w:w="70" w:type="dxa"/>
              <w:left w:w="150" w:type="dxa"/>
              <w:bottom w:w="70" w:type="dxa"/>
              <w:right w:w="150" w:type="dxa"/>
            </w:tcMar>
            <w:vAlign w:val="center"/>
          </w:tcPr>
          <w:p w14:paraId="1C18FFDC" w14:textId="77777777" w:rsidR="006144C2" w:rsidRDefault="00000000">
            <w:pPr>
              <w:spacing w:before="60" w:after="60"/>
              <w:jc w:val="both"/>
            </w:pPr>
            <w:r>
              <w:rPr>
                <w:rFonts w:eastAsia="Times New Roman"/>
                <w:color w:val="000000"/>
                <w:sz w:val="28"/>
                <w:szCs w:val="28"/>
              </w:rPr>
              <w:t>- Khoản 1, 2, 3, 4 Điều 13 Luật Tổ chức chính quyền địa phương số 72/2025/QH15 quy định chủ thể, hình thức, điều kiện và trách nhiệm trong phân cấp.</w:t>
            </w:r>
          </w:p>
          <w:p w14:paraId="061C6195" w14:textId="77777777" w:rsidR="006144C2" w:rsidRDefault="00000000">
            <w:pPr>
              <w:spacing w:before="60" w:after="60"/>
              <w:jc w:val="both"/>
            </w:pPr>
            <w:r>
              <w:rPr>
                <w:rFonts w:eastAsia="Times New Roman"/>
                <w:color w:val="000000"/>
                <w:sz w:val="28"/>
                <w:szCs w:val="28"/>
              </w:rPr>
              <w:t>- Khoản 2 Điều 22 Luật Thi đua, khen thưởng; khoản 6 Điều 1 Luật số 06/2026/QH16 sửa đổi Điều 22 (có hiệu lực từ 01/10/2026).</w:t>
            </w:r>
          </w:p>
          <w:p w14:paraId="09D84F9F" w14:textId="77777777" w:rsidR="006144C2" w:rsidRDefault="00000000">
            <w:pPr>
              <w:spacing w:before="60" w:after="60"/>
              <w:jc w:val="both"/>
            </w:pPr>
            <w:r>
              <w:rPr>
                <w:rFonts w:eastAsia="Times New Roman"/>
                <w:color w:val="000000"/>
                <w:sz w:val="28"/>
                <w:szCs w:val="28"/>
              </w:rPr>
              <w:t>- Khoản 6 Điều 33 Nghị định số 152/2025/NĐ-CP quy định Hội đồng giúp người có thẩm quyền công nhận.</w:t>
            </w:r>
          </w:p>
        </w:tc>
        <w:tc>
          <w:tcPr>
            <w:tcW w:w="3263" w:type="dxa"/>
            <w:shd w:val="clear" w:color="auto" w:fill="FFFFFF" w:themeFill="background1"/>
            <w:tcMar>
              <w:top w:w="70" w:type="dxa"/>
              <w:left w:w="150" w:type="dxa"/>
              <w:bottom w:w="70" w:type="dxa"/>
              <w:right w:w="150" w:type="dxa"/>
            </w:tcMar>
            <w:vAlign w:val="center"/>
          </w:tcPr>
          <w:p w14:paraId="4A734CF8" w14:textId="77777777" w:rsidR="006144C2" w:rsidRDefault="00000000">
            <w:pPr>
              <w:spacing w:before="60" w:after="60"/>
              <w:jc w:val="both"/>
            </w:pPr>
            <w:r>
              <w:rPr>
                <w:rFonts w:eastAsia="Times New Roman"/>
                <w:color w:val="000000"/>
                <w:sz w:val="28"/>
                <w:szCs w:val="28"/>
              </w:rPr>
              <w:t>Điều 5. Phân cấp thẩm quyền xét, công nhận hiệu quả áp dụng và khả năng nhân rộng của sáng kiến cấp thành phố</w:t>
            </w:r>
          </w:p>
        </w:tc>
        <w:tc>
          <w:tcPr>
            <w:tcW w:w="7371" w:type="dxa"/>
            <w:shd w:val="clear" w:color="auto" w:fill="FFFFFF" w:themeFill="background1"/>
            <w:tcMar>
              <w:top w:w="70" w:type="dxa"/>
              <w:left w:w="150" w:type="dxa"/>
              <w:bottom w:w="70" w:type="dxa"/>
              <w:right w:w="150" w:type="dxa"/>
            </w:tcMar>
            <w:vAlign w:val="center"/>
          </w:tcPr>
          <w:p w14:paraId="445CA780" w14:textId="77777777" w:rsidR="006144C2" w:rsidRDefault="00000000">
            <w:pPr>
              <w:spacing w:before="60" w:after="60"/>
              <w:jc w:val="both"/>
            </w:pPr>
            <w:r>
              <w:rPr>
                <w:rFonts w:eastAsia="Times New Roman"/>
                <w:color w:val="000000"/>
                <w:sz w:val="28"/>
                <w:szCs w:val="28"/>
              </w:rPr>
              <w:t>Đề xuất phân cấp hai nhiệm vụ thường xuyên gồm thành lập Hội đồng và công nhận hiệu quả áp dụng, khả năng nhân rộng cho Sở Khoa học và Công nghệ nhằm gắn trách nhiệm quyết định với cơ quan đầu mối quản lý hoạt động sáng kiến, chủ động tổ chức đánh giá và giảm bước trình từng hồ sơ lên lãnh đạo thành phố.</w:t>
            </w:r>
          </w:p>
          <w:p w14:paraId="3192B86F" w14:textId="77777777" w:rsidR="006144C2" w:rsidRDefault="00000000">
            <w:pPr>
              <w:spacing w:before="60" w:after="60"/>
              <w:jc w:val="both"/>
            </w:pPr>
            <w:r>
              <w:rPr>
                <w:rFonts w:eastAsia="Times New Roman"/>
                <w:color w:val="000000"/>
                <w:sz w:val="28"/>
                <w:szCs w:val="28"/>
              </w:rPr>
              <w:t>Phân cấp đi liền với trách nhiệm trước pháp luật, chế độ báo cáo hằng năm và sự kiểm tra của cấp phân cấp; không làm thay đổi tiêu chuẩn của danh hiệu thi đua và không chuyển thẩm quyền quyết định sang Hội đồng tư vấn.</w:t>
            </w:r>
          </w:p>
          <w:p w14:paraId="64BA597B" w14:textId="77777777" w:rsidR="006144C2" w:rsidRDefault="00000000">
            <w:pPr>
              <w:spacing w:before="60" w:after="60"/>
              <w:jc w:val="both"/>
            </w:pPr>
            <w:r>
              <w:rPr>
                <w:rFonts w:eastAsia="Times New Roman"/>
                <w:color w:val="000000"/>
                <w:sz w:val="28"/>
                <w:szCs w:val="28"/>
              </w:rPr>
              <w:t>Căn cứ Điều 13 của Luật, nhiệm vụ được phân cấp phải thuộc thẩm quyền của chính chủ thể phân cấp và được quy định trong văn bản quy phạm pháp luật của chủ thể đó. Vì hai nhiệm vụ dự kiến thuộc thẩm quyền Chủ tịch UBND thành phố, việc lựa chọn hình thức văn bản phân cấp phải bảo đảm yêu cầu này; thẩm quyền UBND ban hành Quy định chung không tự đồng nhất với thẩm quyền riêng của Chủ tịch.</w:t>
            </w:r>
          </w:p>
        </w:tc>
      </w:tr>
      <w:tr w:rsidR="006144C2" w14:paraId="400CC8F3" w14:textId="77777777" w:rsidTr="00C51476">
        <w:tc>
          <w:tcPr>
            <w:tcW w:w="712" w:type="dxa"/>
            <w:shd w:val="clear" w:color="auto" w:fill="FFFFFF" w:themeFill="background1"/>
            <w:tcMar>
              <w:top w:w="70" w:type="dxa"/>
              <w:left w:w="150" w:type="dxa"/>
              <w:bottom w:w="70" w:type="dxa"/>
              <w:right w:w="150" w:type="dxa"/>
            </w:tcMar>
            <w:vAlign w:val="center"/>
          </w:tcPr>
          <w:p w14:paraId="2F210217" w14:textId="77777777" w:rsidR="006144C2" w:rsidRDefault="00000000">
            <w:pPr>
              <w:spacing w:before="60" w:after="60"/>
            </w:pPr>
            <w:r>
              <w:rPr>
                <w:rFonts w:eastAsia="Times New Roman"/>
                <w:color w:val="000000"/>
                <w:sz w:val="28"/>
                <w:szCs w:val="28"/>
              </w:rPr>
              <w:t>6</w:t>
            </w:r>
          </w:p>
        </w:tc>
        <w:tc>
          <w:tcPr>
            <w:tcW w:w="3683" w:type="dxa"/>
            <w:shd w:val="clear" w:color="auto" w:fill="FFFFFF" w:themeFill="background1"/>
            <w:tcMar>
              <w:top w:w="70" w:type="dxa"/>
              <w:left w:w="150" w:type="dxa"/>
              <w:bottom w:w="70" w:type="dxa"/>
              <w:right w:w="150" w:type="dxa"/>
            </w:tcMar>
            <w:vAlign w:val="center"/>
          </w:tcPr>
          <w:p w14:paraId="2059EED2" w14:textId="77777777" w:rsidR="006144C2" w:rsidRDefault="00000000">
            <w:pPr>
              <w:spacing w:before="60" w:after="60"/>
              <w:jc w:val="both"/>
            </w:pPr>
            <w:r>
              <w:rPr>
                <w:rFonts w:eastAsia="Times New Roman"/>
                <w:color w:val="000000"/>
                <w:sz w:val="28"/>
                <w:szCs w:val="28"/>
              </w:rPr>
              <w:t>- Khoản 4 Điều 3, Điều 22 Luật Thi đua, khen thưởng số 06/2022/QH15 về sáng kiến và yêu cầu hiệu quả, khả năng nhân rộng.</w:t>
            </w:r>
          </w:p>
          <w:p w14:paraId="352BA630" w14:textId="77777777" w:rsidR="006144C2" w:rsidRDefault="00000000">
            <w:pPr>
              <w:spacing w:before="60" w:after="60"/>
              <w:jc w:val="both"/>
            </w:pPr>
            <w:r>
              <w:rPr>
                <w:rFonts w:eastAsia="Times New Roman"/>
                <w:color w:val="000000"/>
                <w:sz w:val="28"/>
                <w:szCs w:val="28"/>
              </w:rPr>
              <w:lastRenderedPageBreak/>
              <w:t>- Điều 3, Điều 7 Điều lệ Sáng kiến kèm Nghị định số 13/2012/NĐ-CP về công nhận sáng kiến tại cơ sở.</w:t>
            </w:r>
          </w:p>
          <w:p w14:paraId="6693463E" w14:textId="77777777" w:rsidR="006144C2" w:rsidRDefault="00000000">
            <w:pPr>
              <w:spacing w:before="60" w:after="60"/>
              <w:jc w:val="both"/>
            </w:pPr>
            <w:r>
              <w:rPr>
                <w:rFonts w:eastAsia="Times New Roman"/>
                <w:color w:val="000000"/>
                <w:sz w:val="28"/>
                <w:szCs w:val="28"/>
              </w:rPr>
              <w:t>- Khoản 1, 2 Điều 9 Thông tư số 15/2025/TT-BNV; khoản 6 Điều 33 Nghị định số 152/2025/NĐ-CP.</w:t>
            </w:r>
          </w:p>
          <w:p w14:paraId="3AFAAB50" w14:textId="77777777" w:rsidR="006144C2" w:rsidRDefault="00000000">
            <w:pPr>
              <w:spacing w:before="60" w:after="60"/>
              <w:jc w:val="both"/>
            </w:pPr>
            <w:r>
              <w:rPr>
                <w:rFonts w:eastAsia="Times New Roman"/>
                <w:color w:val="000000"/>
                <w:sz w:val="28"/>
                <w:szCs w:val="28"/>
              </w:rPr>
              <w:t>- Điểm d, đ, g khoản 1 Điều 5 Thông tư số 18/2013/TT-BKHCN về mô tả, điều kiện áp dụng và lợi ích.</w:t>
            </w:r>
          </w:p>
        </w:tc>
        <w:tc>
          <w:tcPr>
            <w:tcW w:w="3263" w:type="dxa"/>
            <w:shd w:val="clear" w:color="auto" w:fill="FFFFFF" w:themeFill="background1"/>
            <w:tcMar>
              <w:top w:w="70" w:type="dxa"/>
              <w:left w:w="150" w:type="dxa"/>
              <w:bottom w:w="70" w:type="dxa"/>
              <w:right w:w="150" w:type="dxa"/>
            </w:tcMar>
            <w:vAlign w:val="center"/>
          </w:tcPr>
          <w:p w14:paraId="3D8B0064" w14:textId="77777777" w:rsidR="006144C2" w:rsidRDefault="00000000">
            <w:pPr>
              <w:spacing w:before="60" w:after="60"/>
              <w:jc w:val="both"/>
            </w:pPr>
            <w:r>
              <w:rPr>
                <w:rFonts w:eastAsia="Times New Roman"/>
                <w:color w:val="000000"/>
                <w:sz w:val="28"/>
                <w:szCs w:val="28"/>
              </w:rPr>
              <w:lastRenderedPageBreak/>
              <w:t>Điều 6. Điều kiện xét, công nhận hiệu quả áp dụng và khả năng nhân rộng của sáng kiến trong phạm vi thành phố</w:t>
            </w:r>
          </w:p>
        </w:tc>
        <w:tc>
          <w:tcPr>
            <w:tcW w:w="7371" w:type="dxa"/>
            <w:shd w:val="clear" w:color="auto" w:fill="FFFFFF" w:themeFill="background1"/>
            <w:tcMar>
              <w:top w:w="70" w:type="dxa"/>
              <w:left w:w="150" w:type="dxa"/>
              <w:bottom w:w="70" w:type="dxa"/>
              <w:right w:w="150" w:type="dxa"/>
            </w:tcMar>
            <w:vAlign w:val="center"/>
          </w:tcPr>
          <w:p w14:paraId="189ADE7D" w14:textId="77777777" w:rsidR="006144C2" w:rsidRDefault="00000000">
            <w:pPr>
              <w:spacing w:before="60" w:after="60"/>
              <w:jc w:val="both"/>
            </w:pPr>
            <w:r>
              <w:rPr>
                <w:rFonts w:eastAsia="Times New Roman"/>
                <w:color w:val="000000"/>
                <w:sz w:val="28"/>
                <w:szCs w:val="28"/>
              </w:rPr>
              <w:t>Tách điều kiện được đưa ra xét khỏi tiêu chí chấm điểm ở Điều 7. Hồ sơ phải có cơ sở pháp lý về việc công nhận sáng kiến, có kết quả áp dụng thực tế và có khả năng nhân rộng; không chỉ dựa vào ý tưởng hoặc lợi ích dự kiến.</w:t>
            </w:r>
          </w:p>
          <w:p w14:paraId="085612F1" w14:textId="77777777" w:rsidR="006144C2" w:rsidRDefault="00000000">
            <w:pPr>
              <w:spacing w:before="60" w:after="60"/>
              <w:jc w:val="both"/>
            </w:pPr>
            <w:r>
              <w:rPr>
                <w:rFonts w:eastAsia="Times New Roman"/>
                <w:color w:val="000000"/>
                <w:sz w:val="28"/>
                <w:szCs w:val="28"/>
              </w:rPr>
              <w:lastRenderedPageBreak/>
              <w:t>Yêu cầu kết quả và minh chứng tại cơ sở nhằm sử dụng xác nhận của nơi trực tiếp quản lý tác giả, tổ chức áp dụng và kiểm chứng hiệu quả. Đây là bước xác minh đầu vào cho đánh giá cấp thành phố, không phải khẳng định Điều lệ Sáng kiến đã quy định hai thủ tục công nhận giống nhau.</w:t>
            </w:r>
          </w:p>
          <w:p w14:paraId="69215D7F" w14:textId="77777777" w:rsidR="006144C2" w:rsidRDefault="00000000">
            <w:pPr>
              <w:spacing w:before="60" w:after="60"/>
              <w:jc w:val="both"/>
            </w:pPr>
            <w:r>
              <w:rPr>
                <w:rFonts w:eastAsia="Times New Roman"/>
                <w:color w:val="000000"/>
                <w:sz w:val="28"/>
                <w:szCs w:val="28"/>
              </w:rPr>
              <w:t>Các hình thức áp dụng ở đơn vị khác, chuyển giao, giải thưởng hoặc tác động chuyên môn tạo nhiều cách chứng minh phù hợp từng lĩnh vực. Không ấn định một số lượng đơn vị áp dụng tối thiểu chung để tránh bất lợi cho giải pháp chuyên sâu. Giải thưởng là minh chứng hỗ trợ; khả năng nhân rộng vẫn phải được làm rõ theo Điều 7, không mặc nhiên được suy ra từ việc đạt giải.</w:t>
            </w:r>
          </w:p>
        </w:tc>
      </w:tr>
      <w:tr w:rsidR="006144C2" w14:paraId="22CBCBD6" w14:textId="77777777" w:rsidTr="00C51476">
        <w:tc>
          <w:tcPr>
            <w:tcW w:w="712" w:type="dxa"/>
            <w:shd w:val="clear" w:color="auto" w:fill="FFFFFF" w:themeFill="background1"/>
            <w:tcMar>
              <w:top w:w="70" w:type="dxa"/>
              <w:left w:w="150" w:type="dxa"/>
              <w:bottom w:w="70" w:type="dxa"/>
              <w:right w:w="150" w:type="dxa"/>
            </w:tcMar>
            <w:vAlign w:val="center"/>
          </w:tcPr>
          <w:p w14:paraId="4585D6C3" w14:textId="77777777" w:rsidR="006144C2" w:rsidRDefault="00000000">
            <w:pPr>
              <w:spacing w:before="60" w:after="60"/>
            </w:pPr>
            <w:r>
              <w:rPr>
                <w:rFonts w:eastAsia="Times New Roman"/>
                <w:color w:val="000000"/>
                <w:sz w:val="28"/>
                <w:szCs w:val="28"/>
              </w:rPr>
              <w:lastRenderedPageBreak/>
              <w:t>7</w:t>
            </w:r>
          </w:p>
        </w:tc>
        <w:tc>
          <w:tcPr>
            <w:tcW w:w="3683" w:type="dxa"/>
            <w:shd w:val="clear" w:color="auto" w:fill="FFFFFF" w:themeFill="background1"/>
            <w:tcMar>
              <w:top w:w="70" w:type="dxa"/>
              <w:left w:w="150" w:type="dxa"/>
              <w:bottom w:w="70" w:type="dxa"/>
              <w:right w:w="150" w:type="dxa"/>
            </w:tcMar>
            <w:vAlign w:val="center"/>
          </w:tcPr>
          <w:p w14:paraId="3A8CD16E" w14:textId="77777777" w:rsidR="006144C2" w:rsidRDefault="00000000">
            <w:pPr>
              <w:spacing w:before="60" w:after="60"/>
              <w:jc w:val="both"/>
            </w:pPr>
            <w:r>
              <w:rPr>
                <w:rFonts w:eastAsia="Times New Roman"/>
                <w:color w:val="000000"/>
                <w:sz w:val="28"/>
                <w:szCs w:val="28"/>
              </w:rPr>
              <w:t>- Khoản 1, 2 Điều 4 Điều lệ Sáng kiến kèm Nghị định số 13/2012/NĐ-CP quy định tính mới và khả năng mang lại lợi ích; tính mới được xác định trong phạm vi cơ sở và theo mốc thời gian luật định.</w:t>
            </w:r>
          </w:p>
          <w:p w14:paraId="474B3397" w14:textId="77777777" w:rsidR="006144C2" w:rsidRDefault="00000000">
            <w:pPr>
              <w:spacing w:before="60" w:after="60"/>
              <w:jc w:val="both"/>
            </w:pPr>
            <w:r>
              <w:rPr>
                <w:rFonts w:eastAsia="Times New Roman"/>
                <w:color w:val="000000"/>
                <w:sz w:val="28"/>
                <w:szCs w:val="28"/>
              </w:rPr>
              <w:t>- Điều 4; điểm d, đ, g khoản 1 Điều 5 Thông tư số 18/2013/TT-BKHCN hướng dẫn tính mới, mô tả phần cải tiến, điều kiện áp dụng và so sánh lợi ích.</w:t>
            </w:r>
          </w:p>
          <w:p w14:paraId="2B06FE66" w14:textId="77777777" w:rsidR="006144C2" w:rsidRDefault="00000000">
            <w:pPr>
              <w:spacing w:before="60" w:after="60"/>
              <w:jc w:val="both"/>
            </w:pPr>
            <w:r>
              <w:rPr>
                <w:rFonts w:eastAsia="Times New Roman"/>
                <w:color w:val="000000"/>
                <w:sz w:val="28"/>
                <w:szCs w:val="28"/>
              </w:rPr>
              <w:lastRenderedPageBreak/>
              <w:t>- Điều 22 Luật Thi đua, khen thưởng; khoản 6 Điều 33 Nghị định số 152/2025/NĐ-CP. Các quy định này không ấn định cơ cấu điểm 30–40–30, ngưỡng 80 điểm, chênh lệch 20 điểm hoặc tỷ lệ biểu quyết 2/3 trong dự thảo.</w:t>
            </w:r>
          </w:p>
        </w:tc>
        <w:tc>
          <w:tcPr>
            <w:tcW w:w="3263" w:type="dxa"/>
            <w:shd w:val="clear" w:color="auto" w:fill="FFFFFF" w:themeFill="background1"/>
            <w:tcMar>
              <w:top w:w="70" w:type="dxa"/>
              <w:left w:w="150" w:type="dxa"/>
              <w:bottom w:w="70" w:type="dxa"/>
              <w:right w:w="150" w:type="dxa"/>
            </w:tcMar>
            <w:vAlign w:val="center"/>
          </w:tcPr>
          <w:p w14:paraId="465A6107" w14:textId="77777777" w:rsidR="006144C2" w:rsidRDefault="00000000">
            <w:pPr>
              <w:spacing w:before="60" w:after="60"/>
              <w:jc w:val="both"/>
            </w:pPr>
            <w:r>
              <w:rPr>
                <w:rFonts w:eastAsia="Times New Roman"/>
                <w:color w:val="000000"/>
                <w:sz w:val="28"/>
                <w:szCs w:val="28"/>
              </w:rPr>
              <w:lastRenderedPageBreak/>
              <w:t>Điều 7. Tiêu chí và cách đánh giá hiệu quả áp dụng, khả năng nhân rộng</w:t>
            </w:r>
          </w:p>
        </w:tc>
        <w:tc>
          <w:tcPr>
            <w:tcW w:w="7371" w:type="dxa"/>
            <w:shd w:val="clear" w:color="auto" w:fill="FFFFFF" w:themeFill="background1"/>
            <w:tcMar>
              <w:top w:w="70" w:type="dxa"/>
              <w:left w:w="150" w:type="dxa"/>
              <w:bottom w:w="70" w:type="dxa"/>
              <w:right w:w="150" w:type="dxa"/>
            </w:tcMar>
            <w:vAlign w:val="center"/>
          </w:tcPr>
          <w:p w14:paraId="14491872" w14:textId="77777777" w:rsidR="006144C2" w:rsidRDefault="00000000">
            <w:pPr>
              <w:spacing w:before="60" w:after="60"/>
              <w:jc w:val="both"/>
            </w:pPr>
            <w:r>
              <w:rPr>
                <w:rFonts w:eastAsia="Times New Roman"/>
                <w:color w:val="000000"/>
                <w:sz w:val="28"/>
                <w:szCs w:val="28"/>
              </w:rPr>
              <w:t>Thiết lập ba nhóm tiêu chí riêng để phân biệt phần cải tiến của giải pháp, kết quả đã tạo ra và khả năng áp dụng ở nơi khác. Tính mới được đối chiếu theo Điều lệ Sáng kiến; tính sáng tạo thể hiện qua nội dung cải tiến cụ thể, không đồng nhất với trình độ sáng tạo để bảo hộ sáng chế.</w:t>
            </w:r>
          </w:p>
          <w:p w14:paraId="533B8B27" w14:textId="77777777" w:rsidR="006144C2" w:rsidRDefault="00000000">
            <w:pPr>
              <w:spacing w:before="60" w:after="60"/>
              <w:jc w:val="both"/>
            </w:pPr>
            <w:r>
              <w:rPr>
                <w:rFonts w:eastAsia="Times New Roman"/>
                <w:color w:val="000000"/>
                <w:sz w:val="28"/>
                <w:szCs w:val="28"/>
              </w:rPr>
              <w:t>Hiệu quả được đánh giá bằng lợi ích kinh tế hoặc xã hội để phù hợp cả sáng kiến sản xuất, quản lý, giáo dục, y tế; không buộc mọi giải pháp phải quy thành tiền. Với việc xét cấp thành phố, lợi ích thực tế phải gắn với minh chứng theo Điều 6. Khả năng nhân rộng được xem xét theo đối tượng, điều kiện áp dụng và sự phù hợp của giải pháp, không chỉ theo số nơi đã triển khai.</w:t>
            </w:r>
          </w:p>
          <w:p w14:paraId="2E564AC9" w14:textId="77777777" w:rsidR="006144C2" w:rsidRDefault="00000000">
            <w:pPr>
              <w:spacing w:before="60" w:after="60"/>
              <w:jc w:val="both"/>
            </w:pPr>
            <w:r>
              <w:rPr>
                <w:rFonts w:eastAsia="Times New Roman"/>
                <w:color w:val="000000"/>
                <w:sz w:val="28"/>
                <w:szCs w:val="28"/>
              </w:rPr>
              <w:t xml:space="preserve">Thang điểm 100, cơ cấu 30–40–30 là phương pháp lượng hóa được đề xuất để dùng chung. Dành 40 điểm cho hiệu quả nhằm </w:t>
            </w:r>
            <w:r>
              <w:rPr>
                <w:rFonts w:eastAsia="Times New Roman"/>
                <w:color w:val="000000"/>
                <w:sz w:val="28"/>
                <w:szCs w:val="28"/>
              </w:rPr>
              <w:lastRenderedPageBreak/>
              <w:t>ưu tiên giá trị thực tế; mỗi nhóm tính mới và nhân rộng vẫn chiếm 30 điểm để bảo đảm giải pháp có cải tiến và có thể phổ biến. Không đặt thang điểm ưu tiên riêng cho từng ngành; khác biệt chuyên môn được phản ánh bằng minh chứng phù hợp.</w:t>
            </w:r>
          </w:p>
          <w:p w14:paraId="3F7FBEE9" w14:textId="77777777" w:rsidR="006144C2" w:rsidRDefault="00000000">
            <w:pPr>
              <w:spacing w:before="60" w:after="60"/>
              <w:jc w:val="both"/>
            </w:pPr>
            <w:r>
              <w:rPr>
                <w:rFonts w:eastAsia="Times New Roman"/>
                <w:color w:val="000000"/>
                <w:sz w:val="28"/>
                <w:szCs w:val="28"/>
              </w:rPr>
              <w:t>Ngưỡng 80 điểm nhằm lựa chọn hồ sơ đáp ứng ở mức cao. Chênh lệch từ 20 điểm là tín hiệu cần trao đổi lại cách hiểu và chứng cứ trước khi kết luận. Biểu quyết 2/3 nhằm bảo đảm sự đồng thuận tập thể bên cạnh điểm số; đánh giá độc lập từng sáng kiến giúp kết quả hồ sơ này không phụ thuộc hồ sơ khác. Cách chấm, phiếu hợp lệ và mẫu số biểu quyết phải rõ để thực hiện thống nhất; tổng điểm không thay thế các điều kiện bắt buộc.</w:t>
            </w:r>
          </w:p>
        </w:tc>
      </w:tr>
      <w:tr w:rsidR="006144C2" w14:paraId="58B6F415" w14:textId="77777777" w:rsidTr="00C51476">
        <w:tc>
          <w:tcPr>
            <w:tcW w:w="712" w:type="dxa"/>
            <w:shd w:val="clear" w:color="auto" w:fill="FFFFFF" w:themeFill="background1"/>
            <w:tcMar>
              <w:top w:w="70" w:type="dxa"/>
              <w:left w:w="150" w:type="dxa"/>
              <w:bottom w:w="70" w:type="dxa"/>
              <w:right w:w="150" w:type="dxa"/>
            </w:tcMar>
            <w:vAlign w:val="center"/>
          </w:tcPr>
          <w:p w14:paraId="7F578663" w14:textId="77777777" w:rsidR="006144C2" w:rsidRDefault="00000000">
            <w:pPr>
              <w:spacing w:before="60" w:after="60"/>
            </w:pPr>
            <w:r>
              <w:rPr>
                <w:rFonts w:eastAsia="Times New Roman"/>
                <w:color w:val="000000"/>
                <w:sz w:val="28"/>
                <w:szCs w:val="28"/>
              </w:rPr>
              <w:lastRenderedPageBreak/>
              <w:t>8</w:t>
            </w:r>
          </w:p>
        </w:tc>
        <w:tc>
          <w:tcPr>
            <w:tcW w:w="3683" w:type="dxa"/>
            <w:shd w:val="clear" w:color="auto" w:fill="FFFFFF" w:themeFill="background1"/>
            <w:tcMar>
              <w:top w:w="70" w:type="dxa"/>
              <w:left w:w="150" w:type="dxa"/>
              <w:bottom w:w="70" w:type="dxa"/>
              <w:right w:w="150" w:type="dxa"/>
            </w:tcMar>
            <w:vAlign w:val="center"/>
          </w:tcPr>
          <w:p w14:paraId="5BCB8644" w14:textId="77777777" w:rsidR="006144C2" w:rsidRDefault="00000000">
            <w:pPr>
              <w:spacing w:before="60" w:after="60"/>
              <w:jc w:val="both"/>
            </w:pPr>
            <w:r>
              <w:rPr>
                <w:rFonts w:eastAsia="Times New Roman"/>
                <w:color w:val="000000"/>
                <w:sz w:val="28"/>
                <w:szCs w:val="28"/>
              </w:rPr>
              <w:t>- Khoản 6 Điều 33 Nghị định số 152/2025/NĐ-CP quy định chủ thể thành lập, thành phần chuyên môn và nhiệm vụ tư vấn của Hội đồng sáng kiến, Hội đồng khoa học các cấp.</w:t>
            </w:r>
          </w:p>
          <w:p w14:paraId="29EAB3C0" w14:textId="77777777" w:rsidR="006144C2" w:rsidRDefault="00000000">
            <w:pPr>
              <w:spacing w:before="60" w:after="60"/>
              <w:jc w:val="both"/>
            </w:pPr>
            <w:r>
              <w:rPr>
                <w:rFonts w:eastAsia="Times New Roman"/>
                <w:color w:val="000000"/>
                <w:sz w:val="28"/>
                <w:szCs w:val="28"/>
              </w:rPr>
              <w:t>- Khoản 2 Điều 9 Thông tư số 15/2025/TT-BNV quy định người có thẩm quyền xem xét, công nhận.</w:t>
            </w:r>
          </w:p>
          <w:p w14:paraId="2BFE8672" w14:textId="77777777" w:rsidR="006144C2" w:rsidRDefault="00000000">
            <w:pPr>
              <w:spacing w:before="60" w:after="60"/>
              <w:jc w:val="both"/>
            </w:pPr>
            <w:r>
              <w:rPr>
                <w:rFonts w:eastAsia="Times New Roman"/>
                <w:color w:val="000000"/>
                <w:sz w:val="28"/>
                <w:szCs w:val="28"/>
              </w:rPr>
              <w:t xml:space="preserve">- Điều 13 Luật Tổ chức chính quyền địa phương số 72/2025/QH15 đối với việc </w:t>
            </w:r>
            <w:r>
              <w:rPr>
                <w:rFonts w:eastAsia="Times New Roman"/>
                <w:color w:val="000000"/>
                <w:sz w:val="28"/>
                <w:szCs w:val="28"/>
              </w:rPr>
              <w:lastRenderedPageBreak/>
              <w:t>thực hiện thẩm quyền được phân cấp.</w:t>
            </w:r>
          </w:p>
        </w:tc>
        <w:tc>
          <w:tcPr>
            <w:tcW w:w="3263" w:type="dxa"/>
            <w:shd w:val="clear" w:color="auto" w:fill="FFFFFF" w:themeFill="background1"/>
            <w:tcMar>
              <w:top w:w="70" w:type="dxa"/>
              <w:left w:w="150" w:type="dxa"/>
              <w:bottom w:w="70" w:type="dxa"/>
              <w:right w:w="150" w:type="dxa"/>
            </w:tcMar>
            <w:vAlign w:val="center"/>
          </w:tcPr>
          <w:p w14:paraId="5E789802" w14:textId="77777777" w:rsidR="006144C2" w:rsidRDefault="00000000">
            <w:pPr>
              <w:spacing w:before="60" w:after="60"/>
              <w:jc w:val="both"/>
            </w:pPr>
            <w:r>
              <w:rPr>
                <w:rFonts w:eastAsia="Times New Roman"/>
                <w:color w:val="000000"/>
                <w:sz w:val="28"/>
                <w:szCs w:val="28"/>
              </w:rPr>
              <w:lastRenderedPageBreak/>
              <w:t>Điều 8. Hội đồng đánh giá hiệu quả áp dụng và khả năng nhân rộng của sáng kiến cấp thành phố</w:t>
            </w:r>
          </w:p>
        </w:tc>
        <w:tc>
          <w:tcPr>
            <w:tcW w:w="7371" w:type="dxa"/>
            <w:shd w:val="clear" w:color="auto" w:fill="FFFFFF" w:themeFill="background1"/>
            <w:tcMar>
              <w:top w:w="70" w:type="dxa"/>
              <w:left w:w="150" w:type="dxa"/>
              <w:bottom w:w="70" w:type="dxa"/>
              <w:right w:w="150" w:type="dxa"/>
            </w:tcMar>
            <w:vAlign w:val="center"/>
          </w:tcPr>
          <w:p w14:paraId="536C6156" w14:textId="77777777" w:rsidR="006144C2" w:rsidRDefault="00000000">
            <w:pPr>
              <w:spacing w:before="60" w:after="60"/>
              <w:jc w:val="both"/>
            </w:pPr>
            <w:r>
              <w:rPr>
                <w:rFonts w:eastAsia="Times New Roman"/>
                <w:color w:val="000000"/>
                <w:sz w:val="28"/>
                <w:szCs w:val="28"/>
              </w:rPr>
              <w:t>Quy định cụ thể thành phần và cách làm việc của Hội đồng để kết hợp trách nhiệm quản lý với đánh giá chuyên môn. Lãnh đạo Sở điều hành, đại diện cơ quan liên quan cung cấp góc nhìn quản lý, chuyên gia đánh giá nội dung giải pháp; thư ký tổng hợp hồ sơ và kết quả.</w:t>
            </w:r>
          </w:p>
          <w:p w14:paraId="7FDF0D8F" w14:textId="77777777" w:rsidR="006144C2" w:rsidRDefault="00000000">
            <w:pPr>
              <w:spacing w:before="60" w:after="60"/>
              <w:jc w:val="both"/>
            </w:pPr>
            <w:r>
              <w:rPr>
                <w:rFonts w:eastAsia="Times New Roman"/>
                <w:color w:val="000000"/>
                <w:sz w:val="28"/>
                <w:szCs w:val="28"/>
              </w:rPr>
              <w:t>Hội đồng làm việc tập thể, tư vấn và đề nghị công nhận; quyết định công nhận do chủ thể có thẩm quyền ban hành. Quy định này không đồng nhất Hội đồng đánh giá hiệu quả, khả năng nhân rộng với Hội đồng công nhận sáng kiến ban đầu tại cơ sở.</w:t>
            </w:r>
          </w:p>
          <w:p w14:paraId="2B1827AD" w14:textId="77777777" w:rsidR="006144C2" w:rsidRDefault="00000000">
            <w:pPr>
              <w:spacing w:before="60" w:after="60"/>
              <w:jc w:val="both"/>
            </w:pPr>
            <w:r>
              <w:rPr>
                <w:rFonts w:eastAsia="Times New Roman"/>
                <w:color w:val="000000"/>
                <w:sz w:val="28"/>
                <w:szCs w:val="28"/>
              </w:rPr>
              <w:t>Điều kiện ít nhất 2/3 tổng số thành viên tham dự nhằm bảo đảm tính đại diện khi họp. Biên bản ghi rõ điểm, ý kiến và số người đồng ý đối với từng sáng kiến tạo cơ sở kiểm tra và chịu trách nhiệm. Thẩm quyền Sở thành lập Hội đồng gắn với phương án phân cấp tại Điều 5.</w:t>
            </w:r>
          </w:p>
        </w:tc>
      </w:tr>
      <w:tr w:rsidR="006144C2" w14:paraId="69114924" w14:textId="77777777" w:rsidTr="00C51476">
        <w:tc>
          <w:tcPr>
            <w:tcW w:w="712" w:type="dxa"/>
            <w:shd w:val="clear" w:color="auto" w:fill="FFFFFF" w:themeFill="background1"/>
            <w:tcMar>
              <w:top w:w="70" w:type="dxa"/>
              <w:left w:w="150" w:type="dxa"/>
              <w:bottom w:w="70" w:type="dxa"/>
              <w:right w:w="150" w:type="dxa"/>
            </w:tcMar>
            <w:vAlign w:val="center"/>
          </w:tcPr>
          <w:p w14:paraId="7DBEBA78" w14:textId="77777777" w:rsidR="006144C2" w:rsidRDefault="00000000">
            <w:pPr>
              <w:spacing w:before="60" w:after="60"/>
            </w:pPr>
            <w:r>
              <w:rPr>
                <w:rFonts w:eastAsia="Times New Roman"/>
                <w:color w:val="000000"/>
                <w:sz w:val="28"/>
                <w:szCs w:val="28"/>
              </w:rPr>
              <w:t>9</w:t>
            </w:r>
          </w:p>
        </w:tc>
        <w:tc>
          <w:tcPr>
            <w:tcW w:w="3683" w:type="dxa"/>
            <w:shd w:val="clear" w:color="auto" w:fill="FFFFFF" w:themeFill="background1"/>
            <w:tcMar>
              <w:top w:w="70" w:type="dxa"/>
              <w:left w:w="150" w:type="dxa"/>
              <w:bottom w:w="70" w:type="dxa"/>
              <w:right w:w="150" w:type="dxa"/>
            </w:tcMar>
            <w:vAlign w:val="center"/>
          </w:tcPr>
          <w:p w14:paraId="19047C91" w14:textId="77777777" w:rsidR="006144C2" w:rsidRDefault="00000000">
            <w:pPr>
              <w:spacing w:before="60" w:after="60"/>
              <w:jc w:val="both"/>
            </w:pPr>
            <w:r>
              <w:rPr>
                <w:rFonts w:eastAsia="Times New Roman"/>
                <w:color w:val="000000"/>
                <w:sz w:val="28"/>
                <w:szCs w:val="28"/>
              </w:rPr>
              <w:t>- Khoản 3 Điều 5 Điều lệ Sáng kiến; khoản 1 Điều 5 Thông tư số 18/2013/TT-BKHCN quy định các thông tin về tác giả, mô tả giải pháp, điều kiện áp dụng, lợi ích.</w:t>
            </w:r>
          </w:p>
          <w:p w14:paraId="5C2B7A9A" w14:textId="77777777" w:rsidR="006144C2" w:rsidRDefault="00000000">
            <w:pPr>
              <w:spacing w:before="60" w:after="60"/>
              <w:jc w:val="both"/>
            </w:pPr>
            <w:r>
              <w:rPr>
                <w:rFonts w:eastAsia="Times New Roman"/>
                <w:color w:val="000000"/>
                <w:sz w:val="28"/>
                <w:szCs w:val="28"/>
              </w:rPr>
              <w:t>- Khoản 6 Điều 33 Nghị định số 152/2025/NĐ-CP quy định kết quả công nhận bằng quyết định hoặc văn bản xác nhận; văn bản xác nhận theo Mẫu số 13.</w:t>
            </w:r>
          </w:p>
          <w:p w14:paraId="0B0B3B11" w14:textId="77777777" w:rsidR="006144C2" w:rsidRDefault="00000000">
            <w:pPr>
              <w:spacing w:before="60" w:after="60"/>
              <w:jc w:val="both"/>
            </w:pPr>
            <w:r>
              <w:rPr>
                <w:rFonts w:eastAsia="Times New Roman"/>
                <w:color w:val="000000"/>
                <w:sz w:val="28"/>
                <w:szCs w:val="28"/>
              </w:rPr>
              <w:t>- Khoản 1, 2 Điều 9 Thông tư số 15/2025/TT-BNV.</w:t>
            </w:r>
          </w:p>
          <w:p w14:paraId="48E5BBD7" w14:textId="77777777" w:rsidR="006144C2" w:rsidRDefault="00000000">
            <w:pPr>
              <w:spacing w:before="60" w:after="60"/>
              <w:jc w:val="both"/>
            </w:pPr>
            <w:r>
              <w:rPr>
                <w:rFonts w:eastAsia="Times New Roman"/>
                <w:color w:val="000000"/>
                <w:sz w:val="28"/>
                <w:szCs w:val="28"/>
              </w:rPr>
              <w:t>- Khoản 7 Điều 13 Luật số 72/2025/QH15 quy định yêu cầu cải cách, chuyển đổi số khi điều chỉnh thủ tục để thực hiện phân cấp.</w:t>
            </w:r>
          </w:p>
        </w:tc>
        <w:tc>
          <w:tcPr>
            <w:tcW w:w="3263" w:type="dxa"/>
            <w:shd w:val="clear" w:color="auto" w:fill="FFFFFF" w:themeFill="background1"/>
            <w:tcMar>
              <w:top w:w="70" w:type="dxa"/>
              <w:left w:w="150" w:type="dxa"/>
              <w:bottom w:w="70" w:type="dxa"/>
              <w:right w:w="150" w:type="dxa"/>
            </w:tcMar>
            <w:vAlign w:val="center"/>
          </w:tcPr>
          <w:p w14:paraId="3063F794" w14:textId="77777777" w:rsidR="006144C2" w:rsidRDefault="00000000">
            <w:pPr>
              <w:spacing w:before="60" w:after="60"/>
              <w:jc w:val="both"/>
            </w:pPr>
            <w:r>
              <w:rPr>
                <w:rFonts w:eastAsia="Times New Roman"/>
                <w:color w:val="000000"/>
                <w:sz w:val="28"/>
                <w:szCs w:val="28"/>
              </w:rPr>
              <w:t>Điều 9. Hồ sơ và phương thức gửi đề nghị xét, công nhận cấp thành phố</w:t>
            </w:r>
          </w:p>
        </w:tc>
        <w:tc>
          <w:tcPr>
            <w:tcW w:w="7371" w:type="dxa"/>
            <w:shd w:val="clear" w:color="auto" w:fill="FFFFFF" w:themeFill="background1"/>
            <w:tcMar>
              <w:top w:w="70" w:type="dxa"/>
              <w:left w:w="150" w:type="dxa"/>
              <w:bottom w:w="70" w:type="dxa"/>
              <w:right w:w="150" w:type="dxa"/>
            </w:tcMar>
            <w:vAlign w:val="center"/>
          </w:tcPr>
          <w:p w14:paraId="061DC5C1" w14:textId="77777777" w:rsidR="006144C2" w:rsidRDefault="00000000">
            <w:pPr>
              <w:spacing w:before="60" w:after="60"/>
              <w:jc w:val="both"/>
            </w:pPr>
            <w:r>
              <w:rPr>
                <w:rFonts w:eastAsia="Times New Roman"/>
                <w:color w:val="000000"/>
                <w:sz w:val="28"/>
                <w:szCs w:val="28"/>
              </w:rPr>
              <w:t>Thống nhất thành phần hồ sơ để cơ quan đề nghị và tác giả biết thông tin phải cung cấp. Văn bản đề nghị xác định đầu mối chịu trách nhiệm; biên bản và kết quả cấp cơ sở phản ánh việc đánh giá ban đầu; đơn, bản mô tả và minh chứng phục vụ đánh giá chuyên môn ở thành phố.</w:t>
            </w:r>
          </w:p>
          <w:p w14:paraId="3F38408D" w14:textId="77777777" w:rsidR="006144C2" w:rsidRDefault="00000000">
            <w:pPr>
              <w:spacing w:before="60" w:after="60"/>
              <w:jc w:val="both"/>
            </w:pPr>
            <w:r>
              <w:rPr>
                <w:rFonts w:eastAsia="Times New Roman"/>
                <w:color w:val="000000"/>
                <w:sz w:val="28"/>
                <w:szCs w:val="28"/>
              </w:rPr>
              <w:t>Ba biểu mẫu cụ thể hóa thông tin cần thiết: Mẫu 01 tổng hợp đề nghị, Mẫu 02 thể hiện yêu cầu của tác giả, Mẫu 03 trình bày giải pháp và kết quả áp dụng. Nội dung mô tả dựa trên Thông tư số 18/2013/TT-BKHCN, còn yêu cầu 10–14 trang trong dự thảo là lựa chọn hướng dẫn trình bày, không phải số trang do Thông tư quy định. Mức độ đầy đủ của chứng cứ mới là cơ sở đánh giá nội dung hồ sơ.</w:t>
            </w:r>
          </w:p>
          <w:p w14:paraId="6C1126FB" w14:textId="77777777" w:rsidR="006144C2" w:rsidRDefault="00000000">
            <w:pPr>
              <w:spacing w:before="60" w:after="60"/>
              <w:jc w:val="both"/>
            </w:pPr>
            <w:r>
              <w:rPr>
                <w:rFonts w:eastAsia="Times New Roman"/>
                <w:color w:val="000000"/>
                <w:sz w:val="28"/>
                <w:szCs w:val="28"/>
              </w:rPr>
              <w:t>Thông báo kế hoạch hằng năm giúp bố trí đợt xét phù hợp chu kỳ năm học, nhiệm vụ của các khối và tiến độ thi đua, thay vì cố định hai mốc tháng 5, tháng 9. Bản điện tử phục vụ gửi, tra cứu và xử lý; bản giấy phục vụ đối chiếu, lưu hồ sơ theo phương án dự thảo. Việc nộp song song chưa đồng nghĩa đã cắt giảm thành phần hồ sơ.</w:t>
            </w:r>
          </w:p>
        </w:tc>
      </w:tr>
      <w:tr w:rsidR="006144C2" w14:paraId="7D168122" w14:textId="77777777" w:rsidTr="00C51476">
        <w:tc>
          <w:tcPr>
            <w:tcW w:w="712" w:type="dxa"/>
            <w:shd w:val="clear" w:color="auto" w:fill="FFFFFF" w:themeFill="background1"/>
            <w:tcMar>
              <w:top w:w="70" w:type="dxa"/>
              <w:left w:w="150" w:type="dxa"/>
              <w:bottom w:w="70" w:type="dxa"/>
              <w:right w:w="150" w:type="dxa"/>
            </w:tcMar>
            <w:vAlign w:val="center"/>
          </w:tcPr>
          <w:p w14:paraId="572FE1E3" w14:textId="77777777" w:rsidR="006144C2" w:rsidRDefault="00000000">
            <w:pPr>
              <w:spacing w:before="60" w:after="60"/>
            </w:pPr>
            <w:r>
              <w:rPr>
                <w:rFonts w:eastAsia="Times New Roman"/>
                <w:color w:val="000000"/>
                <w:sz w:val="28"/>
                <w:szCs w:val="28"/>
              </w:rPr>
              <w:t>10</w:t>
            </w:r>
          </w:p>
        </w:tc>
        <w:tc>
          <w:tcPr>
            <w:tcW w:w="3683" w:type="dxa"/>
            <w:shd w:val="clear" w:color="auto" w:fill="FFFFFF" w:themeFill="background1"/>
            <w:tcMar>
              <w:top w:w="70" w:type="dxa"/>
              <w:left w:w="150" w:type="dxa"/>
              <w:bottom w:w="70" w:type="dxa"/>
              <w:right w:w="150" w:type="dxa"/>
            </w:tcMar>
            <w:vAlign w:val="center"/>
          </w:tcPr>
          <w:p w14:paraId="62F9AC50" w14:textId="77777777" w:rsidR="006144C2" w:rsidRDefault="00000000">
            <w:pPr>
              <w:spacing w:before="60" w:after="60"/>
              <w:jc w:val="both"/>
            </w:pPr>
            <w:r>
              <w:rPr>
                <w:rFonts w:eastAsia="Times New Roman"/>
                <w:color w:val="000000"/>
                <w:sz w:val="28"/>
                <w:szCs w:val="28"/>
              </w:rPr>
              <w:t xml:space="preserve">- Khoản 6 Điều 33 Nghị định số 152/2025/NĐ-CP về đánh </w:t>
            </w:r>
            <w:r>
              <w:rPr>
                <w:rFonts w:eastAsia="Times New Roman"/>
                <w:color w:val="000000"/>
                <w:sz w:val="28"/>
                <w:szCs w:val="28"/>
              </w:rPr>
              <w:lastRenderedPageBreak/>
              <w:t>giá của Hội đồng và hình thức kết quả công nhận.</w:t>
            </w:r>
          </w:p>
          <w:p w14:paraId="1F5453A7" w14:textId="77777777" w:rsidR="006144C2" w:rsidRDefault="00000000">
            <w:pPr>
              <w:spacing w:before="60" w:after="60"/>
              <w:jc w:val="both"/>
            </w:pPr>
            <w:r>
              <w:rPr>
                <w:rFonts w:eastAsia="Times New Roman"/>
                <w:color w:val="000000"/>
                <w:sz w:val="28"/>
                <w:szCs w:val="28"/>
              </w:rPr>
              <w:t>- Khoản 2 Điều 9 Thông tư số 15/2025/TT-BNV về chủ thể công nhận.</w:t>
            </w:r>
          </w:p>
          <w:p w14:paraId="0119F84D" w14:textId="77777777" w:rsidR="006144C2" w:rsidRDefault="00000000">
            <w:pPr>
              <w:spacing w:before="60" w:after="60"/>
              <w:jc w:val="both"/>
            </w:pPr>
            <w:r>
              <w:rPr>
                <w:rFonts w:eastAsia="Times New Roman"/>
                <w:color w:val="000000"/>
                <w:sz w:val="28"/>
                <w:szCs w:val="28"/>
              </w:rPr>
              <w:t>- Khoản 3, 4 Điều 13 Luật số 72/2025/QH15 về kiểm tra và trách nhiệm trong phân cấp.</w:t>
            </w:r>
          </w:p>
          <w:p w14:paraId="5C575226" w14:textId="77777777" w:rsidR="006144C2" w:rsidRDefault="00000000">
            <w:pPr>
              <w:spacing w:before="60" w:after="60"/>
              <w:jc w:val="both"/>
            </w:pPr>
            <w:r>
              <w:rPr>
                <w:rFonts w:eastAsia="Times New Roman"/>
                <w:color w:val="000000"/>
                <w:sz w:val="28"/>
                <w:szCs w:val="28"/>
              </w:rPr>
              <w:t>- Khoản 3 Điều 9 Thông tư số 18/2013/TT-BKHCN quy định hủy công nhận sáng kiến tại cơ sở; đây không phải căn cứ tự chuyển thẩm quyền hủy kết quả cấp thành phố.</w:t>
            </w:r>
          </w:p>
        </w:tc>
        <w:tc>
          <w:tcPr>
            <w:tcW w:w="3263" w:type="dxa"/>
            <w:shd w:val="clear" w:color="auto" w:fill="FFFFFF" w:themeFill="background1"/>
            <w:tcMar>
              <w:top w:w="70" w:type="dxa"/>
              <w:left w:w="150" w:type="dxa"/>
              <w:bottom w:w="70" w:type="dxa"/>
              <w:right w:w="150" w:type="dxa"/>
            </w:tcMar>
            <w:vAlign w:val="center"/>
          </w:tcPr>
          <w:p w14:paraId="1CF77425" w14:textId="77777777" w:rsidR="006144C2" w:rsidRDefault="00000000">
            <w:pPr>
              <w:spacing w:before="60" w:after="60"/>
              <w:jc w:val="both"/>
            </w:pPr>
            <w:r>
              <w:rPr>
                <w:rFonts w:eastAsia="Times New Roman"/>
                <w:color w:val="000000"/>
                <w:sz w:val="28"/>
                <w:szCs w:val="28"/>
              </w:rPr>
              <w:lastRenderedPageBreak/>
              <w:t>Điều 10. Trình tự tiếp nhận, đánh giá và công nhận</w:t>
            </w:r>
          </w:p>
        </w:tc>
        <w:tc>
          <w:tcPr>
            <w:tcW w:w="7371" w:type="dxa"/>
            <w:shd w:val="clear" w:color="auto" w:fill="FFFFFF" w:themeFill="background1"/>
            <w:tcMar>
              <w:top w:w="70" w:type="dxa"/>
              <w:left w:w="150" w:type="dxa"/>
              <w:bottom w:w="70" w:type="dxa"/>
              <w:right w:w="150" w:type="dxa"/>
            </w:tcMar>
            <w:vAlign w:val="center"/>
          </w:tcPr>
          <w:p w14:paraId="5C2F6371" w14:textId="77777777" w:rsidR="006144C2" w:rsidRDefault="00000000">
            <w:pPr>
              <w:spacing w:before="60" w:after="60"/>
              <w:jc w:val="both"/>
            </w:pPr>
            <w:r>
              <w:rPr>
                <w:rFonts w:eastAsia="Times New Roman"/>
                <w:color w:val="000000"/>
                <w:sz w:val="28"/>
                <w:szCs w:val="28"/>
              </w:rPr>
              <w:t xml:space="preserve">Quy định các bước từ tiếp nhận, kiểm tra, thẩm định đến họp Hội đồng, công nhận và thông báo kết quả, qua đó xác định rõ công việc và trách nhiệm của từng bộ phận. Thông báo bổ sung </w:t>
            </w:r>
            <w:r>
              <w:rPr>
                <w:rFonts w:eastAsia="Times New Roman"/>
                <w:color w:val="000000"/>
                <w:sz w:val="28"/>
                <w:szCs w:val="28"/>
              </w:rPr>
              <w:lastRenderedPageBreak/>
              <w:t>hoặc không đưa ra xét phải bằng văn bản, có nội dung, thời hạn hoặc lý do để cơ quan đề nghị biết và thực hiện.</w:t>
            </w:r>
          </w:p>
          <w:p w14:paraId="2106C224" w14:textId="77777777" w:rsidR="006144C2" w:rsidRDefault="00000000">
            <w:pPr>
              <w:spacing w:before="60" w:after="60"/>
              <w:jc w:val="both"/>
            </w:pPr>
            <w:r>
              <w:rPr>
                <w:rFonts w:eastAsia="Times New Roman"/>
                <w:color w:val="000000"/>
                <w:sz w:val="28"/>
                <w:szCs w:val="28"/>
              </w:rPr>
              <w:t>Việc lấy ý kiến chuyên môn, giải trình hoặc kiểm tra nơi áp dụng nhằm xác minh tài liệu khi cần thiết. Hội đồng đánh giá nội dung; cơ quan có thẩm quyền quyết định trên cơ sở kết quả tư vấn, tránh lẫn giữa khâu chuẩn bị hồ sơ và khâu kết luận.</w:t>
            </w:r>
          </w:p>
          <w:p w14:paraId="1B529B9F" w14:textId="77777777" w:rsidR="006144C2" w:rsidRDefault="00000000">
            <w:pPr>
              <w:spacing w:before="60" w:after="60"/>
              <w:jc w:val="both"/>
            </w:pPr>
            <w:r>
              <w:rPr>
                <w:rFonts w:eastAsia="Times New Roman"/>
                <w:color w:val="000000"/>
                <w:sz w:val="28"/>
                <w:szCs w:val="28"/>
              </w:rPr>
              <w:t>Gửi quyết định, cập nhật dữ liệu và công bố danh sách giúp đơn vị sử dụng kết quả trong thi đua, đồng thời tạo nguồn thông tin để phổ biến sáng kiến.</w:t>
            </w:r>
          </w:p>
          <w:p w14:paraId="4B28F39C" w14:textId="77777777" w:rsidR="006144C2" w:rsidRDefault="00000000">
            <w:pPr>
              <w:spacing w:before="60" w:after="60"/>
              <w:jc w:val="both"/>
            </w:pPr>
            <w:r>
              <w:rPr>
                <w:rFonts w:eastAsia="Times New Roman"/>
                <w:color w:val="000000"/>
                <w:sz w:val="28"/>
                <w:szCs w:val="28"/>
              </w:rPr>
              <w:t>Cơ chế kiểm tra sau công nhận và yêu cầu các bên giải trình nhằm xử lý kết quả dựa trên sao chép, xâm phạm quyền hoặc hồ sơ không trung thực. Việc hủy kết quả cấp thành phố phải gắn với thẩm quyền ban hành, cơ chế phân cấp và kiểm tra; phân biệt với hủy công nhận sáng kiến tại cơ sở và xử lý quyết định khen thưởng.</w:t>
            </w:r>
          </w:p>
        </w:tc>
      </w:tr>
      <w:tr w:rsidR="006144C2" w14:paraId="7B4802F9" w14:textId="77777777" w:rsidTr="00C51476">
        <w:tc>
          <w:tcPr>
            <w:tcW w:w="712" w:type="dxa"/>
            <w:shd w:val="clear" w:color="auto" w:fill="FFFFFF" w:themeFill="background1"/>
            <w:tcMar>
              <w:top w:w="70" w:type="dxa"/>
              <w:left w:w="150" w:type="dxa"/>
              <w:bottom w:w="70" w:type="dxa"/>
              <w:right w:w="150" w:type="dxa"/>
            </w:tcMar>
            <w:vAlign w:val="center"/>
          </w:tcPr>
          <w:p w14:paraId="6364F0E8" w14:textId="77777777" w:rsidR="006144C2" w:rsidRDefault="00000000">
            <w:pPr>
              <w:spacing w:before="60" w:after="60"/>
            </w:pPr>
            <w:r>
              <w:rPr>
                <w:rFonts w:eastAsia="Times New Roman"/>
                <w:color w:val="000000"/>
                <w:sz w:val="28"/>
                <w:szCs w:val="28"/>
              </w:rPr>
              <w:lastRenderedPageBreak/>
              <w:t>11</w:t>
            </w:r>
          </w:p>
        </w:tc>
        <w:tc>
          <w:tcPr>
            <w:tcW w:w="3683" w:type="dxa"/>
            <w:shd w:val="clear" w:color="auto" w:fill="FFFFFF" w:themeFill="background1"/>
            <w:tcMar>
              <w:top w:w="70" w:type="dxa"/>
              <w:left w:w="150" w:type="dxa"/>
              <w:bottom w:w="70" w:type="dxa"/>
              <w:right w:w="150" w:type="dxa"/>
            </w:tcMar>
            <w:vAlign w:val="center"/>
          </w:tcPr>
          <w:p w14:paraId="327AE25A" w14:textId="77777777" w:rsidR="006144C2" w:rsidRDefault="00000000">
            <w:pPr>
              <w:spacing w:before="60" w:after="60"/>
              <w:jc w:val="both"/>
            </w:pPr>
            <w:r>
              <w:rPr>
                <w:rFonts w:eastAsia="Times New Roman"/>
                <w:color w:val="000000"/>
                <w:sz w:val="28"/>
                <w:szCs w:val="28"/>
              </w:rPr>
              <w:t>- Điều 16 Điều lệ Sáng kiến ban hành kèm Nghị định số 13/2012/NĐ-CP quy định chi phí cho hoạt động sáng kiến và các biện pháp thúc đẩy hoạt động sáng kiến.</w:t>
            </w:r>
          </w:p>
          <w:p w14:paraId="2F4A6A04" w14:textId="77777777" w:rsidR="006144C2" w:rsidRDefault="00000000">
            <w:pPr>
              <w:spacing w:before="60" w:after="60"/>
              <w:jc w:val="both"/>
            </w:pPr>
            <w:r>
              <w:rPr>
                <w:rFonts w:eastAsia="Times New Roman"/>
                <w:color w:val="000000"/>
                <w:sz w:val="28"/>
                <w:szCs w:val="28"/>
              </w:rPr>
              <w:t xml:space="preserve">- Điều 2, khoản 1 Điều 3 và Điều 7 Thông tư số 03/2019/TT-BTC quy định nguồn kinh phí, nguyên tắc </w:t>
            </w:r>
            <w:r>
              <w:rPr>
                <w:rFonts w:eastAsia="Times New Roman"/>
                <w:color w:val="000000"/>
                <w:sz w:val="28"/>
                <w:szCs w:val="28"/>
              </w:rPr>
              <w:lastRenderedPageBreak/>
              <w:t>quyết định mức chi và lập, chấp hành, quyết toán kinh phí.</w:t>
            </w:r>
          </w:p>
        </w:tc>
        <w:tc>
          <w:tcPr>
            <w:tcW w:w="3263" w:type="dxa"/>
            <w:shd w:val="clear" w:color="auto" w:fill="FFFFFF" w:themeFill="background1"/>
            <w:tcMar>
              <w:top w:w="70" w:type="dxa"/>
              <w:left w:w="150" w:type="dxa"/>
              <w:bottom w:w="70" w:type="dxa"/>
              <w:right w:w="150" w:type="dxa"/>
            </w:tcMar>
            <w:vAlign w:val="center"/>
          </w:tcPr>
          <w:p w14:paraId="54D1F4B1" w14:textId="77777777" w:rsidR="006144C2" w:rsidRDefault="00000000">
            <w:pPr>
              <w:spacing w:before="60" w:after="60"/>
              <w:jc w:val="both"/>
            </w:pPr>
            <w:r>
              <w:rPr>
                <w:rFonts w:eastAsia="Times New Roman"/>
                <w:color w:val="000000"/>
                <w:sz w:val="28"/>
                <w:szCs w:val="28"/>
              </w:rPr>
              <w:lastRenderedPageBreak/>
              <w:t>Điều 11. Kinh phí thực hiện</w:t>
            </w:r>
          </w:p>
        </w:tc>
        <w:tc>
          <w:tcPr>
            <w:tcW w:w="7371" w:type="dxa"/>
            <w:shd w:val="clear" w:color="auto" w:fill="FFFFFF" w:themeFill="background1"/>
            <w:tcMar>
              <w:top w:w="70" w:type="dxa"/>
              <w:left w:w="150" w:type="dxa"/>
              <w:bottom w:w="70" w:type="dxa"/>
              <w:right w:w="150" w:type="dxa"/>
            </w:tcMar>
            <w:vAlign w:val="center"/>
          </w:tcPr>
          <w:p w14:paraId="15A510F5" w14:textId="77777777" w:rsidR="006144C2" w:rsidRDefault="00000000">
            <w:pPr>
              <w:spacing w:before="60" w:after="60"/>
              <w:jc w:val="both"/>
            </w:pPr>
            <w:r>
              <w:rPr>
                <w:rFonts w:eastAsia="Times New Roman"/>
                <w:color w:val="000000"/>
                <w:sz w:val="28"/>
                <w:szCs w:val="28"/>
              </w:rPr>
              <w:t>Xác định các nguồn bảo đảm thực hiện gồm ngân sách nhà nước theo phân cấp, nguồn thu hoạt động sự nghiệp, kinh phí doanh nghiệp và các nguồn hợp pháp khác, phù hợp loại hình cơ quan, đơn vị tham gia.</w:t>
            </w:r>
          </w:p>
          <w:p w14:paraId="788834A2" w14:textId="77777777" w:rsidR="006144C2" w:rsidRDefault="00000000">
            <w:pPr>
              <w:spacing w:before="60" w:after="60"/>
              <w:jc w:val="both"/>
            </w:pPr>
            <w:r>
              <w:rPr>
                <w:rFonts w:eastAsia="Times New Roman"/>
                <w:color w:val="000000"/>
                <w:sz w:val="28"/>
                <w:szCs w:val="28"/>
              </w:rPr>
              <w:t>Quy định theo nguyên tắc chung để tránh lặp lại hoặc diễn giải thiếu các cơ chế tài chính đã được pháp luật chuyên ngành điều chỉnh. Không đặt thêm khoản thu, chế độ hoặc định mức chi mới trong văn bản về xét công nhận sáng kiến.</w:t>
            </w:r>
          </w:p>
          <w:p w14:paraId="1C581C72" w14:textId="77777777" w:rsidR="006144C2" w:rsidRDefault="00000000">
            <w:pPr>
              <w:spacing w:before="60" w:after="60"/>
              <w:jc w:val="both"/>
            </w:pPr>
            <w:r>
              <w:rPr>
                <w:rFonts w:eastAsia="Times New Roman"/>
                <w:color w:val="000000"/>
                <w:sz w:val="28"/>
                <w:szCs w:val="28"/>
              </w:rPr>
              <w:t xml:space="preserve">Việc lập dự toán, bố trí, sử dụng và quyết toán kinh phí thực hiện theo pháp luật ngân sách, văn bản mức chi có thẩm quyền </w:t>
            </w:r>
            <w:r>
              <w:rPr>
                <w:rFonts w:eastAsia="Times New Roman"/>
                <w:color w:val="000000"/>
                <w:sz w:val="28"/>
                <w:szCs w:val="28"/>
              </w:rPr>
              <w:lastRenderedPageBreak/>
              <w:t>và khả năng cân đối. Các khoản chi Hội đồng phải xác định đúng loại hoạt động, đối tượng áp dụng, không mặc nhiên áp cùng một định mức cho mọi cấp Hội đồng.</w:t>
            </w:r>
          </w:p>
        </w:tc>
      </w:tr>
      <w:tr w:rsidR="006144C2" w14:paraId="79FDCB39" w14:textId="77777777" w:rsidTr="00C51476">
        <w:tc>
          <w:tcPr>
            <w:tcW w:w="712" w:type="dxa"/>
            <w:shd w:val="clear" w:color="auto" w:fill="FFFFFF" w:themeFill="background1"/>
            <w:tcMar>
              <w:top w:w="70" w:type="dxa"/>
              <w:left w:w="150" w:type="dxa"/>
              <w:bottom w:w="70" w:type="dxa"/>
              <w:right w:w="150" w:type="dxa"/>
            </w:tcMar>
            <w:vAlign w:val="center"/>
          </w:tcPr>
          <w:p w14:paraId="14A70831" w14:textId="77777777" w:rsidR="006144C2" w:rsidRDefault="00000000">
            <w:pPr>
              <w:spacing w:before="60" w:after="60"/>
            </w:pPr>
            <w:r>
              <w:rPr>
                <w:rFonts w:eastAsia="Times New Roman"/>
                <w:color w:val="000000"/>
                <w:sz w:val="28"/>
                <w:szCs w:val="28"/>
              </w:rPr>
              <w:lastRenderedPageBreak/>
              <w:t>12</w:t>
            </w:r>
          </w:p>
        </w:tc>
        <w:tc>
          <w:tcPr>
            <w:tcW w:w="3683" w:type="dxa"/>
            <w:shd w:val="clear" w:color="auto" w:fill="FFFFFF" w:themeFill="background1"/>
            <w:tcMar>
              <w:top w:w="70" w:type="dxa"/>
              <w:left w:w="150" w:type="dxa"/>
              <w:bottom w:w="70" w:type="dxa"/>
              <w:right w:w="150" w:type="dxa"/>
            </w:tcMar>
            <w:vAlign w:val="center"/>
          </w:tcPr>
          <w:p w14:paraId="66F1EB7B" w14:textId="77777777" w:rsidR="006144C2" w:rsidRDefault="00000000">
            <w:pPr>
              <w:spacing w:before="60" w:after="60"/>
              <w:jc w:val="both"/>
            </w:pPr>
            <w:r>
              <w:rPr>
                <w:rFonts w:eastAsia="Times New Roman"/>
                <w:color w:val="000000"/>
                <w:sz w:val="28"/>
                <w:szCs w:val="28"/>
              </w:rPr>
              <w:t>- Điều 14, Điều 15 Điều lệ Sáng kiến kèm Nghị định số 13/2012/NĐ-CP quy định phổ biến sáng kiến, khuyến khích phong trào lao động sáng tạo; điểm b khoản 3 Điều 15 giao Sở Khoa học và Công nghệ giúp UBND cấp tỉnh tổng kết hoạt động sáng kiến.</w:t>
            </w:r>
          </w:p>
          <w:p w14:paraId="69E3C9EA" w14:textId="77777777" w:rsidR="006144C2" w:rsidRDefault="00000000">
            <w:pPr>
              <w:spacing w:before="60" w:after="60"/>
              <w:jc w:val="both"/>
            </w:pPr>
            <w:r>
              <w:rPr>
                <w:rFonts w:eastAsia="Times New Roman"/>
                <w:color w:val="000000"/>
                <w:sz w:val="28"/>
                <w:szCs w:val="28"/>
              </w:rPr>
              <w:t>- Điều 7 Thông tư số 03/2019/TT-BTC về dự toán, chấp hành, quyết toán kinh phí.</w:t>
            </w:r>
          </w:p>
          <w:p w14:paraId="62C5F5FD" w14:textId="77777777" w:rsidR="006144C2" w:rsidRDefault="00000000">
            <w:pPr>
              <w:spacing w:before="60" w:after="60"/>
              <w:jc w:val="both"/>
            </w:pPr>
            <w:r>
              <w:rPr>
                <w:rFonts w:eastAsia="Times New Roman"/>
                <w:color w:val="000000"/>
                <w:sz w:val="28"/>
                <w:szCs w:val="28"/>
              </w:rPr>
              <w:t>- Điểm c, d khoản 1 và khoản 3 Điều 59 Luật Ban hành văn bản quy phạm pháp luật số 64/2025/QH15 về tổ chức thi hành, theo dõi, báo cáo.</w:t>
            </w:r>
          </w:p>
        </w:tc>
        <w:tc>
          <w:tcPr>
            <w:tcW w:w="3263" w:type="dxa"/>
            <w:shd w:val="clear" w:color="auto" w:fill="FFFFFF" w:themeFill="background1"/>
            <w:tcMar>
              <w:top w:w="70" w:type="dxa"/>
              <w:left w:w="150" w:type="dxa"/>
              <w:bottom w:w="70" w:type="dxa"/>
              <w:right w:w="150" w:type="dxa"/>
            </w:tcMar>
            <w:vAlign w:val="center"/>
          </w:tcPr>
          <w:p w14:paraId="5F7ADEE6" w14:textId="77777777" w:rsidR="006144C2" w:rsidRDefault="00000000">
            <w:pPr>
              <w:spacing w:before="60" w:after="60"/>
              <w:jc w:val="both"/>
            </w:pPr>
            <w:r>
              <w:rPr>
                <w:rFonts w:eastAsia="Times New Roman"/>
                <w:color w:val="000000"/>
                <w:sz w:val="28"/>
                <w:szCs w:val="28"/>
              </w:rPr>
              <w:t>Điều 12. Trách nhiệm thực hiện</w:t>
            </w:r>
          </w:p>
        </w:tc>
        <w:tc>
          <w:tcPr>
            <w:tcW w:w="7371" w:type="dxa"/>
            <w:shd w:val="clear" w:color="auto" w:fill="FFFFFF" w:themeFill="background1"/>
            <w:tcMar>
              <w:top w:w="70" w:type="dxa"/>
              <w:left w:w="150" w:type="dxa"/>
              <w:bottom w:w="70" w:type="dxa"/>
              <w:right w:w="150" w:type="dxa"/>
            </w:tcMar>
            <w:vAlign w:val="center"/>
          </w:tcPr>
          <w:p w14:paraId="07C5FE4A" w14:textId="77777777" w:rsidR="006144C2" w:rsidRDefault="00000000">
            <w:pPr>
              <w:spacing w:before="60" w:after="60"/>
              <w:jc w:val="both"/>
            </w:pPr>
            <w:r>
              <w:rPr>
                <w:rFonts w:eastAsia="Times New Roman"/>
                <w:color w:val="000000"/>
                <w:sz w:val="28"/>
                <w:szCs w:val="28"/>
              </w:rPr>
              <w:t>Phân công trách nhiệm theo chức năng: Sở Khoa học và Công nghệ là đầu mối hướng dẫn, theo dõi và tổng hợp; phối hợp Sở Nội vụ gắn hoạt động sáng kiến với thi đua, khen thưởng. Các cơ quan, địa phương tổ chức phong trào, bồi dưỡng tác giả, lựa chọn hồ sơ thuộc phạm vi quản lý và chịu trách nhiệm về thông tin gửi xét.</w:t>
            </w:r>
          </w:p>
          <w:p w14:paraId="51B92377" w14:textId="77777777" w:rsidR="006144C2" w:rsidRDefault="00000000">
            <w:pPr>
              <w:spacing w:before="60" w:after="60"/>
              <w:jc w:val="both"/>
            </w:pPr>
            <w:r>
              <w:rPr>
                <w:rFonts w:eastAsia="Times New Roman"/>
                <w:color w:val="000000"/>
                <w:sz w:val="28"/>
                <w:szCs w:val="28"/>
              </w:rPr>
              <w:t>Giao việc xác minh, cập nhật và chia sẻ dữ liệu nhằm tạo sự liên thông giữa cơ sở và thành phố, phục vụ tra cứu, hạn chế hồ sơ trùng lặp và hỗ trợ nhân rộng giải pháp. Hướng dẫn nghiệp vụ triển khai nội dung đã ban hành, không thay thế việc sửa Quy định hoặc đặt thêm điều kiện công nhận.</w:t>
            </w:r>
          </w:p>
          <w:p w14:paraId="46926A1E" w14:textId="77777777" w:rsidR="006144C2" w:rsidRDefault="00000000">
            <w:pPr>
              <w:spacing w:before="60" w:after="60"/>
              <w:jc w:val="both"/>
            </w:pPr>
            <w:r>
              <w:rPr>
                <w:rFonts w:eastAsia="Times New Roman"/>
                <w:color w:val="000000"/>
                <w:sz w:val="28"/>
                <w:szCs w:val="28"/>
              </w:rPr>
              <w:t>Trách nhiệm Sở Tài chính được xác định trên cơ sở đề xuất của cơ quan, đơn vị và khả năng cân đối ngân sách; không quy định nghĩa vụ cấp kinh phí vô điều kiện. Cách phân công này làm rõ đầu mối chuyên môn, đầu mối tài chính và trách nhiệm của nơi trực tiếp tổ chức áp dụng.</w:t>
            </w:r>
          </w:p>
        </w:tc>
      </w:tr>
      <w:tr w:rsidR="006144C2" w14:paraId="0DECBD4B" w14:textId="77777777" w:rsidTr="00C51476">
        <w:tc>
          <w:tcPr>
            <w:tcW w:w="712" w:type="dxa"/>
            <w:shd w:val="clear" w:color="auto" w:fill="FFFFFF" w:themeFill="background1"/>
            <w:tcMar>
              <w:top w:w="70" w:type="dxa"/>
              <w:left w:w="150" w:type="dxa"/>
              <w:bottom w:w="70" w:type="dxa"/>
              <w:right w:w="150" w:type="dxa"/>
            </w:tcMar>
            <w:vAlign w:val="center"/>
          </w:tcPr>
          <w:p w14:paraId="186A511B" w14:textId="77777777" w:rsidR="006144C2" w:rsidRDefault="00000000">
            <w:pPr>
              <w:spacing w:before="60" w:after="60"/>
            </w:pPr>
            <w:r>
              <w:rPr>
                <w:rFonts w:eastAsia="Times New Roman"/>
                <w:color w:val="000000"/>
                <w:sz w:val="28"/>
                <w:szCs w:val="28"/>
              </w:rPr>
              <w:t>13</w:t>
            </w:r>
          </w:p>
        </w:tc>
        <w:tc>
          <w:tcPr>
            <w:tcW w:w="3683" w:type="dxa"/>
            <w:shd w:val="clear" w:color="auto" w:fill="FFFFFF" w:themeFill="background1"/>
            <w:tcMar>
              <w:top w:w="70" w:type="dxa"/>
              <w:left w:w="150" w:type="dxa"/>
              <w:bottom w:w="70" w:type="dxa"/>
              <w:right w:w="150" w:type="dxa"/>
            </w:tcMar>
            <w:vAlign w:val="center"/>
          </w:tcPr>
          <w:p w14:paraId="41B634FA" w14:textId="77777777" w:rsidR="006144C2" w:rsidRDefault="00000000">
            <w:pPr>
              <w:spacing w:before="60" w:after="60"/>
              <w:jc w:val="both"/>
            </w:pPr>
            <w:r>
              <w:rPr>
                <w:rFonts w:eastAsia="Times New Roman"/>
                <w:color w:val="000000"/>
                <w:sz w:val="28"/>
                <w:szCs w:val="28"/>
              </w:rPr>
              <w:t xml:space="preserve">- Khoản 1 Điều 8 Luật Ban hành văn bản quy phạm pháp luật số 64/2025/QH15 quy </w:t>
            </w:r>
            <w:r>
              <w:rPr>
                <w:rFonts w:eastAsia="Times New Roman"/>
                <w:color w:val="000000"/>
                <w:sz w:val="28"/>
                <w:szCs w:val="28"/>
              </w:rPr>
              <w:lastRenderedPageBreak/>
              <w:t>định việc sửa đổi, bổ sung, thay thế văn bản.</w:t>
            </w:r>
          </w:p>
          <w:p w14:paraId="061B2F32" w14:textId="77777777" w:rsidR="006144C2" w:rsidRDefault="00000000">
            <w:pPr>
              <w:spacing w:before="60" w:after="60"/>
              <w:jc w:val="both"/>
            </w:pPr>
            <w:r>
              <w:rPr>
                <w:rFonts w:eastAsia="Times New Roman"/>
                <w:color w:val="000000"/>
                <w:sz w:val="28"/>
                <w:szCs w:val="28"/>
              </w:rPr>
              <w:t>- Khoản 1, 3, 4 Điều 58 của Luật quy định thời điểm áp dụng, ưu tiên văn bản có hiệu lực pháp lý cao hơn và văn bản ban hành sau của cùng cơ quan.</w:t>
            </w:r>
          </w:p>
          <w:p w14:paraId="5BEE3281" w14:textId="77777777" w:rsidR="006144C2" w:rsidRDefault="00000000">
            <w:pPr>
              <w:spacing w:before="60" w:after="60"/>
              <w:jc w:val="both"/>
            </w:pPr>
            <w:r>
              <w:rPr>
                <w:rFonts w:eastAsia="Times New Roman"/>
                <w:color w:val="000000"/>
                <w:sz w:val="28"/>
                <w:szCs w:val="28"/>
              </w:rPr>
              <w:t>- Điểm d, đ khoản 1 và khoản 3 Điều 59 của Luật về tiếp nhận kiến nghị, rà soát, theo dõi và báo cáo việc thi hành. Luật số 64/2025/QH15 đã được sửa đổi, bổ sung bởi Luật số 87/2025/QH15.</w:t>
            </w:r>
          </w:p>
        </w:tc>
        <w:tc>
          <w:tcPr>
            <w:tcW w:w="3263" w:type="dxa"/>
            <w:shd w:val="clear" w:color="auto" w:fill="FFFFFF" w:themeFill="background1"/>
            <w:tcMar>
              <w:top w:w="70" w:type="dxa"/>
              <w:left w:w="150" w:type="dxa"/>
              <w:bottom w:w="70" w:type="dxa"/>
              <w:right w:w="150" w:type="dxa"/>
            </w:tcMar>
            <w:vAlign w:val="center"/>
          </w:tcPr>
          <w:p w14:paraId="5C14788C" w14:textId="77777777" w:rsidR="006144C2" w:rsidRDefault="00000000">
            <w:pPr>
              <w:spacing w:before="60" w:after="60"/>
              <w:jc w:val="both"/>
            </w:pPr>
            <w:r>
              <w:rPr>
                <w:rFonts w:eastAsia="Times New Roman"/>
                <w:color w:val="000000"/>
                <w:sz w:val="28"/>
                <w:szCs w:val="28"/>
              </w:rPr>
              <w:lastRenderedPageBreak/>
              <w:t>Điều 13. Điều khoản thi hành</w:t>
            </w:r>
          </w:p>
        </w:tc>
        <w:tc>
          <w:tcPr>
            <w:tcW w:w="7371" w:type="dxa"/>
            <w:shd w:val="clear" w:color="auto" w:fill="FFFFFF" w:themeFill="background1"/>
            <w:tcMar>
              <w:top w:w="70" w:type="dxa"/>
              <w:left w:w="150" w:type="dxa"/>
              <w:bottom w:w="70" w:type="dxa"/>
              <w:right w:w="150" w:type="dxa"/>
            </w:tcMar>
            <w:vAlign w:val="center"/>
          </w:tcPr>
          <w:p w14:paraId="18616C1A" w14:textId="77777777" w:rsidR="006144C2" w:rsidRDefault="00000000">
            <w:pPr>
              <w:spacing w:before="60" w:after="60"/>
              <w:jc w:val="both"/>
            </w:pPr>
            <w:r>
              <w:rPr>
                <w:rFonts w:eastAsia="Times New Roman"/>
                <w:color w:val="000000"/>
                <w:sz w:val="28"/>
                <w:szCs w:val="28"/>
              </w:rPr>
              <w:t xml:space="preserve">Quy định nguyên tắc áp dụng văn bản sửa đổi, bổ sung, thay thế nhằm bảo đảm các căn cứ được viện dẫn luôn được thực hiện theo hiệu lực tương ứng, tránh tiếp tục áp dụng nội dung đã hết hiệu lực. Nguyên tắc này không thay thế trách nhiệm rà soát, </w:t>
            </w:r>
            <w:r>
              <w:rPr>
                <w:rFonts w:eastAsia="Times New Roman"/>
                <w:color w:val="000000"/>
                <w:sz w:val="28"/>
                <w:szCs w:val="28"/>
              </w:rPr>
              <w:lastRenderedPageBreak/>
              <w:t>sửa Quy định khi pháp luật cấp trên thay đổi thẩm quyền hoặc nội dung điều chỉnh.</w:t>
            </w:r>
          </w:p>
          <w:p w14:paraId="6C7CE1BB" w14:textId="77777777" w:rsidR="006144C2" w:rsidRDefault="00000000">
            <w:pPr>
              <w:spacing w:before="60" w:after="60"/>
              <w:jc w:val="both"/>
            </w:pPr>
            <w:r>
              <w:rPr>
                <w:rFonts w:eastAsia="Times New Roman"/>
                <w:color w:val="000000"/>
                <w:sz w:val="28"/>
                <w:szCs w:val="28"/>
              </w:rPr>
              <w:t>Xác định Sở Khoa học và Công nghệ là đầu mối tiếp nhận vướng mắc, tổng hợp và báo cáo UBND thành phố để thống nhất việc xử lý vấn đề phát sinh. Việc sửa đổi, bổ sung do cơ quan có thẩm quyền thực hiện theo trình tự ban hành văn bản quy phạm pháp luật; không dùng văn bản hướng dẫn để tự thay đổi Quy định.</w:t>
            </w:r>
          </w:p>
        </w:tc>
      </w:tr>
    </w:tbl>
    <w:p w14:paraId="4E26B18C" w14:textId="77777777" w:rsidR="00DF3DC8" w:rsidRDefault="00DF3DC8" w:rsidP="00DF3DC8">
      <w:pPr>
        <w:rPr>
          <w:b/>
          <w:bCs/>
          <w:sz w:val="28"/>
          <w:szCs w:val="28"/>
        </w:rPr>
      </w:pPr>
    </w:p>
    <w:p w14:paraId="3D7636C1" w14:textId="77777777" w:rsidR="005B4935" w:rsidRPr="005B4935" w:rsidRDefault="005B4935" w:rsidP="00DF3DC8">
      <w:pPr>
        <w:rPr>
          <w:b/>
          <w:bCs/>
          <w:sz w:val="28"/>
          <w:szCs w:val="28"/>
        </w:rPr>
      </w:pPr>
    </w:p>
    <w:sectPr w:rsidR="005B4935" w:rsidRPr="005B4935" w:rsidSect="00E540C9">
      <w:headerReference w:type="default" r:id="rId6"/>
      <w:pgSz w:w="16838" w:h="11906" w:orient="landscape" w:code="9"/>
      <w:pgMar w:top="1134" w:right="1134" w:bottom="85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66513" w14:textId="77777777" w:rsidR="008244EF" w:rsidRDefault="008244EF" w:rsidP="00E540C9">
      <w:r>
        <w:separator/>
      </w:r>
    </w:p>
  </w:endnote>
  <w:endnote w:type="continuationSeparator" w:id="0">
    <w:p w14:paraId="174AB4F4" w14:textId="77777777" w:rsidR="008244EF" w:rsidRDefault="008244EF" w:rsidP="00E54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3C4E7" w14:textId="77777777" w:rsidR="008244EF" w:rsidRDefault="008244EF" w:rsidP="00E540C9">
      <w:r>
        <w:separator/>
      </w:r>
    </w:p>
  </w:footnote>
  <w:footnote w:type="continuationSeparator" w:id="0">
    <w:p w14:paraId="56C52873" w14:textId="77777777" w:rsidR="008244EF" w:rsidRDefault="008244EF" w:rsidP="00E54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107124"/>
      <w:docPartObj>
        <w:docPartGallery w:val="Page Numbers (Top of Page)"/>
        <w:docPartUnique/>
      </w:docPartObj>
    </w:sdtPr>
    <w:sdtEndPr>
      <w:rPr>
        <w:noProof/>
      </w:rPr>
    </w:sdtEndPr>
    <w:sdtContent>
      <w:p w14:paraId="512E81B8" w14:textId="77777777" w:rsidR="00E540C9" w:rsidRDefault="00E540C9">
        <w:pPr>
          <w:pStyle w:val="Header"/>
        </w:pPr>
        <w:r>
          <w:fldChar w:fldCharType="begin"/>
        </w:r>
        <w:r>
          <w:instrText xml:space="preserve"> PAGE   \* MERGEFORMAT </w:instrText>
        </w:r>
        <w:r>
          <w:fldChar w:fldCharType="separate"/>
        </w:r>
        <w:r w:rsidR="00595679">
          <w:rPr>
            <w:noProof/>
          </w:rPr>
          <w:t>4</w:t>
        </w:r>
        <w:r>
          <w:rPr>
            <w:noProof/>
          </w:rPr>
          <w:fldChar w:fldCharType="end"/>
        </w:r>
      </w:p>
    </w:sdtContent>
  </w:sdt>
  <w:p w14:paraId="00334BB6" w14:textId="77777777" w:rsidR="00E540C9" w:rsidRDefault="00E540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DC8"/>
    <w:rsid w:val="00047BA3"/>
    <w:rsid w:val="00047D94"/>
    <w:rsid w:val="00050A0D"/>
    <w:rsid w:val="000A12E3"/>
    <w:rsid w:val="000B3F5A"/>
    <w:rsid w:val="0018666E"/>
    <w:rsid w:val="001B2210"/>
    <w:rsid w:val="001E1B12"/>
    <w:rsid w:val="001E5EBA"/>
    <w:rsid w:val="002066B4"/>
    <w:rsid w:val="00220E2D"/>
    <w:rsid w:val="002471B1"/>
    <w:rsid w:val="002853AD"/>
    <w:rsid w:val="002920C1"/>
    <w:rsid w:val="00292516"/>
    <w:rsid w:val="002D0870"/>
    <w:rsid w:val="002E44FF"/>
    <w:rsid w:val="002F7C43"/>
    <w:rsid w:val="0030139F"/>
    <w:rsid w:val="00356C6C"/>
    <w:rsid w:val="003624E7"/>
    <w:rsid w:val="00462273"/>
    <w:rsid w:val="00481B8C"/>
    <w:rsid w:val="004B5639"/>
    <w:rsid w:val="00553620"/>
    <w:rsid w:val="00583FB1"/>
    <w:rsid w:val="00595679"/>
    <w:rsid w:val="005B4935"/>
    <w:rsid w:val="005C3192"/>
    <w:rsid w:val="005D1167"/>
    <w:rsid w:val="005E2949"/>
    <w:rsid w:val="006016CF"/>
    <w:rsid w:val="006144C2"/>
    <w:rsid w:val="0061648E"/>
    <w:rsid w:val="00624C63"/>
    <w:rsid w:val="00643653"/>
    <w:rsid w:val="00673304"/>
    <w:rsid w:val="00762A5C"/>
    <w:rsid w:val="007B0758"/>
    <w:rsid w:val="007B396E"/>
    <w:rsid w:val="00806447"/>
    <w:rsid w:val="008244EF"/>
    <w:rsid w:val="008276D3"/>
    <w:rsid w:val="008553EA"/>
    <w:rsid w:val="00866A22"/>
    <w:rsid w:val="00877679"/>
    <w:rsid w:val="0089132F"/>
    <w:rsid w:val="008A35F2"/>
    <w:rsid w:val="008C708C"/>
    <w:rsid w:val="008C7E4D"/>
    <w:rsid w:val="0090757C"/>
    <w:rsid w:val="00945387"/>
    <w:rsid w:val="00955C21"/>
    <w:rsid w:val="0095647A"/>
    <w:rsid w:val="00966186"/>
    <w:rsid w:val="0097270D"/>
    <w:rsid w:val="009871DF"/>
    <w:rsid w:val="009B5E0E"/>
    <w:rsid w:val="009D6873"/>
    <w:rsid w:val="00A56F73"/>
    <w:rsid w:val="00A67B1D"/>
    <w:rsid w:val="00AA00C6"/>
    <w:rsid w:val="00AB41B8"/>
    <w:rsid w:val="00AB554C"/>
    <w:rsid w:val="00AD28AE"/>
    <w:rsid w:val="00AE39C8"/>
    <w:rsid w:val="00B41ED1"/>
    <w:rsid w:val="00B839FE"/>
    <w:rsid w:val="00BB76FC"/>
    <w:rsid w:val="00C33090"/>
    <w:rsid w:val="00C51476"/>
    <w:rsid w:val="00C81D43"/>
    <w:rsid w:val="00C87D02"/>
    <w:rsid w:val="00CC3EF9"/>
    <w:rsid w:val="00CD6634"/>
    <w:rsid w:val="00D07C93"/>
    <w:rsid w:val="00D13BA6"/>
    <w:rsid w:val="00D30DF9"/>
    <w:rsid w:val="00D844FB"/>
    <w:rsid w:val="00DA7991"/>
    <w:rsid w:val="00DF3DC8"/>
    <w:rsid w:val="00E42474"/>
    <w:rsid w:val="00E53B4F"/>
    <w:rsid w:val="00E540C9"/>
    <w:rsid w:val="00E574A7"/>
    <w:rsid w:val="00E636BD"/>
    <w:rsid w:val="00E81154"/>
    <w:rsid w:val="00EC2B27"/>
    <w:rsid w:val="00EF2D01"/>
    <w:rsid w:val="00FB17EC"/>
    <w:rsid w:val="00FF4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AD571"/>
  <w15:chartTrackingRefBased/>
  <w15:docId w15:val="{751427B9-5785-4522-87E3-6A7B7BEE8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DC8"/>
    <w:pPr>
      <w:spacing w:after="0" w:line="240" w:lineRule="auto"/>
      <w:jc w:val="center"/>
    </w:pPr>
    <w:rPr>
      <w:rFonts w:ascii="Times New Roman" w:eastAsia="Calibri" w:hAnsi="Times New Roman" w:cs="Times New Roman"/>
      <w:szCs w:val="22"/>
      <w14:ligatures w14:val="none"/>
    </w:rPr>
  </w:style>
  <w:style w:type="paragraph" w:styleId="Heading1">
    <w:name w:val="heading 1"/>
    <w:basedOn w:val="Normal"/>
    <w:next w:val="Normal"/>
    <w:link w:val="Heading1Char"/>
    <w:uiPriority w:val="9"/>
    <w:qFormat/>
    <w:rsid w:val="00DF3D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3D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3D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3D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3D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3D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3D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3D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3D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D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3D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3D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3D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3D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3D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3D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3D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3DC8"/>
    <w:rPr>
      <w:rFonts w:eastAsiaTheme="majorEastAsia" w:cstheme="majorBidi"/>
      <w:color w:val="272727" w:themeColor="text1" w:themeTint="D8"/>
    </w:rPr>
  </w:style>
  <w:style w:type="paragraph" w:styleId="Title">
    <w:name w:val="Title"/>
    <w:basedOn w:val="Normal"/>
    <w:next w:val="Normal"/>
    <w:link w:val="TitleChar"/>
    <w:uiPriority w:val="10"/>
    <w:qFormat/>
    <w:rsid w:val="00DF3D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3D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3D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3D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3DC8"/>
    <w:pPr>
      <w:spacing w:before="160"/>
    </w:pPr>
    <w:rPr>
      <w:i/>
      <w:iCs/>
      <w:color w:val="404040" w:themeColor="text1" w:themeTint="BF"/>
    </w:rPr>
  </w:style>
  <w:style w:type="character" w:customStyle="1" w:styleId="QuoteChar">
    <w:name w:val="Quote Char"/>
    <w:basedOn w:val="DefaultParagraphFont"/>
    <w:link w:val="Quote"/>
    <w:uiPriority w:val="29"/>
    <w:rsid w:val="00DF3DC8"/>
    <w:rPr>
      <w:i/>
      <w:iCs/>
      <w:color w:val="404040" w:themeColor="text1" w:themeTint="BF"/>
    </w:rPr>
  </w:style>
  <w:style w:type="paragraph" w:styleId="ListParagraph">
    <w:name w:val="List Paragraph"/>
    <w:basedOn w:val="Normal"/>
    <w:uiPriority w:val="34"/>
    <w:qFormat/>
    <w:rsid w:val="00DF3DC8"/>
    <w:pPr>
      <w:ind w:left="720"/>
      <w:contextualSpacing/>
    </w:pPr>
  </w:style>
  <w:style w:type="character" w:styleId="IntenseEmphasis">
    <w:name w:val="Intense Emphasis"/>
    <w:basedOn w:val="DefaultParagraphFont"/>
    <w:uiPriority w:val="21"/>
    <w:qFormat/>
    <w:rsid w:val="00DF3DC8"/>
    <w:rPr>
      <w:i/>
      <w:iCs/>
      <w:color w:val="2F5496" w:themeColor="accent1" w:themeShade="BF"/>
    </w:rPr>
  </w:style>
  <w:style w:type="paragraph" w:styleId="IntenseQuote">
    <w:name w:val="Intense Quote"/>
    <w:basedOn w:val="Normal"/>
    <w:next w:val="Normal"/>
    <w:link w:val="IntenseQuoteChar"/>
    <w:uiPriority w:val="30"/>
    <w:qFormat/>
    <w:rsid w:val="00DF3DC8"/>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DF3DC8"/>
    <w:rPr>
      <w:i/>
      <w:iCs/>
      <w:color w:val="2F5496" w:themeColor="accent1" w:themeShade="BF"/>
    </w:rPr>
  </w:style>
  <w:style w:type="character" w:styleId="IntenseReference">
    <w:name w:val="Intense Reference"/>
    <w:basedOn w:val="DefaultParagraphFont"/>
    <w:uiPriority w:val="32"/>
    <w:qFormat/>
    <w:rsid w:val="00DF3DC8"/>
    <w:rPr>
      <w:b/>
      <w:bCs/>
      <w:smallCaps/>
      <w:color w:val="2F5496" w:themeColor="accent1" w:themeShade="BF"/>
      <w:spacing w:val="5"/>
    </w:rPr>
  </w:style>
  <w:style w:type="table" w:styleId="TableGrid">
    <w:name w:val="Table Grid"/>
    <w:basedOn w:val="TableNormal"/>
    <w:uiPriority w:val="39"/>
    <w:rsid w:val="00DF3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B4935"/>
    <w:pPr>
      <w:spacing w:before="100" w:beforeAutospacing="1" w:after="100" w:afterAutospacing="1"/>
      <w:jc w:val="left"/>
    </w:pPr>
    <w:rPr>
      <w:rFonts w:eastAsia="Times New Roman"/>
      <w:kern w:val="0"/>
      <w:szCs w:val="24"/>
    </w:rPr>
  </w:style>
  <w:style w:type="paragraph" w:styleId="Header">
    <w:name w:val="header"/>
    <w:basedOn w:val="Normal"/>
    <w:link w:val="HeaderChar"/>
    <w:uiPriority w:val="99"/>
    <w:unhideWhenUsed/>
    <w:rsid w:val="00E540C9"/>
    <w:pPr>
      <w:tabs>
        <w:tab w:val="center" w:pos="4680"/>
        <w:tab w:val="right" w:pos="9360"/>
      </w:tabs>
    </w:pPr>
  </w:style>
  <w:style w:type="character" w:customStyle="1" w:styleId="HeaderChar">
    <w:name w:val="Header Char"/>
    <w:basedOn w:val="DefaultParagraphFont"/>
    <w:link w:val="Header"/>
    <w:uiPriority w:val="99"/>
    <w:rsid w:val="00E540C9"/>
    <w:rPr>
      <w:rFonts w:ascii="Times New Roman" w:eastAsia="Calibri" w:hAnsi="Times New Roman" w:cs="Times New Roman"/>
      <w:szCs w:val="22"/>
      <w14:ligatures w14:val="none"/>
    </w:rPr>
  </w:style>
  <w:style w:type="paragraph" w:styleId="Footer">
    <w:name w:val="footer"/>
    <w:basedOn w:val="Normal"/>
    <w:link w:val="FooterChar"/>
    <w:uiPriority w:val="99"/>
    <w:unhideWhenUsed/>
    <w:rsid w:val="00E540C9"/>
    <w:pPr>
      <w:tabs>
        <w:tab w:val="center" w:pos="4680"/>
        <w:tab w:val="right" w:pos="9360"/>
      </w:tabs>
    </w:pPr>
  </w:style>
  <w:style w:type="character" w:customStyle="1" w:styleId="FooterChar">
    <w:name w:val="Footer Char"/>
    <w:basedOn w:val="DefaultParagraphFont"/>
    <w:link w:val="Footer"/>
    <w:uiPriority w:val="99"/>
    <w:rsid w:val="00E540C9"/>
    <w:rPr>
      <w:rFonts w:ascii="Times New Roman" w:eastAsia="Calibri" w:hAnsi="Times New Roman" w:cs="Times New Roman"/>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TotalTime>
  <Pages>10</Pages>
  <Words>2734</Words>
  <Characters>15585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hp.skhcn36</dc:creator>
  <cp:keywords/>
  <dc:description/>
  <cp:lastModifiedBy>Administrator</cp:lastModifiedBy>
  <cp:revision>36</cp:revision>
  <cp:lastPrinted>2026-03-12T04:20:00Z</cp:lastPrinted>
  <dcterms:created xsi:type="dcterms:W3CDTF">2026-03-11T08:29:00Z</dcterms:created>
  <dcterms:modified xsi:type="dcterms:W3CDTF">2026-09-13T07:32:00Z</dcterms:modified>
</cp:coreProperties>
</file>