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601" w:type="dxa"/>
        <w:tblLook w:val="0000" w:firstRow="0" w:lastRow="0" w:firstColumn="0" w:lastColumn="0" w:noHBand="0" w:noVBand="0"/>
      </w:tblPr>
      <w:tblGrid>
        <w:gridCol w:w="7088"/>
        <w:gridCol w:w="7513"/>
      </w:tblGrid>
      <w:tr w:rsidR="00AE39C8" w:rsidRPr="002069F9" w14:paraId="5153BFF2" w14:textId="77777777" w:rsidTr="00DF3DC8">
        <w:trPr>
          <w:trHeight w:val="1124"/>
        </w:trPr>
        <w:tc>
          <w:tcPr>
            <w:tcW w:w="7088" w:type="dxa"/>
          </w:tcPr>
          <w:p w14:paraId="25FB16BD" w14:textId="77777777" w:rsidR="00DF3DC8" w:rsidRPr="002069F9" w:rsidRDefault="00DF3DC8" w:rsidP="003A4515">
            <w:r w:rsidRPr="002069F9">
              <w:t>UBND THÀNH PHỐ HẢI PHÒNG</w:t>
            </w:r>
          </w:p>
          <w:p w14:paraId="2CA413CC" w14:textId="1DFDCB7A" w:rsidR="00DF3DC8" w:rsidRPr="002069F9" w:rsidRDefault="00DF3DC8" w:rsidP="003A4515">
            <w:pPr>
              <w:rPr>
                <w:b/>
                <w:bCs/>
              </w:rPr>
            </w:pPr>
            <w:r w:rsidRPr="002069F9">
              <w:rPr>
                <w:b/>
                <w:bCs/>
              </w:rPr>
              <w:t>SỞ KHOA HỌC VÀ CÔNG NGHỆ</w:t>
            </w:r>
          </w:p>
          <w:bookmarkStart w:id="0" w:name="_GoBack"/>
          <w:bookmarkEnd w:id="0"/>
          <w:p w14:paraId="1A59759A" w14:textId="2C73BEFE" w:rsidR="00DF3DC8" w:rsidRPr="002069F9" w:rsidRDefault="00583FB1" w:rsidP="00DF3DC8">
            <w:pPr>
              <w:spacing w:before="120" w:after="120"/>
              <w:rPr>
                <w:sz w:val="26"/>
                <w:szCs w:val="24"/>
                <w:lang w:val="vi-VN"/>
              </w:rPr>
            </w:pPr>
            <w:r w:rsidRPr="002069F9">
              <w:rPr>
                <w:noProof/>
                <w:sz w:val="26"/>
                <w:szCs w:val="24"/>
              </w:rPr>
              <mc:AlternateContent>
                <mc:Choice Requires="wps">
                  <w:drawing>
                    <wp:anchor distT="4294967295" distB="4294967295" distL="114300" distR="114300" simplePos="0" relativeHeight="251657216" behindDoc="0" locked="0" layoutInCell="1" allowOverlap="1" wp14:anchorId="78092C2A" wp14:editId="2735FCED">
                      <wp:simplePos x="0" y="0"/>
                      <wp:positionH relativeFrom="column">
                        <wp:posOffset>1774825</wp:posOffset>
                      </wp:positionH>
                      <wp:positionV relativeFrom="paragraph">
                        <wp:posOffset>13335</wp:posOffset>
                      </wp:positionV>
                      <wp:extent cx="893445" cy="0"/>
                      <wp:effectExtent l="0" t="0" r="0" b="0"/>
                      <wp:wrapNone/>
                      <wp:docPr id="122998064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3445" cy="0"/>
                              </a:xfrm>
                              <a:prstGeom prst="line">
                                <a:avLst/>
                              </a:prstGeom>
                              <a:noFill/>
                              <a:ln w="6350" cap="flat" cmpd="sng" algn="ctr">
                                <a:solidFill>
                                  <a:srgbClr val="000000"/>
                                </a:solidFill>
                                <a:prstDash val="solid"/>
                                <a:miter lim="800000"/>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11BCF65" id="Straight Connector 4"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9.75pt,1.05pt" to="210.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" strokeweight=".5pt">
                      <v:stroke joinstyle="miter"/>
                      <o:lock v:ext="edit" shapetype="f"/>
                    </v:line>
                  </w:pict>
                </mc:Fallback>
              </mc:AlternateContent>
            </w:r>
          </w:p>
          <w:p w14:paraId="46431681" w14:textId="3A6013D8" w:rsidR="00DF3DC8" w:rsidRPr="002069F9" w:rsidRDefault="00DF3DC8" w:rsidP="003A4515"/>
        </w:tc>
        <w:tc>
          <w:tcPr>
            <w:tcW w:w="7513" w:type="dxa"/>
          </w:tcPr>
          <w:p w14:paraId="16C322AA" w14:textId="77777777" w:rsidR="00DF3DC8" w:rsidRPr="002069F9" w:rsidRDefault="00DF3DC8" w:rsidP="003A4515">
            <w:pPr>
              <w:rPr>
                <w:b/>
                <w:bCs/>
              </w:rPr>
            </w:pPr>
            <w:r w:rsidRPr="002069F9">
              <w:rPr>
                <w:b/>
                <w:bCs/>
              </w:rPr>
              <w:t>CỘNG HOÀ XÃ HỘI CHỦ NGHĨA VIỆT NAM</w:t>
            </w:r>
          </w:p>
          <w:p w14:paraId="57159864" w14:textId="77777777" w:rsidR="00DF3DC8" w:rsidRPr="002069F9" w:rsidRDefault="00DF3DC8" w:rsidP="003A4515">
            <w:pPr>
              <w:rPr>
                <w:b/>
                <w:bCs/>
                <w:sz w:val="26"/>
                <w:szCs w:val="24"/>
              </w:rPr>
            </w:pPr>
            <w:r w:rsidRPr="002069F9">
              <w:rPr>
                <w:b/>
                <w:bCs/>
                <w:sz w:val="26"/>
                <w:szCs w:val="24"/>
              </w:rPr>
              <w:t>Độc lập – Tự do – Hạnh phúc</w:t>
            </w:r>
          </w:p>
          <w:p w14:paraId="72841CDA" w14:textId="42186104" w:rsidR="00DF3DC8" w:rsidRPr="002069F9" w:rsidRDefault="00DF3DC8" w:rsidP="003A4515">
            <w:pPr>
              <w:spacing w:before="120"/>
              <w:rPr>
                <w:i/>
                <w:iCs/>
                <w:sz w:val="26"/>
                <w:szCs w:val="24"/>
              </w:rPr>
            </w:pPr>
            <w:r w:rsidRPr="002069F9">
              <w:rPr>
                <w:i/>
                <w:iCs/>
                <w:noProof/>
                <w:sz w:val="26"/>
                <w:szCs w:val="24"/>
              </w:rPr>
              <mc:AlternateContent>
                <mc:Choice Requires="wps">
                  <w:drawing>
                    <wp:anchor distT="4294967295" distB="4294967295" distL="114300" distR="114300" simplePos="0" relativeHeight="251658240" behindDoc="0" locked="0" layoutInCell="1" allowOverlap="1" wp14:anchorId="12F04105" wp14:editId="0B523FAF">
                      <wp:simplePos x="0" y="0"/>
                      <wp:positionH relativeFrom="column">
                        <wp:posOffset>1280160</wp:posOffset>
                      </wp:positionH>
                      <wp:positionV relativeFrom="paragraph">
                        <wp:posOffset>13335</wp:posOffset>
                      </wp:positionV>
                      <wp:extent cx="2105660" cy="0"/>
                      <wp:effectExtent l="0" t="0" r="0" b="0"/>
                      <wp:wrapNone/>
                      <wp:docPr id="137216145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05660" cy="0"/>
                              </a:xfrm>
                              <a:prstGeom prst="line">
                                <a:avLst/>
                              </a:prstGeom>
                              <a:noFill/>
                              <a:ln w="6350" cap="flat" cmpd="sng" algn="ctr">
                                <a:solidFill>
                                  <a:srgbClr val="000000"/>
                                </a:solidFill>
                                <a:prstDash val="solid"/>
                                <a:miter lim="800000"/>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0B8EBD8"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0.8pt,1.05pt" to="266.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" strokeweight=".5pt">
                      <v:stroke joinstyle="miter"/>
                      <o:lock v:ext="edit" shapetype="f"/>
                    </v:line>
                  </w:pict>
                </mc:Fallback>
              </mc:AlternateContent>
            </w:r>
            <w:r w:rsidRPr="002069F9">
              <w:rPr>
                <w:i/>
                <w:iCs/>
                <w:sz w:val="26"/>
                <w:szCs w:val="24"/>
              </w:rPr>
              <w:t xml:space="preserve">Hải Phòng, ngày   </w:t>
            </w:r>
            <w:r w:rsidR="00986452">
              <w:rPr>
                <w:i/>
                <w:iCs/>
                <w:sz w:val="26"/>
                <w:szCs w:val="24"/>
              </w:rPr>
              <w:t>05</w:t>
            </w:r>
            <w:r w:rsidRPr="002069F9">
              <w:rPr>
                <w:i/>
                <w:iCs/>
                <w:sz w:val="26"/>
                <w:szCs w:val="24"/>
              </w:rPr>
              <w:t xml:space="preserve">  tháng </w:t>
            </w:r>
            <w:r w:rsidR="00E574A7" w:rsidRPr="002069F9">
              <w:rPr>
                <w:i/>
                <w:iCs/>
                <w:sz w:val="26"/>
                <w:szCs w:val="24"/>
              </w:rPr>
              <w:t xml:space="preserve"> </w:t>
            </w:r>
            <w:r w:rsidR="00507DD9" w:rsidRPr="002069F9">
              <w:rPr>
                <w:i/>
                <w:iCs/>
                <w:sz w:val="26"/>
                <w:szCs w:val="24"/>
              </w:rPr>
              <w:t>8</w:t>
            </w:r>
            <w:r w:rsidR="00E574A7" w:rsidRPr="002069F9">
              <w:rPr>
                <w:i/>
                <w:iCs/>
                <w:sz w:val="26"/>
                <w:szCs w:val="24"/>
              </w:rPr>
              <w:t xml:space="preserve"> </w:t>
            </w:r>
            <w:r w:rsidRPr="002069F9">
              <w:rPr>
                <w:i/>
                <w:iCs/>
                <w:sz w:val="26"/>
                <w:szCs w:val="24"/>
                <w:lang w:val="vi-VN"/>
              </w:rPr>
              <w:t xml:space="preserve"> </w:t>
            </w:r>
            <w:r w:rsidRPr="002069F9">
              <w:rPr>
                <w:i/>
                <w:iCs/>
                <w:sz w:val="26"/>
                <w:szCs w:val="24"/>
              </w:rPr>
              <w:t>năm 2026</w:t>
            </w:r>
          </w:p>
        </w:tc>
      </w:tr>
    </w:tbl>
    <w:p w14:paraId="3290CB12" w14:textId="2474FCB3" w:rsidR="00DF3DC8" w:rsidRDefault="00DF3DC8">
      <w:pPr>
        <w:rPr>
          <w:b/>
          <w:bCs/>
          <w:sz w:val="28"/>
          <w:szCs w:val="28"/>
        </w:rPr>
      </w:pPr>
      <w:r w:rsidRPr="002069F9">
        <w:rPr>
          <w:b/>
          <w:bCs/>
          <w:sz w:val="28"/>
          <w:szCs w:val="28"/>
          <w:lang w:val="vi-VN"/>
        </w:rPr>
        <w:t>BẢN SO SÁNH, THUYẾT MINH DỰ THẢO VĂN BẢN QUY PHẠM PHÁP LUẬT</w:t>
      </w:r>
    </w:p>
    <w:p w14:paraId="378F8D92" w14:textId="3D97F893" w:rsidR="002069F9" w:rsidRPr="002069F9" w:rsidRDefault="002069F9">
      <w:pPr>
        <w:rPr>
          <w:b/>
          <w:bCs/>
          <w:sz w:val="28"/>
          <w:szCs w:val="28"/>
        </w:rPr>
      </w:pPr>
      <w:r w:rsidRPr="002069F9">
        <w:rPr>
          <w:b/>
          <w:bCs/>
          <w:sz w:val="28"/>
          <w:szCs w:val="28"/>
        </w:rPr>
        <w:t xml:space="preserve">Dự thảo Quyết định ban hành Quy chế phối hợp trong hoạt động thực thi </w:t>
      </w:r>
      <w:r>
        <w:rPr>
          <w:b/>
          <w:bCs/>
          <w:sz w:val="28"/>
          <w:szCs w:val="28"/>
        </w:rPr>
        <w:br/>
      </w:r>
      <w:r w:rsidRPr="002069F9">
        <w:rPr>
          <w:b/>
          <w:bCs/>
          <w:sz w:val="28"/>
          <w:szCs w:val="28"/>
        </w:rPr>
        <w:t>quyền sở hữu trí tuệ trên địa bàn thành phố Hải Phòng</w:t>
      </w:r>
    </w:p>
    <w:p w14:paraId="27525C2F" w14:textId="596CDE0A" w:rsidR="00DF3DC8" w:rsidRPr="002069F9" w:rsidRDefault="00DF3DC8" w:rsidP="00DF3DC8">
      <w:pPr>
        <w:rPr>
          <w:b/>
          <w:bCs/>
          <w:sz w:val="28"/>
          <w:szCs w:val="28"/>
          <w:lang w:val="vi-VN"/>
        </w:rPr>
      </w:pPr>
    </w:p>
    <w:tbl>
      <w:tblPr>
        <w:tblStyle w:val="TableGrid"/>
        <w:tblW w:w="0" w:type="auto"/>
        <w:tblLook w:val="04A0" w:firstRow="1" w:lastRow="0" w:firstColumn="1" w:lastColumn="0" w:noHBand="0" w:noVBand="1"/>
      </w:tblPr>
      <w:tblGrid>
        <w:gridCol w:w="590"/>
        <w:gridCol w:w="4952"/>
        <w:gridCol w:w="3961"/>
        <w:gridCol w:w="5057"/>
      </w:tblGrid>
      <w:tr w:rsidR="00AE39C8" w:rsidRPr="002069F9" w14:paraId="4DF8A87B" w14:textId="77777777" w:rsidTr="001E1B12">
        <w:trPr>
          <w:trHeight w:val="533"/>
        </w:trPr>
        <w:tc>
          <w:tcPr>
            <w:tcW w:w="590" w:type="dxa"/>
            <w:vAlign w:val="center"/>
          </w:tcPr>
          <w:p w14:paraId="20F5ED8B" w14:textId="2D18266B" w:rsidR="00DF3DC8" w:rsidRPr="002069F9" w:rsidRDefault="00DF3DC8" w:rsidP="00AD28AE">
            <w:pPr>
              <w:rPr>
                <w:b/>
                <w:bCs/>
                <w:sz w:val="28"/>
                <w:szCs w:val="28"/>
                <w:lang w:val="vi-VN"/>
              </w:rPr>
            </w:pPr>
            <w:r w:rsidRPr="002069F9">
              <w:rPr>
                <w:b/>
                <w:bCs/>
                <w:sz w:val="28"/>
                <w:szCs w:val="28"/>
                <w:lang w:val="vi-VN"/>
              </w:rPr>
              <w:t>TT</w:t>
            </w:r>
          </w:p>
        </w:tc>
        <w:tc>
          <w:tcPr>
            <w:tcW w:w="4952" w:type="dxa"/>
            <w:vAlign w:val="center"/>
          </w:tcPr>
          <w:p w14:paraId="15A6A6E5" w14:textId="60FC4395" w:rsidR="00DF3DC8" w:rsidRPr="002069F9" w:rsidRDefault="00866A22" w:rsidP="00AD28AE">
            <w:pPr>
              <w:rPr>
                <w:b/>
                <w:bCs/>
                <w:sz w:val="28"/>
                <w:szCs w:val="28"/>
                <w:lang w:val="vi-VN"/>
              </w:rPr>
            </w:pPr>
            <w:r w:rsidRPr="002069F9">
              <w:rPr>
                <w:b/>
                <w:bCs/>
                <w:sz w:val="28"/>
                <w:szCs w:val="28"/>
              </w:rPr>
              <w:t xml:space="preserve">VĂN BẢN </w:t>
            </w:r>
            <w:r w:rsidR="00DF3DC8" w:rsidRPr="002069F9">
              <w:rPr>
                <w:b/>
                <w:bCs/>
                <w:sz w:val="28"/>
                <w:szCs w:val="28"/>
                <w:lang w:val="vi-VN"/>
              </w:rPr>
              <w:t xml:space="preserve">QUY PHẠM </w:t>
            </w:r>
            <w:r w:rsidRPr="002069F9">
              <w:rPr>
                <w:b/>
                <w:bCs/>
                <w:sz w:val="28"/>
                <w:szCs w:val="28"/>
              </w:rPr>
              <w:br/>
            </w:r>
            <w:r w:rsidR="00DF3DC8" w:rsidRPr="002069F9">
              <w:rPr>
                <w:b/>
                <w:bCs/>
                <w:sz w:val="28"/>
                <w:szCs w:val="28"/>
                <w:lang w:val="vi-VN"/>
              </w:rPr>
              <w:t xml:space="preserve">PHÁP LUẬT </w:t>
            </w:r>
            <w:r w:rsidRPr="002069F9">
              <w:rPr>
                <w:b/>
                <w:bCs/>
                <w:sz w:val="28"/>
                <w:szCs w:val="28"/>
              </w:rPr>
              <w:t>H</w:t>
            </w:r>
            <w:r w:rsidR="00DF3DC8" w:rsidRPr="002069F9">
              <w:rPr>
                <w:b/>
                <w:bCs/>
                <w:sz w:val="28"/>
                <w:szCs w:val="28"/>
                <w:lang w:val="vi-VN"/>
              </w:rPr>
              <w:t>IỆN HÀNH</w:t>
            </w:r>
          </w:p>
        </w:tc>
        <w:tc>
          <w:tcPr>
            <w:tcW w:w="3961" w:type="dxa"/>
            <w:vAlign w:val="center"/>
          </w:tcPr>
          <w:p w14:paraId="355D57EA" w14:textId="3BEE41B9" w:rsidR="00DF3DC8" w:rsidRPr="002069F9" w:rsidRDefault="00DF3DC8" w:rsidP="00AD28AE">
            <w:pPr>
              <w:rPr>
                <w:b/>
                <w:bCs/>
                <w:sz w:val="28"/>
                <w:szCs w:val="28"/>
                <w:lang w:val="vi-VN"/>
              </w:rPr>
            </w:pPr>
            <w:r w:rsidRPr="002069F9">
              <w:rPr>
                <w:b/>
                <w:bCs/>
                <w:sz w:val="28"/>
                <w:szCs w:val="28"/>
                <w:lang w:val="vi-VN"/>
              </w:rPr>
              <w:t>DỰ THẢO VĂN BẢN</w:t>
            </w:r>
          </w:p>
        </w:tc>
        <w:tc>
          <w:tcPr>
            <w:tcW w:w="5057" w:type="dxa"/>
            <w:vAlign w:val="center"/>
          </w:tcPr>
          <w:p w14:paraId="590272BD" w14:textId="37AD1ABA" w:rsidR="00DF3DC8" w:rsidRPr="002069F9" w:rsidRDefault="00DF3DC8" w:rsidP="00AD28AE">
            <w:pPr>
              <w:rPr>
                <w:b/>
                <w:bCs/>
                <w:sz w:val="28"/>
                <w:szCs w:val="28"/>
                <w:lang w:val="vi-VN"/>
              </w:rPr>
            </w:pPr>
            <w:r w:rsidRPr="002069F9">
              <w:rPr>
                <w:b/>
                <w:bCs/>
                <w:sz w:val="28"/>
                <w:szCs w:val="28"/>
                <w:lang w:val="vi-VN"/>
              </w:rPr>
              <w:t>THUYẾT MINH</w:t>
            </w:r>
          </w:p>
        </w:tc>
      </w:tr>
      <w:tr w:rsidR="00AE39C8" w:rsidRPr="002069F9" w14:paraId="45E4030D" w14:textId="77777777" w:rsidTr="001E1B12">
        <w:tc>
          <w:tcPr>
            <w:tcW w:w="590" w:type="dxa"/>
            <w:vAlign w:val="center"/>
          </w:tcPr>
          <w:p w14:paraId="57645F22" w14:textId="7C1FEF4E" w:rsidR="00AD28AE" w:rsidRPr="002069F9" w:rsidRDefault="00AD28AE" w:rsidP="00AD28AE">
            <w:pPr>
              <w:rPr>
                <w:sz w:val="28"/>
                <w:szCs w:val="28"/>
                <w:lang w:val="vi-VN"/>
              </w:rPr>
            </w:pPr>
            <w:r w:rsidRPr="002069F9">
              <w:rPr>
                <w:sz w:val="28"/>
                <w:szCs w:val="28"/>
                <w:lang w:val="vi-VN"/>
              </w:rPr>
              <w:t>1</w:t>
            </w:r>
          </w:p>
        </w:tc>
        <w:tc>
          <w:tcPr>
            <w:tcW w:w="4952" w:type="dxa"/>
            <w:vAlign w:val="center"/>
          </w:tcPr>
          <w:p w14:paraId="40A27D22" w14:textId="55AFF67F" w:rsidR="00AD28AE" w:rsidRPr="002069F9" w:rsidRDefault="00AD28AE" w:rsidP="00AD28AE">
            <w:pPr>
              <w:jc w:val="both"/>
              <w:rPr>
                <w:sz w:val="28"/>
                <w:szCs w:val="28"/>
              </w:rPr>
            </w:pPr>
            <w:r w:rsidRPr="002069F9">
              <w:rPr>
                <w:sz w:val="28"/>
                <w:szCs w:val="28"/>
              </w:rPr>
              <w:t xml:space="preserve">Tên </w:t>
            </w:r>
            <w:r w:rsidR="00B839FE" w:rsidRPr="002069F9">
              <w:rPr>
                <w:sz w:val="28"/>
                <w:szCs w:val="28"/>
              </w:rPr>
              <w:t>Quy chế</w:t>
            </w:r>
            <w:r w:rsidRPr="002069F9">
              <w:rPr>
                <w:sz w:val="28"/>
                <w:szCs w:val="28"/>
              </w:rPr>
              <w:t xml:space="preserve">: </w:t>
            </w:r>
            <w:r w:rsidR="00B839FE" w:rsidRPr="002069F9">
              <w:rPr>
                <w:sz w:val="28"/>
                <w:szCs w:val="28"/>
              </w:rPr>
              <w:t>Quy chế phối hợp phòng, chống xâm phạm quyền sở hữu trí tuệ trên địa bàn thành phố</w:t>
            </w:r>
          </w:p>
        </w:tc>
        <w:tc>
          <w:tcPr>
            <w:tcW w:w="3961" w:type="dxa"/>
            <w:vAlign w:val="center"/>
          </w:tcPr>
          <w:p w14:paraId="34A75CC4" w14:textId="12AAE11E" w:rsidR="00AD28AE" w:rsidRPr="002069F9" w:rsidRDefault="00AD28AE" w:rsidP="00AD28AE">
            <w:pPr>
              <w:jc w:val="both"/>
              <w:rPr>
                <w:sz w:val="28"/>
                <w:szCs w:val="28"/>
              </w:rPr>
            </w:pPr>
            <w:r w:rsidRPr="002069F9">
              <w:rPr>
                <w:sz w:val="28"/>
                <w:szCs w:val="28"/>
              </w:rPr>
              <w:t xml:space="preserve">Tên </w:t>
            </w:r>
            <w:r w:rsidR="00B839FE" w:rsidRPr="002069F9">
              <w:rPr>
                <w:sz w:val="28"/>
                <w:szCs w:val="28"/>
              </w:rPr>
              <w:t>Quy chế</w:t>
            </w:r>
            <w:r w:rsidRPr="002069F9">
              <w:rPr>
                <w:sz w:val="28"/>
                <w:szCs w:val="28"/>
              </w:rPr>
              <w:t xml:space="preserve">: </w:t>
            </w:r>
            <w:r w:rsidR="00B839FE" w:rsidRPr="002069F9">
              <w:rPr>
                <w:sz w:val="28"/>
                <w:szCs w:val="28"/>
              </w:rPr>
              <w:t>Quy chế phối hợp trong hoạt động thực thi quyền sở hữu trí tuệ trên địa bàn thành phố Hải Phòng</w:t>
            </w:r>
          </w:p>
        </w:tc>
        <w:tc>
          <w:tcPr>
            <w:tcW w:w="5057" w:type="dxa"/>
            <w:vAlign w:val="center"/>
          </w:tcPr>
          <w:p w14:paraId="139E95C3" w14:textId="66931271" w:rsidR="00AD28AE" w:rsidRPr="002069F9" w:rsidRDefault="002940C9" w:rsidP="00AD28AE">
            <w:pPr>
              <w:jc w:val="both"/>
              <w:rPr>
                <w:sz w:val="28"/>
                <w:szCs w:val="28"/>
              </w:rPr>
            </w:pPr>
            <w:r w:rsidRPr="002069F9">
              <w:rPr>
                <w:sz w:val="28"/>
                <w:szCs w:val="28"/>
              </w:rPr>
              <w:t xml:space="preserve">Cụm từ </w:t>
            </w:r>
            <w:r w:rsidR="001B273A">
              <w:rPr>
                <w:sz w:val="28"/>
                <w:szCs w:val="28"/>
              </w:rPr>
              <w:t>“</w:t>
            </w:r>
            <w:r w:rsidRPr="002069F9">
              <w:rPr>
                <w:sz w:val="28"/>
                <w:szCs w:val="28"/>
              </w:rPr>
              <w:t>Thực thi quyền sở hữu trí tuệ</w:t>
            </w:r>
            <w:r w:rsidR="001B273A">
              <w:rPr>
                <w:sz w:val="28"/>
                <w:szCs w:val="28"/>
              </w:rPr>
              <w:t>”</w:t>
            </w:r>
            <w:r w:rsidRPr="002069F9">
              <w:rPr>
                <w:sz w:val="28"/>
                <w:szCs w:val="28"/>
              </w:rPr>
              <w:t xml:space="preserve"> phản ánh chính xác, đầy đủ các biện pháp bảo vệ quyền do Nhà nước bảo đảm (bao gồm dân sự, hành chính, hình sự và kiểm soát hải quan tại biên giới), thay thế cho cụm từ </w:t>
            </w:r>
            <w:r w:rsidR="001B273A">
              <w:rPr>
                <w:sz w:val="28"/>
                <w:szCs w:val="28"/>
              </w:rPr>
              <w:t>“</w:t>
            </w:r>
            <w:r w:rsidRPr="002069F9">
              <w:rPr>
                <w:sz w:val="28"/>
                <w:szCs w:val="28"/>
              </w:rPr>
              <w:t>phòng, chống xâm phạm</w:t>
            </w:r>
            <w:r w:rsidR="001B273A">
              <w:rPr>
                <w:sz w:val="28"/>
                <w:szCs w:val="28"/>
              </w:rPr>
              <w:t>”</w:t>
            </w:r>
            <w:r w:rsidRPr="002069F9">
              <w:rPr>
                <w:sz w:val="28"/>
                <w:szCs w:val="28"/>
              </w:rPr>
              <w:t xml:space="preserve"> vốn có nội hàm hẹp hơn và chủ yếu hướng tới các biện pháp xử phạt đơn thuần.</w:t>
            </w:r>
          </w:p>
        </w:tc>
      </w:tr>
      <w:tr w:rsidR="00AE39C8" w:rsidRPr="002069F9" w14:paraId="688E10BD" w14:textId="77777777" w:rsidTr="001E1B12">
        <w:tc>
          <w:tcPr>
            <w:tcW w:w="590" w:type="dxa"/>
            <w:vAlign w:val="center"/>
          </w:tcPr>
          <w:p w14:paraId="0196729B" w14:textId="12140569" w:rsidR="00B839FE" w:rsidRPr="002069F9" w:rsidRDefault="008A35F2" w:rsidP="00AD28AE">
            <w:pPr>
              <w:rPr>
                <w:sz w:val="28"/>
                <w:szCs w:val="28"/>
              </w:rPr>
            </w:pPr>
            <w:r w:rsidRPr="002069F9">
              <w:rPr>
                <w:sz w:val="28"/>
                <w:szCs w:val="28"/>
              </w:rPr>
              <w:t>2</w:t>
            </w:r>
          </w:p>
        </w:tc>
        <w:tc>
          <w:tcPr>
            <w:tcW w:w="4952" w:type="dxa"/>
            <w:vAlign w:val="center"/>
          </w:tcPr>
          <w:p w14:paraId="03B74EF2" w14:textId="399701B6" w:rsidR="00B839FE" w:rsidRPr="002069F9" w:rsidRDefault="00B839FE" w:rsidP="00AD28AE">
            <w:pPr>
              <w:jc w:val="both"/>
              <w:rPr>
                <w:sz w:val="28"/>
                <w:szCs w:val="28"/>
              </w:rPr>
            </w:pPr>
            <w:r w:rsidRPr="002069F9">
              <w:rPr>
                <w:sz w:val="28"/>
                <w:szCs w:val="28"/>
              </w:rPr>
              <w:t>Căn cứ pháp lý</w:t>
            </w:r>
            <w:r w:rsidR="008A35F2" w:rsidRPr="002069F9">
              <w:rPr>
                <w:sz w:val="28"/>
                <w:szCs w:val="28"/>
              </w:rPr>
              <w:t xml:space="preserve"> thời điểm năm 2014</w:t>
            </w:r>
            <w:r w:rsidR="006203F6" w:rsidRPr="002069F9">
              <w:rPr>
                <w:sz w:val="28"/>
                <w:szCs w:val="28"/>
              </w:rPr>
              <w:t xml:space="preserve"> và  năm 2019</w:t>
            </w:r>
          </w:p>
        </w:tc>
        <w:tc>
          <w:tcPr>
            <w:tcW w:w="3961" w:type="dxa"/>
            <w:vAlign w:val="center"/>
          </w:tcPr>
          <w:p w14:paraId="2A5C5AF4" w14:textId="07F8877A" w:rsidR="00B839FE" w:rsidRPr="002069F9" w:rsidRDefault="006203F6" w:rsidP="00AD28AE">
            <w:pPr>
              <w:jc w:val="both"/>
              <w:rPr>
                <w:sz w:val="28"/>
                <w:szCs w:val="28"/>
              </w:rPr>
            </w:pPr>
            <w:r w:rsidRPr="002069F9">
              <w:rPr>
                <w:sz w:val="28"/>
                <w:szCs w:val="28"/>
              </w:rPr>
              <w:t>Căn cứ pháp lý: Cập nhật toàn bộ các văn bản luật và nghị định mới nhất tính đến thời điểm năm 2026.</w:t>
            </w:r>
          </w:p>
        </w:tc>
        <w:tc>
          <w:tcPr>
            <w:tcW w:w="5057" w:type="dxa"/>
            <w:vAlign w:val="center"/>
          </w:tcPr>
          <w:p w14:paraId="341A1B17" w14:textId="42646B19" w:rsidR="00B839FE" w:rsidRPr="002069F9" w:rsidRDefault="00B839FE" w:rsidP="00AD28AE">
            <w:pPr>
              <w:jc w:val="both"/>
              <w:rPr>
                <w:sz w:val="28"/>
                <w:szCs w:val="28"/>
              </w:rPr>
            </w:pPr>
            <w:r w:rsidRPr="002069F9">
              <w:rPr>
                <w:sz w:val="28"/>
                <w:szCs w:val="28"/>
              </w:rPr>
              <w:t>Các căn cứ cũ đã hết hiệu lực. Việc cập nhật toàn bộ hệ thống Luật, Nghị định mới nhất là bắt buộc để đảm bảo tính hợp hiến, hợp pháp của Quyết định.</w:t>
            </w:r>
          </w:p>
        </w:tc>
      </w:tr>
      <w:tr w:rsidR="00AE39C8" w:rsidRPr="002069F9" w14:paraId="4EDF6378" w14:textId="77777777" w:rsidTr="001E1B12">
        <w:tc>
          <w:tcPr>
            <w:tcW w:w="590" w:type="dxa"/>
            <w:vAlign w:val="center"/>
          </w:tcPr>
          <w:p w14:paraId="4F4BE974" w14:textId="61590590" w:rsidR="00AD28AE" w:rsidRPr="002069F9" w:rsidRDefault="008A35F2" w:rsidP="00AD28AE">
            <w:pPr>
              <w:rPr>
                <w:sz w:val="28"/>
                <w:szCs w:val="28"/>
              </w:rPr>
            </w:pPr>
            <w:r w:rsidRPr="002069F9">
              <w:rPr>
                <w:sz w:val="28"/>
                <w:szCs w:val="28"/>
              </w:rPr>
              <w:t>3</w:t>
            </w:r>
          </w:p>
        </w:tc>
        <w:tc>
          <w:tcPr>
            <w:tcW w:w="4952" w:type="dxa"/>
            <w:vAlign w:val="center"/>
          </w:tcPr>
          <w:p w14:paraId="2E47EAF2" w14:textId="5B1E108C" w:rsidR="00AD28AE" w:rsidRPr="002069F9" w:rsidRDefault="002940C9" w:rsidP="00AD28AE">
            <w:pPr>
              <w:jc w:val="both"/>
              <w:rPr>
                <w:sz w:val="28"/>
                <w:szCs w:val="28"/>
                <w:lang w:val="vi-VN"/>
              </w:rPr>
            </w:pPr>
            <w:r w:rsidRPr="002069F9">
              <w:rPr>
                <w:sz w:val="28"/>
                <w:szCs w:val="28"/>
              </w:rPr>
              <w:t>Điều 2. Đối tượng áp dụng: Áp dụng đối với Sở KH&amp;CN, Sở VHTTDL, Sở TTTT, Sở NN&amp;PTNT, Sở Công Thương, Công an TP, Cục Hải quan Hải Phòng, các sở, ngành và UBND cấp huyện, cấp xã.</w:t>
            </w:r>
          </w:p>
        </w:tc>
        <w:tc>
          <w:tcPr>
            <w:tcW w:w="3961" w:type="dxa"/>
            <w:vAlign w:val="center"/>
          </w:tcPr>
          <w:p w14:paraId="180D1DA8" w14:textId="4D0991BB" w:rsidR="00AD28AE" w:rsidRPr="002069F9" w:rsidRDefault="002940C9" w:rsidP="008A35F2">
            <w:pPr>
              <w:jc w:val="both"/>
              <w:rPr>
                <w:sz w:val="28"/>
                <w:szCs w:val="28"/>
                <w:lang w:val="vi-VN"/>
              </w:rPr>
            </w:pPr>
            <w:r w:rsidRPr="002069F9">
              <w:rPr>
                <w:sz w:val="28"/>
                <w:szCs w:val="28"/>
              </w:rPr>
              <w:t>Điều 2. Đối tượng áp dụng: Áp dụng đối với Sở KH&amp;CN, Sở VHTTDL, Sở Nông nghiệp và Môi trường, Sở Công Thương, Công an TP, Chi cục Hải quan khu vực III, các sở, ngành và UBND cấp xã.</w:t>
            </w:r>
          </w:p>
        </w:tc>
        <w:tc>
          <w:tcPr>
            <w:tcW w:w="5057" w:type="dxa"/>
            <w:vAlign w:val="center"/>
          </w:tcPr>
          <w:p w14:paraId="4A378468" w14:textId="4AF276E9" w:rsidR="00AD28AE" w:rsidRPr="002069F9" w:rsidRDefault="009B5E0E" w:rsidP="00AD28AE">
            <w:pPr>
              <w:jc w:val="both"/>
              <w:rPr>
                <w:sz w:val="28"/>
                <w:szCs w:val="28"/>
                <w:lang w:val="vi-VN"/>
              </w:rPr>
            </w:pPr>
            <w:r w:rsidRPr="002069F9">
              <w:rPr>
                <w:sz w:val="28"/>
                <w:szCs w:val="28"/>
              </w:rPr>
              <w:t>Sửa đổi, bổ sung đối tượng áp dụng để phù hợp với sự thay đổi về tổ chức bộ máy hành chính nhà nước (sáp nhập các Sở, ngành, tổ chức lại lực lượng thanh tra chuyên ngành, quản lý thị trường) và việc sáp nhập địa giới hành chính của thành phố</w:t>
            </w:r>
          </w:p>
        </w:tc>
      </w:tr>
      <w:tr w:rsidR="001E1B12" w:rsidRPr="002069F9" w14:paraId="73517CBB" w14:textId="77777777" w:rsidTr="001E1B12">
        <w:tc>
          <w:tcPr>
            <w:tcW w:w="590" w:type="dxa"/>
            <w:vAlign w:val="center"/>
          </w:tcPr>
          <w:p w14:paraId="036483A8" w14:textId="5FC683F8" w:rsidR="001E1B12" w:rsidRPr="002069F9" w:rsidRDefault="00AC7D4E" w:rsidP="00AD28AE">
            <w:pPr>
              <w:rPr>
                <w:sz w:val="28"/>
                <w:szCs w:val="28"/>
              </w:rPr>
            </w:pPr>
            <w:r w:rsidRPr="002069F9">
              <w:rPr>
                <w:sz w:val="28"/>
                <w:szCs w:val="28"/>
              </w:rPr>
              <w:lastRenderedPageBreak/>
              <w:t>4</w:t>
            </w:r>
          </w:p>
        </w:tc>
        <w:tc>
          <w:tcPr>
            <w:tcW w:w="4952" w:type="dxa"/>
            <w:vAlign w:val="center"/>
          </w:tcPr>
          <w:p w14:paraId="421B879E" w14:textId="6CC5C67F" w:rsidR="001E1B12" w:rsidRPr="002069F9" w:rsidRDefault="001E1B12" w:rsidP="00AB554C">
            <w:pPr>
              <w:jc w:val="both"/>
              <w:rPr>
                <w:sz w:val="28"/>
                <w:szCs w:val="28"/>
              </w:rPr>
            </w:pPr>
            <w:r w:rsidRPr="002069F9">
              <w:rPr>
                <w:sz w:val="28"/>
                <w:szCs w:val="28"/>
              </w:rPr>
              <w:t>Điều 6. Trách nhiệm của các cơ quan quản lý nhà nước về sở hữu trí tuệ</w:t>
            </w:r>
          </w:p>
        </w:tc>
        <w:tc>
          <w:tcPr>
            <w:tcW w:w="3961" w:type="dxa"/>
            <w:vAlign w:val="center"/>
          </w:tcPr>
          <w:p w14:paraId="352E8C18" w14:textId="3DF409BE" w:rsidR="001E1B12" w:rsidRPr="002069F9" w:rsidRDefault="001E1B12" w:rsidP="00AB554C">
            <w:pPr>
              <w:jc w:val="both"/>
              <w:rPr>
                <w:sz w:val="28"/>
                <w:szCs w:val="28"/>
              </w:rPr>
            </w:pPr>
            <w:r w:rsidRPr="002069F9">
              <w:rPr>
                <w:sz w:val="28"/>
                <w:szCs w:val="28"/>
              </w:rPr>
              <w:t>Điều 6. Trách nhiệm của các cơ quan quản lý nhà nước về sở hữu trí tuệ</w:t>
            </w:r>
          </w:p>
        </w:tc>
        <w:tc>
          <w:tcPr>
            <w:tcW w:w="5057" w:type="dxa"/>
            <w:vAlign w:val="center"/>
          </w:tcPr>
          <w:p w14:paraId="55C14A70" w14:textId="69B1F183" w:rsidR="001E1B12" w:rsidRPr="002069F9" w:rsidRDefault="001E1B12" w:rsidP="00AD28AE">
            <w:pPr>
              <w:jc w:val="both"/>
              <w:rPr>
                <w:sz w:val="28"/>
                <w:szCs w:val="28"/>
              </w:rPr>
            </w:pPr>
            <w:r w:rsidRPr="002069F9">
              <w:rPr>
                <w:sz w:val="28"/>
                <w:szCs w:val="28"/>
              </w:rPr>
              <w:t>Cụ thể hóa các nhiệm vụ của các cơ quan chuyên ngành theo từng lĩnh vực quản lý nhà nước về sở hữu trí tuệ</w:t>
            </w:r>
          </w:p>
        </w:tc>
      </w:tr>
      <w:tr w:rsidR="00AE39C8" w:rsidRPr="002069F9" w14:paraId="5F8831C0" w14:textId="77777777" w:rsidTr="001E1B12">
        <w:tc>
          <w:tcPr>
            <w:tcW w:w="590" w:type="dxa"/>
            <w:vAlign w:val="center"/>
          </w:tcPr>
          <w:p w14:paraId="638CC237" w14:textId="6C079EF4" w:rsidR="00AD28AE" w:rsidRPr="002069F9" w:rsidRDefault="00AC7D4E" w:rsidP="00AD28AE">
            <w:pPr>
              <w:rPr>
                <w:sz w:val="28"/>
                <w:szCs w:val="28"/>
              </w:rPr>
            </w:pPr>
            <w:r w:rsidRPr="002069F9">
              <w:rPr>
                <w:sz w:val="28"/>
                <w:szCs w:val="28"/>
              </w:rPr>
              <w:t>5</w:t>
            </w:r>
          </w:p>
        </w:tc>
        <w:tc>
          <w:tcPr>
            <w:tcW w:w="4952" w:type="dxa"/>
            <w:vAlign w:val="center"/>
          </w:tcPr>
          <w:p w14:paraId="2A03AE4B" w14:textId="229FD27D" w:rsidR="00AD28AE" w:rsidRPr="002069F9" w:rsidRDefault="00CC4BB1" w:rsidP="00AD28AE">
            <w:pPr>
              <w:tabs>
                <w:tab w:val="left" w:pos="0"/>
              </w:tabs>
              <w:spacing w:before="120"/>
              <w:jc w:val="both"/>
              <w:rPr>
                <w:sz w:val="28"/>
                <w:szCs w:val="28"/>
              </w:rPr>
            </w:pPr>
            <w:r w:rsidRPr="002069F9">
              <w:rPr>
                <w:sz w:val="28"/>
                <w:szCs w:val="28"/>
              </w:rPr>
              <w:t>Điều 7. Quy định cơ quan có thẩm quyền xử lý vi phạm</w:t>
            </w:r>
          </w:p>
        </w:tc>
        <w:tc>
          <w:tcPr>
            <w:tcW w:w="3961" w:type="dxa"/>
            <w:vAlign w:val="center"/>
          </w:tcPr>
          <w:p w14:paraId="155022AD" w14:textId="77777777" w:rsidR="00CC4BB1" w:rsidRPr="002069F9" w:rsidRDefault="00CC4BB1" w:rsidP="00AD28AE">
            <w:pPr>
              <w:jc w:val="both"/>
              <w:rPr>
                <w:sz w:val="28"/>
                <w:szCs w:val="28"/>
              </w:rPr>
            </w:pPr>
            <w:r w:rsidRPr="002069F9">
              <w:rPr>
                <w:sz w:val="28"/>
                <w:szCs w:val="28"/>
              </w:rPr>
              <w:t xml:space="preserve">Điều 7. Trách nhiệm của các cơ quan có thẩm quyền xử lý xâm phạm quyền sở hữu trí tuệ: </w:t>
            </w:r>
          </w:p>
          <w:p w14:paraId="6A4245D1" w14:textId="732609BA" w:rsidR="00AD28AE" w:rsidRPr="002069F9" w:rsidRDefault="00CC4BB1" w:rsidP="00AD28AE">
            <w:pPr>
              <w:jc w:val="both"/>
              <w:rPr>
                <w:sz w:val="28"/>
                <w:szCs w:val="28"/>
              </w:rPr>
            </w:pPr>
            <w:r w:rsidRPr="002069F9">
              <w:rPr>
                <w:sz w:val="28"/>
                <w:szCs w:val="28"/>
              </w:rPr>
              <w:t>xác định rõ vai trò của 08 cơ quan/lực lượng chức năng (Sở KH&amp;CN, Sở NN&amp;MT, Sở VHTTDL, QLTT, Công an, Hải quan, Thanh tra TP, UBND cấp xã).</w:t>
            </w:r>
          </w:p>
        </w:tc>
        <w:tc>
          <w:tcPr>
            <w:tcW w:w="5057" w:type="dxa"/>
            <w:vAlign w:val="center"/>
          </w:tcPr>
          <w:p w14:paraId="0B7D4336" w14:textId="1F0DCDBB" w:rsidR="00AD28AE" w:rsidRPr="002069F9" w:rsidRDefault="00CC4BB1" w:rsidP="00AD28AE">
            <w:pPr>
              <w:jc w:val="both"/>
              <w:rPr>
                <w:sz w:val="28"/>
                <w:szCs w:val="28"/>
                <w:lang w:val="vi-VN"/>
              </w:rPr>
            </w:pPr>
            <w:r w:rsidRPr="002069F9">
              <w:rPr>
                <w:sz w:val="28"/>
                <w:szCs w:val="28"/>
              </w:rPr>
              <w:t>Chuẩn hóa thẩm quyền xử phạt VPHC theo Luật XLVPHC và các Nghị định xử phạt SHTT mới nhất (NĐ 99/2013, NĐ 46/2024, NĐ 341/2025, NĐ 186/2026, NĐ 214/2026). phân định rõ trách nhiệm chủ trì xử phạt với trách nhiệm phối hợp hỗ trợ nghiệp vụ giữa các lực lượng.</w:t>
            </w:r>
          </w:p>
        </w:tc>
      </w:tr>
      <w:tr w:rsidR="00AE39C8" w:rsidRPr="002069F9" w14:paraId="698BC9F7" w14:textId="77777777" w:rsidTr="001E1B12">
        <w:tc>
          <w:tcPr>
            <w:tcW w:w="590" w:type="dxa"/>
            <w:vAlign w:val="center"/>
          </w:tcPr>
          <w:p w14:paraId="00B4D1FB" w14:textId="2866AE4A" w:rsidR="00AD28AE" w:rsidRPr="002069F9" w:rsidRDefault="00AC7D4E" w:rsidP="00AD28AE">
            <w:pPr>
              <w:rPr>
                <w:sz w:val="28"/>
                <w:szCs w:val="28"/>
              </w:rPr>
            </w:pPr>
            <w:r w:rsidRPr="002069F9">
              <w:rPr>
                <w:sz w:val="28"/>
                <w:szCs w:val="28"/>
              </w:rPr>
              <w:t>6</w:t>
            </w:r>
          </w:p>
        </w:tc>
        <w:tc>
          <w:tcPr>
            <w:tcW w:w="4952" w:type="dxa"/>
            <w:vAlign w:val="center"/>
          </w:tcPr>
          <w:p w14:paraId="33E83FD5" w14:textId="27182FC9" w:rsidR="00AD28AE" w:rsidRPr="002069F9" w:rsidRDefault="00CC4BB1" w:rsidP="00AD28AE">
            <w:pPr>
              <w:tabs>
                <w:tab w:val="left" w:pos="0"/>
              </w:tabs>
              <w:spacing w:before="120"/>
              <w:jc w:val="both"/>
              <w:rPr>
                <w:sz w:val="28"/>
                <w:szCs w:val="28"/>
                <w:lang w:val="vi-VN"/>
              </w:rPr>
            </w:pPr>
            <w:r w:rsidRPr="002069F9">
              <w:rPr>
                <w:sz w:val="28"/>
                <w:szCs w:val="28"/>
              </w:rPr>
              <w:t>Điều 10. Phối hợp kiểm tra liên ngành: Cho phép thành lập đoàn liên ngành rộng rãi, chưa rõ tiêu chí.</w:t>
            </w:r>
          </w:p>
        </w:tc>
        <w:tc>
          <w:tcPr>
            <w:tcW w:w="3961" w:type="dxa"/>
            <w:vAlign w:val="center"/>
          </w:tcPr>
          <w:p w14:paraId="6FE5AA51" w14:textId="71F6E4D6" w:rsidR="00AD28AE" w:rsidRPr="002069F9" w:rsidRDefault="00CC4BB1" w:rsidP="00762A5C">
            <w:pPr>
              <w:jc w:val="both"/>
              <w:rPr>
                <w:sz w:val="28"/>
                <w:szCs w:val="28"/>
              </w:rPr>
            </w:pPr>
            <w:r w:rsidRPr="002069F9">
              <w:rPr>
                <w:sz w:val="28"/>
                <w:szCs w:val="28"/>
              </w:rPr>
              <w:t>Điều 10. Phối hợp tổ chức thanh tra, kiểm tra liên ngành: Siết chặt điều kiện thành lập Đoàn liên ngành (chỉ áp dụng đối với vụ việc lớn, phức tạp, liên ngành); bổ sung cơ chế phối hợp trực tiếp/điện thoại khẩn cấp</w:t>
            </w:r>
          </w:p>
        </w:tc>
        <w:tc>
          <w:tcPr>
            <w:tcW w:w="5057" w:type="dxa"/>
            <w:vAlign w:val="center"/>
          </w:tcPr>
          <w:p w14:paraId="58C3C5E5" w14:textId="6EADE9DC" w:rsidR="00AD28AE" w:rsidRPr="002069F9" w:rsidRDefault="00CC4BB1" w:rsidP="00AD28AE">
            <w:pPr>
              <w:jc w:val="both"/>
              <w:rPr>
                <w:sz w:val="28"/>
                <w:szCs w:val="28"/>
                <w:lang w:val="vi-VN"/>
              </w:rPr>
            </w:pPr>
            <w:r w:rsidRPr="002069F9">
              <w:rPr>
                <w:sz w:val="28"/>
                <w:szCs w:val="28"/>
              </w:rPr>
              <w:t>Khắc phục tình trạng thành lập đoàn liên ngành tràn lan, trùng lặp gây phiền hà cho doanh nghiệp theo chỉ đạo của Chính phủ; cơ chế liên lạc nhanh 24 giờ giúp kịp thời ngăn chặn hành vi tẩu tán, tiêu hủy tang vật trong các chuyên án khẩn cấp.</w:t>
            </w:r>
          </w:p>
        </w:tc>
      </w:tr>
      <w:tr w:rsidR="00AE39C8" w:rsidRPr="002069F9" w14:paraId="2FD4FAE6" w14:textId="77777777" w:rsidTr="001E1B12">
        <w:tc>
          <w:tcPr>
            <w:tcW w:w="590" w:type="dxa"/>
            <w:vAlign w:val="center"/>
          </w:tcPr>
          <w:p w14:paraId="219144C1" w14:textId="587B654B" w:rsidR="00AD28AE" w:rsidRPr="002069F9" w:rsidRDefault="00AC7D4E" w:rsidP="00AD28AE">
            <w:pPr>
              <w:rPr>
                <w:sz w:val="28"/>
                <w:szCs w:val="28"/>
              </w:rPr>
            </w:pPr>
            <w:r w:rsidRPr="002069F9">
              <w:rPr>
                <w:sz w:val="28"/>
                <w:szCs w:val="28"/>
              </w:rPr>
              <w:t>7</w:t>
            </w:r>
          </w:p>
        </w:tc>
        <w:tc>
          <w:tcPr>
            <w:tcW w:w="4952" w:type="dxa"/>
            <w:vAlign w:val="center"/>
          </w:tcPr>
          <w:p w14:paraId="5D075589" w14:textId="0730021E" w:rsidR="00AD28AE" w:rsidRPr="002069F9" w:rsidRDefault="00CC4BB1" w:rsidP="00AD28AE">
            <w:pPr>
              <w:tabs>
                <w:tab w:val="left" w:pos="0"/>
              </w:tabs>
              <w:spacing w:before="120"/>
              <w:jc w:val="both"/>
              <w:rPr>
                <w:sz w:val="28"/>
                <w:szCs w:val="28"/>
                <w:lang w:val="vi-VN"/>
              </w:rPr>
            </w:pPr>
            <w:r w:rsidRPr="002069F9">
              <w:rPr>
                <w:sz w:val="28"/>
                <w:szCs w:val="28"/>
              </w:rPr>
              <w:t xml:space="preserve">Điều 11. Hỗ trợ chuyên môn và giám định: </w:t>
            </w:r>
            <w:r w:rsidR="00AC7D4E" w:rsidRPr="002069F9">
              <w:rPr>
                <w:sz w:val="28"/>
                <w:szCs w:val="28"/>
              </w:rPr>
              <w:t>Cho phép các cơ quan dùng chung kết quả giám định, định giá của nhau.</w:t>
            </w:r>
          </w:p>
        </w:tc>
        <w:tc>
          <w:tcPr>
            <w:tcW w:w="3961" w:type="dxa"/>
            <w:vAlign w:val="center"/>
          </w:tcPr>
          <w:p w14:paraId="7D695629" w14:textId="0C6FF5B7" w:rsidR="00AD28AE" w:rsidRPr="002069F9" w:rsidRDefault="00CC4BB1" w:rsidP="00AD28AE">
            <w:pPr>
              <w:jc w:val="both"/>
              <w:rPr>
                <w:sz w:val="28"/>
                <w:szCs w:val="28"/>
              </w:rPr>
            </w:pPr>
            <w:r w:rsidRPr="002069F9">
              <w:rPr>
                <w:sz w:val="28"/>
                <w:szCs w:val="28"/>
              </w:rPr>
              <w:t xml:space="preserve">Điều 11. Hỗ trợ chuyên môn và giám định: </w:t>
            </w:r>
            <w:r w:rsidR="00AC7D4E" w:rsidRPr="002069F9">
              <w:rPr>
                <w:sz w:val="28"/>
                <w:szCs w:val="28"/>
              </w:rPr>
              <w:t>Quy định rõ thời hạn trả lời ý kiến chuyên môn (tối đa 05 ngày) và việc trưng cầu giám định. Cơ quan thụ lý vụ việc phải tự chịu trách nhiệm đánh giá chứng cứ.</w:t>
            </w:r>
          </w:p>
        </w:tc>
        <w:tc>
          <w:tcPr>
            <w:tcW w:w="5057" w:type="dxa"/>
            <w:vAlign w:val="center"/>
          </w:tcPr>
          <w:p w14:paraId="4D1B6A97" w14:textId="78EE1998" w:rsidR="00AD28AE" w:rsidRPr="002069F9" w:rsidRDefault="00AC7D4E" w:rsidP="00AD28AE">
            <w:pPr>
              <w:jc w:val="both"/>
              <w:rPr>
                <w:sz w:val="28"/>
                <w:szCs w:val="28"/>
                <w:lang w:val="vi-VN"/>
              </w:rPr>
            </w:pPr>
            <w:r w:rsidRPr="002069F9">
              <w:rPr>
                <w:sz w:val="28"/>
                <w:szCs w:val="28"/>
              </w:rPr>
              <w:t>Cập nhật theo Luật Sở hữu trí tuệ mới. Bỏ quy định tự động dùng lại kết quả của cơ quan khác để bảo đảm tính độc lập và tự chịu trách nhiệm pháp lý của từng đơn vị khi xử lý vi phạm.</w:t>
            </w:r>
          </w:p>
        </w:tc>
      </w:tr>
      <w:tr w:rsidR="006203F6" w:rsidRPr="002069F9" w14:paraId="0039903E" w14:textId="77777777" w:rsidTr="001E1B12">
        <w:tc>
          <w:tcPr>
            <w:tcW w:w="590" w:type="dxa"/>
            <w:vAlign w:val="center"/>
          </w:tcPr>
          <w:p w14:paraId="1DB7CA1C" w14:textId="756871BF" w:rsidR="006203F6" w:rsidRPr="002069F9" w:rsidRDefault="00AC7D4E" w:rsidP="00AD28AE">
            <w:pPr>
              <w:rPr>
                <w:sz w:val="28"/>
                <w:szCs w:val="28"/>
              </w:rPr>
            </w:pPr>
            <w:r w:rsidRPr="002069F9">
              <w:rPr>
                <w:sz w:val="28"/>
                <w:szCs w:val="28"/>
              </w:rPr>
              <w:t>8</w:t>
            </w:r>
          </w:p>
        </w:tc>
        <w:tc>
          <w:tcPr>
            <w:tcW w:w="4952" w:type="dxa"/>
            <w:vAlign w:val="center"/>
          </w:tcPr>
          <w:p w14:paraId="2ED14CF8" w14:textId="2434B42A" w:rsidR="006203F6" w:rsidRPr="002069F9" w:rsidRDefault="00CC4BB1" w:rsidP="00762A5C">
            <w:pPr>
              <w:tabs>
                <w:tab w:val="left" w:pos="0"/>
              </w:tabs>
              <w:spacing w:before="120"/>
              <w:jc w:val="both"/>
              <w:rPr>
                <w:sz w:val="28"/>
                <w:szCs w:val="28"/>
              </w:rPr>
            </w:pPr>
            <w:r w:rsidRPr="002069F9">
              <w:rPr>
                <w:sz w:val="28"/>
                <w:szCs w:val="28"/>
              </w:rPr>
              <w:t>Điều 12. Chuyển giao hồ sơ vụ việc có dấu hiệu tội phạm: Không có điều khoản riêng, quy định lồng ghép thiếu rõ ràng.</w:t>
            </w:r>
          </w:p>
        </w:tc>
        <w:tc>
          <w:tcPr>
            <w:tcW w:w="3961" w:type="dxa"/>
            <w:vAlign w:val="center"/>
          </w:tcPr>
          <w:p w14:paraId="2E8293CC" w14:textId="5F8CB1A9" w:rsidR="006203F6" w:rsidRPr="002069F9" w:rsidRDefault="00CC4BB1" w:rsidP="00762A5C">
            <w:pPr>
              <w:jc w:val="both"/>
              <w:rPr>
                <w:sz w:val="28"/>
                <w:szCs w:val="28"/>
              </w:rPr>
            </w:pPr>
            <w:r w:rsidRPr="002069F9">
              <w:rPr>
                <w:sz w:val="28"/>
                <w:szCs w:val="28"/>
              </w:rPr>
              <w:t xml:space="preserve">Điều 12. Phối hợp chuyển giao hồ sơ vụ việc có dấu hiệu tội phạm: Quy định rõ thủ tục tạm dừng/đình chỉ giải quyết hành </w:t>
            </w:r>
            <w:r w:rsidRPr="002069F9">
              <w:rPr>
                <w:sz w:val="28"/>
                <w:szCs w:val="28"/>
              </w:rPr>
              <w:lastRenderedPageBreak/>
              <w:t>chính, lập và chuyển giao hồ sơ, tang vật sang cơ quan điều tra theo Luật XLVPHC và pháp luật tố tụng hình sự.</w:t>
            </w:r>
          </w:p>
        </w:tc>
        <w:tc>
          <w:tcPr>
            <w:tcW w:w="5057" w:type="dxa"/>
            <w:vAlign w:val="center"/>
          </w:tcPr>
          <w:p w14:paraId="626CBA72" w14:textId="45628F52" w:rsidR="006203F6" w:rsidRPr="002069F9" w:rsidRDefault="00CC4BB1" w:rsidP="00AD28AE">
            <w:pPr>
              <w:jc w:val="both"/>
              <w:rPr>
                <w:sz w:val="28"/>
                <w:szCs w:val="28"/>
              </w:rPr>
            </w:pPr>
            <w:r w:rsidRPr="002069F9">
              <w:rPr>
                <w:sz w:val="28"/>
                <w:szCs w:val="28"/>
              </w:rPr>
              <w:lastRenderedPageBreak/>
              <w:t xml:space="preserve">Chuẩn hóa quy trình chuyển giao giữa cơ quan xử lý hành chính và cơ quan tố tụng hình sự; khắc phục khoảng trống pháp lý, </w:t>
            </w:r>
            <w:r w:rsidRPr="002069F9">
              <w:rPr>
                <w:sz w:val="28"/>
                <w:szCs w:val="28"/>
              </w:rPr>
              <w:lastRenderedPageBreak/>
              <w:t>bảo đảm không bỏ sót tội phạm và thực hiện đúng trật tự thủ tục.</w:t>
            </w:r>
          </w:p>
        </w:tc>
      </w:tr>
      <w:tr w:rsidR="00AE39C8" w:rsidRPr="002069F9" w14:paraId="69B8D1A5" w14:textId="77777777" w:rsidTr="001E1B12">
        <w:tc>
          <w:tcPr>
            <w:tcW w:w="590" w:type="dxa"/>
            <w:vAlign w:val="center"/>
          </w:tcPr>
          <w:p w14:paraId="212FDCDF" w14:textId="1935F15C" w:rsidR="00AD28AE" w:rsidRPr="002069F9" w:rsidRDefault="00AC7D4E" w:rsidP="00AD28AE">
            <w:pPr>
              <w:rPr>
                <w:sz w:val="28"/>
                <w:szCs w:val="28"/>
              </w:rPr>
            </w:pPr>
            <w:r w:rsidRPr="002069F9">
              <w:rPr>
                <w:sz w:val="28"/>
                <w:szCs w:val="28"/>
              </w:rPr>
              <w:lastRenderedPageBreak/>
              <w:t>9</w:t>
            </w:r>
          </w:p>
        </w:tc>
        <w:tc>
          <w:tcPr>
            <w:tcW w:w="4952" w:type="dxa"/>
            <w:vAlign w:val="center"/>
          </w:tcPr>
          <w:p w14:paraId="443925B0" w14:textId="553CB415" w:rsidR="00AD28AE" w:rsidRPr="002069F9" w:rsidRDefault="00CC4BB1" w:rsidP="00AD28AE">
            <w:pPr>
              <w:tabs>
                <w:tab w:val="left" w:pos="0"/>
              </w:tabs>
              <w:spacing w:before="120"/>
              <w:jc w:val="both"/>
              <w:rPr>
                <w:sz w:val="28"/>
                <w:szCs w:val="28"/>
              </w:rPr>
            </w:pPr>
            <w:r w:rsidRPr="002069F9">
              <w:rPr>
                <w:sz w:val="28"/>
                <w:szCs w:val="28"/>
              </w:rPr>
              <w:t>Điều 13. Xung đột thẩm quyền và định giá tang vật: Quy định thành lập Hội đồng định giá liên ngành khi có tranh chấp.</w:t>
            </w:r>
          </w:p>
        </w:tc>
        <w:tc>
          <w:tcPr>
            <w:tcW w:w="3961" w:type="dxa"/>
            <w:vAlign w:val="center"/>
          </w:tcPr>
          <w:p w14:paraId="5F67A023" w14:textId="45E7EDE4" w:rsidR="00AD28AE" w:rsidRPr="002069F9" w:rsidRDefault="00CC4BB1" w:rsidP="00AD28AE">
            <w:pPr>
              <w:jc w:val="both"/>
              <w:rPr>
                <w:sz w:val="28"/>
                <w:szCs w:val="28"/>
              </w:rPr>
            </w:pPr>
            <w:r w:rsidRPr="002069F9">
              <w:rPr>
                <w:sz w:val="28"/>
                <w:szCs w:val="28"/>
              </w:rPr>
              <w:t xml:space="preserve">Điều 13. Phối hợp giải quyết xung đột thẩm quyền/chồng chéo: </w:t>
            </w:r>
            <w:r w:rsidR="00AC7D4E" w:rsidRPr="002069F9">
              <w:rPr>
                <w:sz w:val="28"/>
                <w:szCs w:val="28"/>
              </w:rPr>
              <w:t>Áp dụng nguyên tắc cơ quan nào thụ lý trước thì giải quyết; người xử lý vụ việc tự xác định giá trị tang vật. Sở KH&amp;CN thành lập Hội đồng tư vấn chuyên môn khi có vướng mắc.</w:t>
            </w:r>
          </w:p>
        </w:tc>
        <w:tc>
          <w:tcPr>
            <w:tcW w:w="5057" w:type="dxa"/>
            <w:vAlign w:val="center"/>
          </w:tcPr>
          <w:p w14:paraId="25773855" w14:textId="39112685" w:rsidR="006016CF" w:rsidRPr="002069F9" w:rsidRDefault="00AC7D4E" w:rsidP="006016CF">
            <w:pPr>
              <w:jc w:val="both"/>
              <w:rPr>
                <w:sz w:val="28"/>
                <w:szCs w:val="28"/>
                <w:lang w:val="vi-VN"/>
              </w:rPr>
            </w:pPr>
            <w:r w:rsidRPr="002069F9">
              <w:rPr>
                <w:sz w:val="28"/>
                <w:szCs w:val="28"/>
              </w:rPr>
              <w:t>Bỏ Hội đồng định giá liên ngành để đúng Luật Xử lý vi phạm hành chính. Giữ lại Hội đồng tư vấn chuyên môn của Sở KH&amp;CN để hỗ trợ cho ý kiến đối với các vụ việc phức tạp.</w:t>
            </w:r>
          </w:p>
        </w:tc>
      </w:tr>
      <w:tr w:rsidR="00CC4BB1" w:rsidRPr="00AE39C8" w14:paraId="5ED5F1F5" w14:textId="77777777" w:rsidTr="001E1B12">
        <w:tc>
          <w:tcPr>
            <w:tcW w:w="590" w:type="dxa"/>
            <w:vAlign w:val="center"/>
          </w:tcPr>
          <w:p w14:paraId="1E5AA222" w14:textId="4E6F5A62" w:rsidR="00CC4BB1" w:rsidRPr="002069F9" w:rsidRDefault="00CC4BB1" w:rsidP="00CC4BB1">
            <w:pPr>
              <w:rPr>
                <w:sz w:val="28"/>
                <w:szCs w:val="28"/>
              </w:rPr>
            </w:pPr>
            <w:r w:rsidRPr="002069F9">
              <w:rPr>
                <w:sz w:val="28"/>
                <w:szCs w:val="28"/>
              </w:rPr>
              <w:t>1</w:t>
            </w:r>
            <w:r w:rsidR="00AC7D4E" w:rsidRPr="002069F9">
              <w:rPr>
                <w:sz w:val="28"/>
                <w:szCs w:val="28"/>
              </w:rPr>
              <w:t>0</w:t>
            </w:r>
          </w:p>
        </w:tc>
        <w:tc>
          <w:tcPr>
            <w:tcW w:w="4952" w:type="dxa"/>
            <w:vAlign w:val="center"/>
          </w:tcPr>
          <w:p w14:paraId="160AC6CC" w14:textId="365E1DE9" w:rsidR="00CC4BB1" w:rsidRPr="002069F9" w:rsidRDefault="00CC4BB1" w:rsidP="00CC4BB1">
            <w:pPr>
              <w:tabs>
                <w:tab w:val="left" w:pos="0"/>
              </w:tabs>
              <w:spacing w:before="120"/>
              <w:jc w:val="both"/>
              <w:rPr>
                <w:sz w:val="28"/>
                <w:szCs w:val="28"/>
              </w:rPr>
            </w:pPr>
            <w:r w:rsidRPr="002069F9">
              <w:rPr>
                <w:sz w:val="28"/>
                <w:szCs w:val="28"/>
              </w:rPr>
              <w:t>Điều 14. Chế độ thông tin, báo cáo: Thời điểm chốt số liệu vào ngày 10/12; thời hạn gửi báo cáo trước ngày 15/12 hàng năm.</w:t>
            </w:r>
          </w:p>
        </w:tc>
        <w:tc>
          <w:tcPr>
            <w:tcW w:w="3961" w:type="dxa"/>
            <w:vAlign w:val="center"/>
          </w:tcPr>
          <w:p w14:paraId="36794EC9" w14:textId="238558DD" w:rsidR="00CC4BB1" w:rsidRPr="002069F9" w:rsidRDefault="00CC4BB1" w:rsidP="00CC4BB1">
            <w:pPr>
              <w:jc w:val="both"/>
              <w:rPr>
                <w:sz w:val="28"/>
                <w:szCs w:val="28"/>
              </w:rPr>
            </w:pPr>
            <w:r w:rsidRPr="002069F9">
              <w:rPr>
                <w:sz w:val="28"/>
                <w:szCs w:val="28"/>
              </w:rPr>
              <w:t>Điều 14. Chế độ thông tin, báo cáo: Chốt số liệu từ 15/12 năm trước đến 14/12 năm báo cáo; cơ quan gửi báo cáo về Sở KH&amp;CN trước ngày 25/12; Sở KH&amp;CN tổng hợp trình UBND TP và Bộ KH&amp;CN trước ngày 10/01 năm kế tiếp.</w:t>
            </w:r>
          </w:p>
        </w:tc>
        <w:tc>
          <w:tcPr>
            <w:tcW w:w="5057" w:type="dxa"/>
            <w:vAlign w:val="center"/>
          </w:tcPr>
          <w:p w14:paraId="66D04437" w14:textId="44DB7FB2" w:rsidR="00CC4BB1" w:rsidRPr="004975EF" w:rsidRDefault="00CC4BB1" w:rsidP="00CC4BB1">
            <w:pPr>
              <w:jc w:val="both"/>
              <w:rPr>
                <w:sz w:val="28"/>
                <w:szCs w:val="28"/>
              </w:rPr>
            </w:pPr>
            <w:r w:rsidRPr="002069F9">
              <w:rPr>
                <w:sz w:val="28"/>
                <w:szCs w:val="28"/>
              </w:rPr>
              <w:t>Theo quy định tại Điều 12 Nghị định số 09/2019/NĐ-CP ngày 24/01/2019 của Chính phủ Quy định về chế độ báo cáo của cơ quan hành chính nhà nước</w:t>
            </w:r>
          </w:p>
        </w:tc>
      </w:tr>
    </w:tbl>
    <w:p w14:paraId="222F3D83" w14:textId="77777777" w:rsidR="00DF3DC8" w:rsidRPr="00AE39C8" w:rsidRDefault="00DF3DC8" w:rsidP="000B3F5A">
      <w:pPr>
        <w:jc w:val="both"/>
        <w:rPr>
          <w:b/>
          <w:bCs/>
          <w:sz w:val="28"/>
          <w:szCs w:val="28"/>
          <w:lang w:val="vi-VN"/>
        </w:rPr>
      </w:pPr>
    </w:p>
    <w:sectPr w:rsidR="00DF3DC8" w:rsidRPr="00AE39C8" w:rsidSect="00105C2B">
      <w:headerReference w:type="default" r:id="rId6"/>
      <w:pgSz w:w="16838" w:h="11906" w:orient="landscape" w:code="9"/>
      <w:pgMar w:top="1134" w:right="1134" w:bottom="851"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3C0622" w14:textId="77777777" w:rsidR="008C5AEA" w:rsidRDefault="008C5AEA" w:rsidP="00105C2B">
      <w:r>
        <w:separator/>
      </w:r>
    </w:p>
  </w:endnote>
  <w:endnote w:type="continuationSeparator" w:id="0">
    <w:p w14:paraId="0821A64D" w14:textId="77777777" w:rsidR="008C5AEA" w:rsidRDefault="008C5AEA" w:rsidP="00105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982F8F" w14:textId="77777777" w:rsidR="008C5AEA" w:rsidRDefault="008C5AEA" w:rsidP="00105C2B">
      <w:r>
        <w:separator/>
      </w:r>
    </w:p>
  </w:footnote>
  <w:footnote w:type="continuationSeparator" w:id="0">
    <w:p w14:paraId="440E8EF2" w14:textId="77777777" w:rsidR="008C5AEA" w:rsidRDefault="008C5AEA" w:rsidP="00105C2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02842"/>
      <w:docPartObj>
        <w:docPartGallery w:val="Page Numbers (Top of Page)"/>
        <w:docPartUnique/>
      </w:docPartObj>
    </w:sdtPr>
    <w:sdtEndPr>
      <w:rPr>
        <w:noProof/>
      </w:rPr>
    </w:sdtEndPr>
    <w:sdtContent>
      <w:p w14:paraId="72FCA02B" w14:textId="51624CAF" w:rsidR="00105C2B" w:rsidRDefault="00105C2B">
        <w:pPr>
          <w:pStyle w:val="Header"/>
        </w:pPr>
        <w:r>
          <w:fldChar w:fldCharType="begin"/>
        </w:r>
        <w:r>
          <w:instrText xml:space="preserve"> PAGE   \* MERGEFORMAT </w:instrText>
        </w:r>
        <w:r>
          <w:fldChar w:fldCharType="separate"/>
        </w:r>
        <w:r>
          <w:rPr>
            <w:noProof/>
          </w:rPr>
          <w:t>2</w:t>
        </w:r>
        <w:r>
          <w:rPr>
            <w:noProof/>
          </w:rPr>
          <w:fldChar w:fldCharType="end"/>
        </w:r>
      </w:p>
    </w:sdtContent>
  </w:sdt>
  <w:p w14:paraId="430A48A2" w14:textId="77777777" w:rsidR="00105C2B" w:rsidRDefault="00105C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DC8"/>
    <w:rsid w:val="00047BA3"/>
    <w:rsid w:val="00047D94"/>
    <w:rsid w:val="00050A0D"/>
    <w:rsid w:val="000B3F5A"/>
    <w:rsid w:val="000C535D"/>
    <w:rsid w:val="00105C2B"/>
    <w:rsid w:val="0018666E"/>
    <w:rsid w:val="001B2210"/>
    <w:rsid w:val="001B273A"/>
    <w:rsid w:val="001E1B12"/>
    <w:rsid w:val="001E5EBA"/>
    <w:rsid w:val="002066B4"/>
    <w:rsid w:val="002069F9"/>
    <w:rsid w:val="00220E2D"/>
    <w:rsid w:val="002471B1"/>
    <w:rsid w:val="002853AD"/>
    <w:rsid w:val="002920C1"/>
    <w:rsid w:val="00292516"/>
    <w:rsid w:val="00293CF9"/>
    <w:rsid w:val="002940C9"/>
    <w:rsid w:val="002E44FF"/>
    <w:rsid w:val="0030139F"/>
    <w:rsid w:val="00317AFD"/>
    <w:rsid w:val="00356C6C"/>
    <w:rsid w:val="003624E7"/>
    <w:rsid w:val="00481B8C"/>
    <w:rsid w:val="004975EF"/>
    <w:rsid w:val="00507DD9"/>
    <w:rsid w:val="00553620"/>
    <w:rsid w:val="00583FB1"/>
    <w:rsid w:val="005C3192"/>
    <w:rsid w:val="005D1167"/>
    <w:rsid w:val="005E2949"/>
    <w:rsid w:val="006016CF"/>
    <w:rsid w:val="0061648E"/>
    <w:rsid w:val="006203F6"/>
    <w:rsid w:val="00624C63"/>
    <w:rsid w:val="00643653"/>
    <w:rsid w:val="00673304"/>
    <w:rsid w:val="00762A5C"/>
    <w:rsid w:val="007B0758"/>
    <w:rsid w:val="008276D3"/>
    <w:rsid w:val="00866A22"/>
    <w:rsid w:val="0089132F"/>
    <w:rsid w:val="008A35F2"/>
    <w:rsid w:val="008C5AEA"/>
    <w:rsid w:val="008C708C"/>
    <w:rsid w:val="008C7E4D"/>
    <w:rsid w:val="0090757C"/>
    <w:rsid w:val="00955C21"/>
    <w:rsid w:val="0095647A"/>
    <w:rsid w:val="00966186"/>
    <w:rsid w:val="0097270D"/>
    <w:rsid w:val="00986452"/>
    <w:rsid w:val="009B5E0E"/>
    <w:rsid w:val="009C1500"/>
    <w:rsid w:val="009D6873"/>
    <w:rsid w:val="00A5587D"/>
    <w:rsid w:val="00A56F73"/>
    <w:rsid w:val="00AA00C6"/>
    <w:rsid w:val="00AB41B8"/>
    <w:rsid w:val="00AB554C"/>
    <w:rsid w:val="00AC7D4E"/>
    <w:rsid w:val="00AD28AE"/>
    <w:rsid w:val="00AE39C8"/>
    <w:rsid w:val="00B66369"/>
    <w:rsid w:val="00B839FE"/>
    <w:rsid w:val="00BB76FC"/>
    <w:rsid w:val="00C87D02"/>
    <w:rsid w:val="00CC3EF9"/>
    <w:rsid w:val="00CC4BB1"/>
    <w:rsid w:val="00D044B5"/>
    <w:rsid w:val="00D07C93"/>
    <w:rsid w:val="00D13BA6"/>
    <w:rsid w:val="00D30DF9"/>
    <w:rsid w:val="00D844FB"/>
    <w:rsid w:val="00DA7991"/>
    <w:rsid w:val="00DF3DC8"/>
    <w:rsid w:val="00E46B54"/>
    <w:rsid w:val="00E53B4F"/>
    <w:rsid w:val="00E574A7"/>
    <w:rsid w:val="00E81154"/>
    <w:rsid w:val="00EF2D01"/>
    <w:rsid w:val="00FB17EC"/>
    <w:rsid w:val="00FF22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1667A"/>
  <w15:chartTrackingRefBased/>
  <w15:docId w15:val="{751427B9-5785-4522-87E3-6A7B7BEE8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3DC8"/>
    <w:pPr>
      <w:spacing w:after="0" w:line="240" w:lineRule="auto"/>
      <w:jc w:val="center"/>
    </w:pPr>
    <w:rPr>
      <w:rFonts w:ascii="Times New Roman" w:eastAsia="Calibri" w:hAnsi="Times New Roman" w:cs="Times New Roman"/>
      <w:szCs w:val="22"/>
      <w14:ligatures w14:val="none"/>
    </w:rPr>
  </w:style>
  <w:style w:type="paragraph" w:styleId="Heading1">
    <w:name w:val="heading 1"/>
    <w:basedOn w:val="Normal"/>
    <w:next w:val="Normal"/>
    <w:link w:val="Heading1Char"/>
    <w:uiPriority w:val="9"/>
    <w:qFormat/>
    <w:rsid w:val="00DF3D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F3D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F3D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F3D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F3D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F3DC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3D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3D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3D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D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F3D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F3D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F3D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F3D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F3D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3D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3D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3DC8"/>
    <w:rPr>
      <w:rFonts w:eastAsiaTheme="majorEastAsia" w:cstheme="majorBidi"/>
      <w:color w:val="272727" w:themeColor="text1" w:themeTint="D8"/>
    </w:rPr>
  </w:style>
  <w:style w:type="paragraph" w:styleId="Title">
    <w:name w:val="Title"/>
    <w:basedOn w:val="Normal"/>
    <w:next w:val="Normal"/>
    <w:link w:val="TitleChar"/>
    <w:uiPriority w:val="10"/>
    <w:qFormat/>
    <w:rsid w:val="00DF3DC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3D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3D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3D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3DC8"/>
    <w:pPr>
      <w:spacing w:before="160"/>
    </w:pPr>
    <w:rPr>
      <w:i/>
      <w:iCs/>
      <w:color w:val="404040" w:themeColor="text1" w:themeTint="BF"/>
    </w:rPr>
  </w:style>
  <w:style w:type="character" w:customStyle="1" w:styleId="QuoteChar">
    <w:name w:val="Quote Char"/>
    <w:basedOn w:val="DefaultParagraphFont"/>
    <w:link w:val="Quote"/>
    <w:uiPriority w:val="29"/>
    <w:rsid w:val="00DF3DC8"/>
    <w:rPr>
      <w:i/>
      <w:iCs/>
      <w:color w:val="404040" w:themeColor="text1" w:themeTint="BF"/>
    </w:rPr>
  </w:style>
  <w:style w:type="paragraph" w:styleId="ListParagraph">
    <w:name w:val="List Paragraph"/>
    <w:basedOn w:val="Normal"/>
    <w:uiPriority w:val="34"/>
    <w:qFormat/>
    <w:rsid w:val="00DF3DC8"/>
    <w:pPr>
      <w:ind w:left="720"/>
      <w:contextualSpacing/>
    </w:pPr>
  </w:style>
  <w:style w:type="character" w:styleId="IntenseEmphasis">
    <w:name w:val="Intense Emphasis"/>
    <w:basedOn w:val="DefaultParagraphFont"/>
    <w:uiPriority w:val="21"/>
    <w:qFormat/>
    <w:rsid w:val="00DF3DC8"/>
    <w:rPr>
      <w:i/>
      <w:iCs/>
      <w:color w:val="2F5496" w:themeColor="accent1" w:themeShade="BF"/>
    </w:rPr>
  </w:style>
  <w:style w:type="paragraph" w:styleId="IntenseQuote">
    <w:name w:val="Intense Quote"/>
    <w:basedOn w:val="Normal"/>
    <w:next w:val="Normal"/>
    <w:link w:val="IntenseQuoteChar"/>
    <w:uiPriority w:val="30"/>
    <w:qFormat/>
    <w:rsid w:val="00DF3DC8"/>
    <w:pPr>
      <w:pBdr>
        <w:top w:val="single" w:sz="4" w:space="10" w:color="2F5496" w:themeColor="accent1" w:themeShade="BF"/>
        <w:bottom w:val="single" w:sz="4" w:space="10" w:color="2F5496" w:themeColor="accent1" w:themeShade="BF"/>
      </w:pBdr>
      <w:spacing w:before="360" w:after="360"/>
      <w:ind w:left="864" w:right="864"/>
    </w:pPr>
    <w:rPr>
      <w:i/>
      <w:iCs/>
      <w:color w:val="2F5496" w:themeColor="accent1" w:themeShade="BF"/>
    </w:rPr>
  </w:style>
  <w:style w:type="character" w:customStyle="1" w:styleId="IntenseQuoteChar">
    <w:name w:val="Intense Quote Char"/>
    <w:basedOn w:val="DefaultParagraphFont"/>
    <w:link w:val="IntenseQuote"/>
    <w:uiPriority w:val="30"/>
    <w:rsid w:val="00DF3DC8"/>
    <w:rPr>
      <w:i/>
      <w:iCs/>
      <w:color w:val="2F5496" w:themeColor="accent1" w:themeShade="BF"/>
    </w:rPr>
  </w:style>
  <w:style w:type="character" w:styleId="IntenseReference">
    <w:name w:val="Intense Reference"/>
    <w:basedOn w:val="DefaultParagraphFont"/>
    <w:uiPriority w:val="32"/>
    <w:qFormat/>
    <w:rsid w:val="00DF3DC8"/>
    <w:rPr>
      <w:b/>
      <w:bCs/>
      <w:smallCaps/>
      <w:color w:val="2F5496" w:themeColor="accent1" w:themeShade="BF"/>
      <w:spacing w:val="5"/>
    </w:rPr>
  </w:style>
  <w:style w:type="table" w:styleId="TableGrid">
    <w:name w:val="Table Grid"/>
    <w:basedOn w:val="TableNormal"/>
    <w:uiPriority w:val="39"/>
    <w:rsid w:val="00DF3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5C2B"/>
    <w:pPr>
      <w:tabs>
        <w:tab w:val="center" w:pos="4680"/>
        <w:tab w:val="right" w:pos="9360"/>
      </w:tabs>
    </w:pPr>
  </w:style>
  <w:style w:type="character" w:customStyle="1" w:styleId="HeaderChar">
    <w:name w:val="Header Char"/>
    <w:basedOn w:val="DefaultParagraphFont"/>
    <w:link w:val="Header"/>
    <w:uiPriority w:val="99"/>
    <w:rsid w:val="00105C2B"/>
    <w:rPr>
      <w:rFonts w:ascii="Times New Roman" w:eastAsia="Calibri" w:hAnsi="Times New Roman" w:cs="Times New Roman"/>
      <w:szCs w:val="22"/>
      <w14:ligatures w14:val="none"/>
    </w:rPr>
  </w:style>
  <w:style w:type="paragraph" w:styleId="Footer">
    <w:name w:val="footer"/>
    <w:basedOn w:val="Normal"/>
    <w:link w:val="FooterChar"/>
    <w:uiPriority w:val="99"/>
    <w:unhideWhenUsed/>
    <w:rsid w:val="00105C2B"/>
    <w:pPr>
      <w:tabs>
        <w:tab w:val="center" w:pos="4680"/>
        <w:tab w:val="right" w:pos="9360"/>
      </w:tabs>
    </w:pPr>
  </w:style>
  <w:style w:type="character" w:customStyle="1" w:styleId="FooterChar">
    <w:name w:val="Footer Char"/>
    <w:basedOn w:val="DefaultParagraphFont"/>
    <w:link w:val="Footer"/>
    <w:uiPriority w:val="99"/>
    <w:rsid w:val="00105C2B"/>
    <w:rPr>
      <w:rFonts w:ascii="Times New Roman" w:eastAsia="Calibri" w:hAnsi="Times New Roman" w:cs="Times New Roman"/>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410</TotalTime>
  <Pages>3</Pages>
  <Words>782</Words>
  <Characters>4461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hp.skhcn36</dc:creator>
  <cp:keywords/>
  <dc:description/>
  <cp:lastModifiedBy>Admin</cp:lastModifiedBy>
  <cp:revision>26</cp:revision>
  <cp:lastPrinted>2026-07-15T02:19:00Z</cp:lastPrinted>
  <dcterms:created xsi:type="dcterms:W3CDTF">2026-03-11T08:29:00Z</dcterms:created>
  <dcterms:modified xsi:type="dcterms:W3CDTF">2026-08-05T05:40:00Z</dcterms:modified>
</cp:coreProperties>
</file>