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4E67" w14:textId="77777777" w:rsidR="00EE15CE" w:rsidRPr="004E56A3" w:rsidRDefault="006C0DD1" w:rsidP="00D433F2">
      <w:pPr>
        <w:tabs>
          <w:tab w:val="center" w:pos="2551"/>
          <w:tab w:val="center" w:pos="9781"/>
        </w:tabs>
        <w:rPr>
          <w:sz w:val="28"/>
          <w:szCs w:val="28"/>
        </w:rPr>
      </w:pPr>
      <w:r w:rsidRPr="00BC2D1B">
        <w:tab/>
      </w:r>
      <w:r w:rsidRPr="004E56A3">
        <w:rPr>
          <w:rFonts w:eastAsia="Times New Roman"/>
          <w:sz w:val="28"/>
          <w:szCs w:val="28"/>
        </w:rPr>
        <w:t xml:space="preserve">UBND </w:t>
      </w:r>
      <w:r w:rsidR="00FF4AF1" w:rsidRPr="004E56A3">
        <w:rPr>
          <w:rFonts w:eastAsia="Times New Roman"/>
          <w:sz w:val="28"/>
          <w:szCs w:val="28"/>
        </w:rPr>
        <w:t>THÀNH PHỐ HẢI PHÒNG</w:t>
      </w:r>
      <w:r w:rsidRPr="004E56A3">
        <w:rPr>
          <w:rFonts w:eastAsia="Times New Roman"/>
          <w:sz w:val="28"/>
          <w:szCs w:val="28"/>
        </w:rPr>
        <w:tab/>
      </w:r>
      <w:r w:rsidRPr="004E56A3">
        <w:rPr>
          <w:rFonts w:eastAsia="Times New Roman"/>
          <w:b/>
          <w:sz w:val="28"/>
          <w:szCs w:val="28"/>
        </w:rPr>
        <w:t xml:space="preserve">CỘNG HÒA XÃ HỘI CHỦ NGHĨA VIỆT NAM </w:t>
      </w:r>
    </w:p>
    <w:p w14:paraId="0C46AAE0" w14:textId="25AC268C" w:rsidR="00EE15CE" w:rsidRPr="004E56A3" w:rsidRDefault="006C0DD1" w:rsidP="00D433F2">
      <w:pPr>
        <w:tabs>
          <w:tab w:val="center" w:pos="2550"/>
          <w:tab w:val="center" w:pos="9783"/>
        </w:tabs>
        <w:rPr>
          <w:sz w:val="28"/>
          <w:szCs w:val="28"/>
        </w:rPr>
      </w:pPr>
      <w:r w:rsidRPr="004E56A3">
        <w:rPr>
          <w:sz w:val="28"/>
          <w:szCs w:val="28"/>
        </w:rPr>
        <w:tab/>
      </w:r>
      <w:r w:rsidR="00D0145C">
        <w:rPr>
          <w:rFonts w:eastAsia="Times New Roman"/>
          <w:b/>
          <w:sz w:val="28"/>
          <w:szCs w:val="28"/>
        </w:rPr>
        <w:t>KHOA HỌC VÀ CÔNG NGHỆ</w:t>
      </w:r>
      <w:r w:rsidRPr="004E56A3">
        <w:rPr>
          <w:rFonts w:eastAsia="Times New Roman"/>
          <w:b/>
          <w:sz w:val="28"/>
          <w:szCs w:val="28"/>
        </w:rPr>
        <w:tab/>
        <w:t xml:space="preserve">Độc lập - Tự do - Hạnh phúc </w:t>
      </w:r>
    </w:p>
    <w:p w14:paraId="0E1604C2" w14:textId="77777777" w:rsidR="00EE15CE" w:rsidRPr="004E56A3" w:rsidRDefault="00476D33">
      <w:pPr>
        <w:tabs>
          <w:tab w:val="center" w:pos="2527"/>
          <w:tab w:val="center" w:pos="9806"/>
        </w:tabs>
        <w:spacing w:after="3"/>
        <w:rPr>
          <w:sz w:val="28"/>
          <w:szCs w:val="28"/>
        </w:rPr>
      </w:pPr>
      <w:r w:rsidRPr="004E56A3">
        <w:rPr>
          <w:noProof/>
          <w:sz w:val="28"/>
          <w:szCs w:val="28"/>
        </w:rPr>
        <mc:AlternateContent>
          <mc:Choice Requires="wps">
            <w:drawing>
              <wp:anchor distT="0" distB="0" distL="114300" distR="114300" simplePos="0" relativeHeight="251659264" behindDoc="0" locked="0" layoutInCell="1" allowOverlap="1" wp14:anchorId="1BDF5A03" wp14:editId="628CED05">
                <wp:simplePos x="0" y="0"/>
                <wp:positionH relativeFrom="column">
                  <wp:posOffset>5165725</wp:posOffset>
                </wp:positionH>
                <wp:positionV relativeFrom="paragraph">
                  <wp:posOffset>11734</wp:posOffset>
                </wp:positionV>
                <wp:extent cx="214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7D3D09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75pt,.9pt" to="57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" strokecolor="black [3200]" strokeweight=".5pt">
                <v:stroke joinstyle="miter"/>
              </v:line>
            </w:pict>
          </mc:Fallback>
        </mc:AlternateContent>
      </w:r>
      <w:r w:rsidRPr="004E56A3">
        <w:rPr>
          <w:noProof/>
          <w:sz w:val="28"/>
          <w:szCs w:val="28"/>
        </w:rPr>
        <mc:AlternateContent>
          <mc:Choice Requires="wps">
            <w:drawing>
              <wp:anchor distT="0" distB="0" distL="114300" distR="114300" simplePos="0" relativeHeight="251660288" behindDoc="0" locked="0" layoutInCell="1" allowOverlap="1" wp14:anchorId="536DC10A" wp14:editId="34938FE0">
                <wp:simplePos x="0" y="0"/>
                <wp:positionH relativeFrom="column">
                  <wp:posOffset>915641</wp:posOffset>
                </wp:positionH>
                <wp:positionV relativeFrom="paragraph">
                  <wp:posOffset>24268</wp:posOffset>
                </wp:positionV>
                <wp:extent cx="1232453"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324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6C2322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1pt,1.9pt" to="16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ir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" strokecolor="black [3200]" strokeweight=".5pt">
                <v:stroke joinstyle="miter"/>
              </v:line>
            </w:pict>
          </mc:Fallback>
        </mc:AlternateContent>
      </w:r>
      <w:r w:rsidR="006C0DD1" w:rsidRPr="004E56A3">
        <w:rPr>
          <w:sz w:val="28"/>
          <w:szCs w:val="28"/>
        </w:rPr>
        <w:tab/>
      </w:r>
      <w:r w:rsidR="006C0DD1" w:rsidRPr="004E56A3">
        <w:rPr>
          <w:rFonts w:eastAsia="Times New Roman"/>
          <w:b/>
          <w:sz w:val="28"/>
          <w:szCs w:val="28"/>
        </w:rPr>
        <w:t xml:space="preserve"> </w:t>
      </w:r>
      <w:r w:rsidR="006C0DD1" w:rsidRPr="004E56A3">
        <w:rPr>
          <w:rFonts w:eastAsia="Times New Roman"/>
          <w:b/>
          <w:sz w:val="28"/>
          <w:szCs w:val="28"/>
        </w:rPr>
        <w:tab/>
        <w:t xml:space="preserve"> </w:t>
      </w:r>
    </w:p>
    <w:p w14:paraId="77214B19" w14:textId="3689366B" w:rsidR="00EE15CE" w:rsidRPr="004E56A3" w:rsidRDefault="006C0DD1" w:rsidP="009B58EF">
      <w:pPr>
        <w:tabs>
          <w:tab w:val="center" w:pos="2549"/>
          <w:tab w:val="center" w:pos="9780"/>
        </w:tabs>
        <w:spacing w:after="18"/>
        <w:rPr>
          <w:sz w:val="28"/>
          <w:szCs w:val="28"/>
        </w:rPr>
      </w:pPr>
      <w:r w:rsidRPr="004E56A3">
        <w:rPr>
          <w:sz w:val="28"/>
          <w:szCs w:val="28"/>
        </w:rPr>
        <w:tab/>
      </w:r>
      <w:r w:rsidRPr="004E56A3">
        <w:rPr>
          <w:rFonts w:eastAsia="Times New Roman"/>
          <w:sz w:val="28"/>
          <w:szCs w:val="28"/>
        </w:rPr>
        <w:t xml:space="preserve"> </w:t>
      </w:r>
      <w:r w:rsidRPr="004E56A3">
        <w:rPr>
          <w:rFonts w:eastAsia="Times New Roman"/>
          <w:sz w:val="28"/>
          <w:szCs w:val="28"/>
        </w:rPr>
        <w:tab/>
      </w:r>
      <w:r w:rsidRPr="004E56A3">
        <w:rPr>
          <w:rFonts w:eastAsia="Times New Roman"/>
          <w:i/>
          <w:sz w:val="28"/>
          <w:szCs w:val="28"/>
        </w:rPr>
        <w:t xml:space="preserve">    </w:t>
      </w:r>
      <w:r w:rsidR="00FF4AF1" w:rsidRPr="004E56A3">
        <w:rPr>
          <w:rFonts w:eastAsia="Times New Roman"/>
          <w:i/>
          <w:sz w:val="28"/>
          <w:szCs w:val="28"/>
        </w:rPr>
        <w:t>Hải Phòng</w:t>
      </w:r>
      <w:r w:rsidR="00D34C15" w:rsidRPr="004E56A3">
        <w:rPr>
          <w:rFonts w:eastAsia="Times New Roman"/>
          <w:i/>
          <w:sz w:val="28"/>
          <w:szCs w:val="28"/>
        </w:rPr>
        <w:t xml:space="preserve">, ngày     </w:t>
      </w:r>
      <w:r w:rsidRPr="004E56A3">
        <w:rPr>
          <w:rFonts w:eastAsia="Times New Roman"/>
          <w:i/>
          <w:sz w:val="28"/>
          <w:szCs w:val="28"/>
        </w:rPr>
        <w:t xml:space="preserve">tháng </w:t>
      </w:r>
      <w:r w:rsidR="00332FCE" w:rsidRPr="004E56A3">
        <w:rPr>
          <w:rFonts w:eastAsia="Times New Roman"/>
          <w:i/>
          <w:sz w:val="28"/>
          <w:szCs w:val="28"/>
        </w:rPr>
        <w:t xml:space="preserve">    </w:t>
      </w:r>
      <w:r w:rsidRPr="004E56A3">
        <w:rPr>
          <w:rFonts w:eastAsia="Times New Roman"/>
          <w:i/>
          <w:sz w:val="28"/>
          <w:szCs w:val="28"/>
        </w:rPr>
        <w:t xml:space="preserve"> năm 202</w:t>
      </w:r>
      <w:r w:rsidR="00332FCE" w:rsidRPr="004E56A3">
        <w:rPr>
          <w:rFonts w:eastAsia="Times New Roman"/>
          <w:i/>
          <w:sz w:val="28"/>
          <w:szCs w:val="28"/>
        </w:rPr>
        <w:t>6</w:t>
      </w:r>
      <w:r w:rsidRPr="004E56A3">
        <w:rPr>
          <w:rFonts w:eastAsia="Times New Roman"/>
          <w:b/>
          <w:sz w:val="28"/>
          <w:szCs w:val="28"/>
        </w:rPr>
        <w:t xml:space="preserve"> </w:t>
      </w:r>
    </w:p>
    <w:p w14:paraId="037C9F24" w14:textId="01D96D3C" w:rsidR="009B58EF" w:rsidRDefault="009B58EF" w:rsidP="009B58EF">
      <w:pPr>
        <w:widowControl w:val="0"/>
        <w:autoSpaceDE w:val="0"/>
        <w:autoSpaceDN w:val="0"/>
        <w:adjustRightInd w:val="0"/>
        <w:spacing w:before="240" w:line="440" w:lineRule="atLeast"/>
        <w:jc w:val="center"/>
        <w:rPr>
          <w:rFonts w:eastAsia="Times New Roman"/>
          <w:b/>
          <w:sz w:val="28"/>
        </w:rPr>
      </w:pPr>
      <w:r>
        <w:rPr>
          <w:rFonts w:eastAsia="Times New Roman"/>
          <w:b/>
          <w:sz w:val="28"/>
        </w:rPr>
        <w:t>PHỤ LỤC</w:t>
      </w:r>
    </w:p>
    <w:p w14:paraId="188D19D5" w14:textId="77777777" w:rsidR="009B58EF" w:rsidRDefault="009B58EF" w:rsidP="009B58EF">
      <w:pPr>
        <w:widowControl w:val="0"/>
        <w:autoSpaceDE w:val="0"/>
        <w:autoSpaceDN w:val="0"/>
        <w:adjustRightInd w:val="0"/>
        <w:jc w:val="center"/>
        <w:rPr>
          <w:b/>
          <w:sz w:val="28"/>
          <w:szCs w:val="28"/>
        </w:rPr>
      </w:pPr>
      <w:r w:rsidRPr="009B58EF">
        <w:rPr>
          <w:b/>
          <w:sz w:val="28"/>
          <w:szCs w:val="28"/>
        </w:rPr>
        <w:t xml:space="preserve">Rà soát các chủ trương, đường lối của Đảng, văn bản quy phạm pháp luật có liên quan đến </w:t>
      </w:r>
    </w:p>
    <w:p w14:paraId="1A0E5D35" w14:textId="585A5EEA" w:rsidR="00EE15CE" w:rsidRPr="009B58EF" w:rsidRDefault="00D0145C" w:rsidP="009B58EF">
      <w:pPr>
        <w:jc w:val="center"/>
        <w:rPr>
          <w:b/>
          <w:bCs/>
          <w:sz w:val="28"/>
          <w:szCs w:val="28"/>
          <w:lang w:val="nl-NL"/>
        </w:rPr>
      </w:pPr>
      <w:r w:rsidRPr="00315E4C">
        <w:rPr>
          <w:b/>
          <w:sz w:val="28"/>
          <w:szCs w:val="28"/>
        </w:rPr>
        <w:t>Quyết định Quy định quản lý các chương trình, nhiệm vụ khoa học, công nghệ</w:t>
      </w:r>
      <w:r>
        <w:rPr>
          <w:b/>
          <w:sz w:val="28"/>
          <w:szCs w:val="28"/>
        </w:rPr>
        <w:t xml:space="preserve"> </w:t>
      </w:r>
      <w:r w:rsidRPr="00315E4C">
        <w:rPr>
          <w:b/>
          <w:sz w:val="28"/>
          <w:szCs w:val="28"/>
        </w:rPr>
        <w:t>và</w:t>
      </w:r>
      <w:r>
        <w:rPr>
          <w:b/>
          <w:sz w:val="28"/>
          <w:szCs w:val="28"/>
        </w:rPr>
        <w:t xml:space="preserve"> </w:t>
      </w:r>
      <w:r w:rsidRPr="00315E4C">
        <w:rPr>
          <w:b/>
          <w:sz w:val="28"/>
          <w:szCs w:val="28"/>
        </w:rPr>
        <w:t>đổi mới sáng tạo</w:t>
      </w:r>
      <w:r>
        <w:rPr>
          <w:b/>
          <w:sz w:val="28"/>
          <w:szCs w:val="28"/>
        </w:rPr>
        <w:br/>
      </w:r>
      <w:r w:rsidRPr="00315E4C">
        <w:rPr>
          <w:b/>
          <w:sz w:val="28"/>
          <w:szCs w:val="28"/>
        </w:rPr>
        <w:t>sử dụng ngân sách nhà nước thành phố Hải Phòng</w:t>
      </w:r>
    </w:p>
    <w:p w14:paraId="341A894E" w14:textId="77777777" w:rsidR="00EE15CE" w:rsidRPr="00BC2D1B" w:rsidRDefault="006C0DD1">
      <w:pPr>
        <w:spacing w:after="34"/>
        <w:ind w:left="146"/>
        <w:jc w:val="center"/>
      </w:pPr>
      <w:r w:rsidRPr="00BC2D1B">
        <w:rPr>
          <w:rFonts w:eastAsia="Times New Roman"/>
          <w:b/>
        </w:rPr>
        <w:t xml:space="preserve"> </w:t>
      </w:r>
    </w:p>
    <w:p w14:paraId="117A4CC2" w14:textId="236104DF" w:rsidR="00EE15CE" w:rsidRDefault="009B58EF">
      <w:pPr>
        <w:rPr>
          <w:rFonts w:eastAsia="Times New Roman"/>
          <w:b/>
          <w:sz w:val="28"/>
          <w:szCs w:val="28"/>
        </w:rPr>
      </w:pPr>
      <w:r>
        <w:rPr>
          <w:rFonts w:eastAsia="Times New Roman"/>
        </w:rPr>
        <w:tab/>
      </w:r>
      <w:r w:rsidRPr="009B58EF">
        <w:rPr>
          <w:rFonts w:eastAsia="Times New Roman"/>
          <w:b/>
        </w:rPr>
        <w:t>1</w:t>
      </w:r>
      <w:r w:rsidRPr="009B58EF">
        <w:rPr>
          <w:rFonts w:eastAsia="Times New Roman"/>
          <w:b/>
          <w:sz w:val="28"/>
          <w:szCs w:val="28"/>
        </w:rPr>
        <w:t>. Chủ trương, đường lối của Đảng có liên quan đến Dự thảo Quyết định</w:t>
      </w:r>
    </w:p>
    <w:p w14:paraId="17A309D5" w14:textId="77777777" w:rsidR="009B58EF" w:rsidRPr="009B58EF" w:rsidRDefault="009B58EF">
      <w:pPr>
        <w:rPr>
          <w:rFonts w:eastAsia="Times New Roman"/>
          <w:b/>
          <w:sz w:val="28"/>
          <w:szCs w:val="28"/>
        </w:rPr>
      </w:pPr>
    </w:p>
    <w:tbl>
      <w:tblPr>
        <w:tblStyle w:val="TableGrid0"/>
        <w:tblW w:w="14874" w:type="dxa"/>
        <w:tblInd w:w="-704" w:type="dxa"/>
        <w:tblLook w:val="04A0" w:firstRow="1" w:lastRow="0" w:firstColumn="1" w:lastColumn="0" w:noHBand="0" w:noVBand="1"/>
      </w:tblPr>
      <w:tblGrid>
        <w:gridCol w:w="699"/>
        <w:gridCol w:w="2552"/>
        <w:gridCol w:w="7654"/>
        <w:gridCol w:w="1984"/>
        <w:gridCol w:w="1985"/>
      </w:tblGrid>
      <w:tr w:rsidR="00B922DF" w:rsidRPr="00FB7D48" w14:paraId="264D2674" w14:textId="77777777" w:rsidTr="007B19AB">
        <w:trPr>
          <w:trHeight w:val="1018"/>
        </w:trPr>
        <w:tc>
          <w:tcPr>
            <w:tcW w:w="699" w:type="dxa"/>
            <w:vAlign w:val="center"/>
          </w:tcPr>
          <w:p w14:paraId="5A852A9F" w14:textId="28E64F54" w:rsidR="00B922DF" w:rsidRPr="00FB7D48" w:rsidRDefault="00B922DF" w:rsidP="00B922DF">
            <w:pPr>
              <w:jc w:val="center"/>
              <w:rPr>
                <w:rFonts w:eastAsia="Times New Roman"/>
                <w:b/>
                <w:sz w:val="20"/>
                <w:szCs w:val="20"/>
              </w:rPr>
            </w:pPr>
            <w:r w:rsidRPr="00FB7D48">
              <w:rPr>
                <w:rFonts w:eastAsia="Times New Roman"/>
                <w:b/>
                <w:sz w:val="20"/>
                <w:szCs w:val="20"/>
              </w:rPr>
              <w:t>STT</w:t>
            </w:r>
          </w:p>
        </w:tc>
        <w:tc>
          <w:tcPr>
            <w:tcW w:w="2552" w:type="dxa"/>
            <w:vAlign w:val="center"/>
          </w:tcPr>
          <w:p w14:paraId="081F3F17" w14:textId="2CF8A957" w:rsidR="00B922DF" w:rsidRPr="00FB7D48" w:rsidRDefault="00B922DF" w:rsidP="009B58EF">
            <w:pPr>
              <w:jc w:val="center"/>
              <w:rPr>
                <w:rFonts w:eastAsia="Times New Roman"/>
                <w:b/>
                <w:sz w:val="20"/>
                <w:szCs w:val="20"/>
              </w:rPr>
            </w:pPr>
            <w:r w:rsidRPr="00FB7D48">
              <w:rPr>
                <w:rFonts w:eastAsia="Times New Roman"/>
                <w:b/>
                <w:sz w:val="20"/>
                <w:szCs w:val="20"/>
              </w:rPr>
              <w:t>QUY ĐỊNH CỦA DỰ THẢO VĂN BẢN</w:t>
            </w:r>
          </w:p>
        </w:tc>
        <w:tc>
          <w:tcPr>
            <w:tcW w:w="7654" w:type="dxa"/>
            <w:vAlign w:val="center"/>
          </w:tcPr>
          <w:p w14:paraId="31C40B4E" w14:textId="68D87E3A" w:rsidR="00B922DF" w:rsidRPr="00FB7D48" w:rsidRDefault="00B922DF" w:rsidP="009B58EF">
            <w:pPr>
              <w:jc w:val="center"/>
              <w:rPr>
                <w:rFonts w:eastAsia="Times New Roman"/>
                <w:b/>
                <w:sz w:val="20"/>
                <w:szCs w:val="20"/>
              </w:rPr>
            </w:pPr>
            <w:r w:rsidRPr="00FB7D48">
              <w:rPr>
                <w:rFonts w:eastAsia="Times New Roman"/>
                <w:b/>
                <w:sz w:val="20"/>
                <w:szCs w:val="20"/>
              </w:rPr>
              <w:t>CHỦ TRƯƠNG, ĐƯỜNG LỐI CỦA ĐẢNG</w:t>
            </w:r>
          </w:p>
        </w:tc>
        <w:tc>
          <w:tcPr>
            <w:tcW w:w="1984" w:type="dxa"/>
            <w:vAlign w:val="center"/>
          </w:tcPr>
          <w:p w14:paraId="48F280C8" w14:textId="78C16320" w:rsidR="00B922DF" w:rsidRPr="00FB7D48" w:rsidRDefault="00B922DF" w:rsidP="008B5879">
            <w:pPr>
              <w:jc w:val="center"/>
              <w:rPr>
                <w:rFonts w:eastAsia="Times New Roman"/>
                <w:b/>
                <w:sz w:val="20"/>
                <w:szCs w:val="20"/>
              </w:rPr>
            </w:pPr>
            <w:r w:rsidRPr="00FB7D48">
              <w:rPr>
                <w:rFonts w:eastAsia="Times New Roman"/>
                <w:b/>
                <w:sz w:val="20"/>
                <w:szCs w:val="20"/>
              </w:rPr>
              <w:t>ĐÁNH GIÁ</w:t>
            </w:r>
          </w:p>
        </w:tc>
        <w:tc>
          <w:tcPr>
            <w:tcW w:w="1985" w:type="dxa"/>
            <w:vAlign w:val="center"/>
          </w:tcPr>
          <w:p w14:paraId="6CE5CD0F" w14:textId="4D9FFE1F" w:rsidR="00B922DF" w:rsidRPr="00FB7D48" w:rsidRDefault="00B922DF" w:rsidP="008B5879">
            <w:pPr>
              <w:jc w:val="center"/>
              <w:rPr>
                <w:rFonts w:eastAsia="Times New Roman"/>
                <w:b/>
                <w:sz w:val="20"/>
                <w:szCs w:val="20"/>
              </w:rPr>
            </w:pPr>
            <w:r w:rsidRPr="00FB7D48">
              <w:rPr>
                <w:rFonts w:eastAsia="Times New Roman"/>
                <w:b/>
                <w:sz w:val="20"/>
                <w:szCs w:val="20"/>
              </w:rPr>
              <w:t>ĐỀ XUẤT</w:t>
            </w:r>
          </w:p>
          <w:p w14:paraId="1A436382" w14:textId="46F8B0B6" w:rsidR="00B922DF" w:rsidRPr="00FB7D48" w:rsidRDefault="00B922DF" w:rsidP="008B5879">
            <w:pPr>
              <w:jc w:val="center"/>
              <w:rPr>
                <w:rFonts w:eastAsia="Times New Roman"/>
                <w:b/>
                <w:sz w:val="20"/>
                <w:szCs w:val="20"/>
              </w:rPr>
            </w:pPr>
            <w:r w:rsidRPr="00FB7D48">
              <w:rPr>
                <w:rFonts w:eastAsia="Times New Roman"/>
                <w:b/>
                <w:sz w:val="20"/>
                <w:szCs w:val="20"/>
              </w:rPr>
              <w:t>XỬ LÝ</w:t>
            </w:r>
          </w:p>
        </w:tc>
      </w:tr>
      <w:tr w:rsidR="00B922DF" w:rsidRPr="00FB7D48" w14:paraId="50CE796F" w14:textId="77777777" w:rsidTr="007B19AB">
        <w:trPr>
          <w:trHeight w:val="1018"/>
        </w:trPr>
        <w:tc>
          <w:tcPr>
            <w:tcW w:w="699" w:type="dxa"/>
            <w:vAlign w:val="center"/>
          </w:tcPr>
          <w:p w14:paraId="248BF7E6" w14:textId="267E1AD1" w:rsidR="00B922DF" w:rsidRPr="00FB7D48" w:rsidRDefault="00B922DF" w:rsidP="00B922DF">
            <w:pPr>
              <w:jc w:val="center"/>
              <w:rPr>
                <w:color w:val="000000"/>
                <w:sz w:val="20"/>
                <w:szCs w:val="20"/>
              </w:rPr>
            </w:pPr>
            <w:r w:rsidRPr="00FB7D48">
              <w:rPr>
                <w:color w:val="000000"/>
                <w:sz w:val="20"/>
                <w:szCs w:val="20"/>
              </w:rPr>
              <w:t>1</w:t>
            </w:r>
          </w:p>
        </w:tc>
        <w:tc>
          <w:tcPr>
            <w:tcW w:w="2552" w:type="dxa"/>
            <w:vAlign w:val="center"/>
          </w:tcPr>
          <w:p w14:paraId="2F8707BA" w14:textId="42206D84" w:rsidR="00D0145C" w:rsidRPr="00D0145C" w:rsidRDefault="00D0145C" w:rsidP="00D0145C">
            <w:pPr>
              <w:spacing w:before="120" w:after="120"/>
              <w:jc w:val="both"/>
              <w:rPr>
                <w:sz w:val="28"/>
                <w:szCs w:val="28"/>
              </w:rPr>
            </w:pPr>
            <w:r w:rsidRPr="00D0145C">
              <w:rPr>
                <w:sz w:val="28"/>
                <w:szCs w:val="28"/>
                <w:lang w:val="vi-VN"/>
              </w:rPr>
              <w:t xml:space="preserve">Phân cấp thẩm quyền quản lý nhiệm vụ khoa học, công nghệ và đổi mới sáng tạo </w:t>
            </w:r>
            <w:r>
              <w:rPr>
                <w:sz w:val="28"/>
                <w:szCs w:val="28"/>
              </w:rPr>
              <w:t>(Điều 3)</w:t>
            </w:r>
          </w:p>
          <w:p w14:paraId="3F50567A" w14:textId="090C3368" w:rsidR="00B922DF" w:rsidRPr="00FB7D48" w:rsidRDefault="00B922DF" w:rsidP="00705C80">
            <w:pPr>
              <w:jc w:val="center"/>
              <w:rPr>
                <w:rFonts w:eastAsia="Times New Roman"/>
                <w:b/>
                <w:sz w:val="20"/>
                <w:szCs w:val="20"/>
              </w:rPr>
            </w:pPr>
          </w:p>
        </w:tc>
        <w:tc>
          <w:tcPr>
            <w:tcW w:w="7654" w:type="dxa"/>
            <w:vAlign w:val="center"/>
          </w:tcPr>
          <w:p w14:paraId="3036010D" w14:textId="77777777" w:rsidR="00D0145C" w:rsidRPr="00B742E0" w:rsidRDefault="00D0145C" w:rsidP="00D0145C">
            <w:pPr>
              <w:spacing w:before="100" w:line="360" w:lineRule="exact"/>
              <w:ind w:firstLine="567"/>
              <w:jc w:val="both"/>
              <w:rPr>
                <w:i/>
                <w:iCs/>
                <w:sz w:val="28"/>
                <w:szCs w:val="28"/>
              </w:rPr>
            </w:pPr>
            <w:r w:rsidRPr="00B742E0">
              <w:rPr>
                <w:sz w:val="28"/>
                <w:szCs w:val="28"/>
              </w:rPr>
              <w:t xml:space="preserve">- Kết luận số 21/KL/TW ngày 24/1/2025 của Ban Chấp hành Trung ương Đảng khoá XIII về việc tổng kết Nghị quyết số 18-NQ/TW đã đề ra nhiệm vụ </w:t>
            </w:r>
            <w:r w:rsidRPr="00B742E0">
              <w:rPr>
                <w:i/>
                <w:iCs/>
                <w:sz w:val="28"/>
                <w:szCs w:val="28"/>
              </w:rPr>
              <w:t xml:space="preserve">“Tập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w:t>
            </w:r>
            <w:r w:rsidRPr="00B742E0">
              <w:rPr>
                <w:b/>
                <w:bCs/>
                <w:i/>
                <w:iCs/>
                <w:sz w:val="28"/>
                <w:szCs w:val="28"/>
              </w:rPr>
              <w:t>đẩy mạnh</w:t>
            </w:r>
            <w:r w:rsidRPr="00B742E0">
              <w:rPr>
                <w:i/>
                <w:iCs/>
                <w:sz w:val="28"/>
                <w:szCs w:val="28"/>
              </w:rPr>
              <w:t xml:space="preserve"> </w:t>
            </w:r>
            <w:r w:rsidRPr="00B742E0">
              <w:rPr>
                <w:b/>
                <w:bCs/>
                <w:i/>
                <w:iCs/>
                <w:sz w:val="28"/>
                <w:szCs w:val="28"/>
              </w:rPr>
              <w:t xml:space="preserve">phân cấp, phân quyền, </w:t>
            </w:r>
            <w:r w:rsidRPr="00B742E0">
              <w:rPr>
                <w:i/>
                <w:iCs/>
                <w:sz w:val="28"/>
                <w:szCs w:val="28"/>
              </w:rPr>
              <w:t xml:space="preserve">bảo đảm Trung ương tăng cường quản lý vĩ mô, xây dựng thể chế, chiến lược, quy hoạch, kế hoạch đồng bộ, thống nhất, giữ vai trò kiến tạo và tăng cường kiểm tra, </w:t>
            </w:r>
            <w:r w:rsidRPr="00B742E0">
              <w:rPr>
                <w:i/>
                <w:iCs/>
                <w:sz w:val="28"/>
                <w:szCs w:val="28"/>
              </w:rPr>
              <w:lastRenderedPageBreak/>
              <w:t>giám sát, "địa phương quyết, địa phương làm, địa phương chịu trách nhiệm".</w:t>
            </w:r>
          </w:p>
          <w:p w14:paraId="22D32F8F" w14:textId="77777777" w:rsidR="00D0145C" w:rsidRPr="00B742E0" w:rsidRDefault="00D0145C" w:rsidP="00D0145C">
            <w:pPr>
              <w:spacing w:before="100" w:line="360" w:lineRule="exact"/>
              <w:ind w:firstLine="567"/>
              <w:jc w:val="both"/>
              <w:rPr>
                <w:sz w:val="28"/>
                <w:szCs w:val="28"/>
              </w:rPr>
            </w:pPr>
            <w:r w:rsidRPr="00B742E0">
              <w:rPr>
                <w:sz w:val="28"/>
                <w:szCs w:val="28"/>
              </w:rPr>
              <w:t>- Kết luận số 119-KL/TW ngày 20/01/2025 của Bộ Chính trị về định hướng đổi mới, hoàn thiện quy định pháp luật yêu cầu: “</w:t>
            </w:r>
            <w:r w:rsidRPr="00B742E0">
              <w:rPr>
                <w:i/>
                <w:iCs/>
                <w:sz w:val="28"/>
                <w:szCs w:val="28"/>
              </w:rPr>
              <w:t xml:space="preserve">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w:t>
            </w:r>
            <w:r w:rsidRPr="00B742E0">
              <w:rPr>
                <w:b/>
                <w:bCs/>
                <w:i/>
                <w:iCs/>
                <w:sz w:val="28"/>
                <w:szCs w:val="28"/>
              </w:rPr>
              <w:t xml:space="preserve">đẩy mạnh thực hiện chủ trương phân cấp, phân quyền; </w:t>
            </w:r>
            <w:r w:rsidRPr="00B742E0">
              <w:rPr>
                <w:i/>
                <w:iCs/>
                <w:sz w:val="28"/>
                <w:szCs w:val="28"/>
              </w:rPr>
              <w:t>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B742E0">
              <w:rPr>
                <w:sz w:val="28"/>
                <w:szCs w:val="28"/>
              </w:rPr>
              <w:t>”.</w:t>
            </w:r>
          </w:p>
          <w:p w14:paraId="1AD440A4" w14:textId="77777777" w:rsidR="00D0145C" w:rsidRDefault="00D0145C" w:rsidP="00D0145C">
            <w:pPr>
              <w:spacing w:before="100" w:line="360" w:lineRule="exact"/>
              <w:ind w:firstLine="567"/>
              <w:jc w:val="both"/>
              <w:rPr>
                <w:i/>
                <w:iCs/>
                <w:sz w:val="28"/>
                <w:szCs w:val="28"/>
              </w:rPr>
            </w:pPr>
            <w:r w:rsidRPr="00B742E0">
              <w:rPr>
                <w:i/>
                <w:iCs/>
                <w:sz w:val="28"/>
                <w:szCs w:val="28"/>
              </w:rPr>
              <w:t>Nghị quyết số 66-NQ/TW ngày 30/4/2025 về đổi mới công tác xây dựng và thi hành pháp luật đáp ứng yêu cầu phát triển đất nước trong kỷ nguyên mới</w:t>
            </w:r>
            <w:r>
              <w:rPr>
                <w:i/>
                <w:iCs/>
                <w:sz w:val="28"/>
                <w:szCs w:val="28"/>
              </w:rPr>
              <w:t>.</w:t>
            </w:r>
          </w:p>
          <w:p w14:paraId="08125633" w14:textId="77777777" w:rsidR="00B922DF" w:rsidRPr="00FB7D48" w:rsidRDefault="00B922DF" w:rsidP="00EE260B">
            <w:pPr>
              <w:rPr>
                <w:rFonts w:eastAsia="Times New Roman"/>
                <w:b/>
                <w:sz w:val="20"/>
                <w:szCs w:val="20"/>
              </w:rPr>
            </w:pPr>
          </w:p>
        </w:tc>
        <w:tc>
          <w:tcPr>
            <w:tcW w:w="1984" w:type="dxa"/>
            <w:vAlign w:val="center"/>
          </w:tcPr>
          <w:p w14:paraId="428187C4" w14:textId="031EC215" w:rsidR="00B922DF" w:rsidRPr="00FB7D48" w:rsidRDefault="00D0145C" w:rsidP="00705C80">
            <w:pPr>
              <w:jc w:val="both"/>
              <w:rPr>
                <w:rFonts w:eastAsia="Times New Roman"/>
                <w:b/>
                <w:sz w:val="20"/>
                <w:szCs w:val="20"/>
              </w:rPr>
            </w:pPr>
            <w:r>
              <w:rPr>
                <w:spacing w:val="-4"/>
                <w:sz w:val="20"/>
                <w:szCs w:val="20"/>
              </w:rPr>
              <w:lastRenderedPageBreak/>
              <w:t xml:space="preserve">Việc phân cấp </w:t>
            </w:r>
            <w:r w:rsidR="00B922DF" w:rsidRPr="00FB7D48">
              <w:rPr>
                <w:spacing w:val="-4"/>
                <w:sz w:val="20"/>
                <w:szCs w:val="20"/>
              </w:rPr>
              <w:t>phù hợp với chủ trương, đường lối của Đảng</w:t>
            </w:r>
          </w:p>
        </w:tc>
        <w:tc>
          <w:tcPr>
            <w:tcW w:w="1985" w:type="dxa"/>
            <w:vAlign w:val="center"/>
          </w:tcPr>
          <w:p w14:paraId="7E424E9B" w14:textId="5B30AF76" w:rsidR="00B922DF" w:rsidRPr="00FB7D48" w:rsidRDefault="00B922DF" w:rsidP="00705C80">
            <w:pPr>
              <w:jc w:val="both"/>
              <w:rPr>
                <w:rFonts w:eastAsia="Times New Roman"/>
                <w:b/>
                <w:sz w:val="20"/>
                <w:szCs w:val="20"/>
              </w:rPr>
            </w:pPr>
            <w:r w:rsidRPr="00FB7D48">
              <w:rPr>
                <w:spacing w:val="-4"/>
                <w:sz w:val="20"/>
                <w:szCs w:val="20"/>
              </w:rPr>
              <w:t>Không đề xuất phương án xử lý.</w:t>
            </w:r>
          </w:p>
        </w:tc>
      </w:tr>
      <w:tr w:rsidR="00BD6D4F" w:rsidRPr="00FB7D48" w14:paraId="2F66093E" w14:textId="77777777" w:rsidTr="007B19AB">
        <w:trPr>
          <w:trHeight w:val="1018"/>
        </w:trPr>
        <w:tc>
          <w:tcPr>
            <w:tcW w:w="699" w:type="dxa"/>
            <w:vAlign w:val="center"/>
          </w:tcPr>
          <w:p w14:paraId="507B7CE8" w14:textId="48B347FB" w:rsidR="00BD6D4F" w:rsidRPr="00FB7D48" w:rsidRDefault="00BD6D4F" w:rsidP="00EE260B">
            <w:pPr>
              <w:jc w:val="center"/>
              <w:rPr>
                <w:color w:val="000000"/>
                <w:sz w:val="20"/>
                <w:szCs w:val="20"/>
              </w:rPr>
            </w:pPr>
            <w:r w:rsidRPr="00FB7D48">
              <w:rPr>
                <w:color w:val="000000"/>
                <w:sz w:val="20"/>
                <w:szCs w:val="20"/>
              </w:rPr>
              <w:t>2</w:t>
            </w:r>
          </w:p>
        </w:tc>
        <w:tc>
          <w:tcPr>
            <w:tcW w:w="2552" w:type="dxa"/>
            <w:vAlign w:val="center"/>
          </w:tcPr>
          <w:p w14:paraId="53EB6913" w14:textId="4BAED6B2" w:rsidR="00BD6D4F" w:rsidRPr="00FB7D48" w:rsidRDefault="00BD6D4F" w:rsidP="00BD6D4F">
            <w:pPr>
              <w:jc w:val="both"/>
              <w:rPr>
                <w:color w:val="000000"/>
                <w:sz w:val="20"/>
                <w:szCs w:val="20"/>
              </w:rPr>
            </w:pPr>
            <w:r w:rsidRPr="00FB7D48">
              <w:rPr>
                <w:sz w:val="20"/>
                <w:szCs w:val="20"/>
                <w:lang w:val="pt-BR"/>
              </w:rPr>
              <w:t xml:space="preserve">Quy định </w:t>
            </w:r>
            <w:r w:rsidR="00762540">
              <w:rPr>
                <w:sz w:val="20"/>
                <w:szCs w:val="20"/>
                <w:lang w:val="pt-BR"/>
              </w:rPr>
              <w:t xml:space="preserve">chi tiết </w:t>
            </w:r>
            <w:r w:rsidR="00D0145C">
              <w:rPr>
                <w:sz w:val="20"/>
                <w:szCs w:val="20"/>
                <w:lang w:val="pt-BR"/>
              </w:rPr>
              <w:t>về quản lý các nhiệm vụ khoa học, công nghệ và đổi mới sáng tạo</w:t>
            </w:r>
            <w:r w:rsidR="00762540">
              <w:rPr>
                <w:sz w:val="20"/>
                <w:szCs w:val="20"/>
                <w:lang w:val="pt-BR"/>
              </w:rPr>
              <w:t xml:space="preserve"> (Điều 4 - Điều 13)</w:t>
            </w:r>
          </w:p>
        </w:tc>
        <w:tc>
          <w:tcPr>
            <w:tcW w:w="7654" w:type="dxa"/>
            <w:vAlign w:val="center"/>
          </w:tcPr>
          <w:p w14:paraId="5FE823DC" w14:textId="0C0C37DA" w:rsidR="00BD6D4F" w:rsidRPr="00FB7D48" w:rsidRDefault="00EE260B" w:rsidP="00BD6D4F">
            <w:pPr>
              <w:jc w:val="both"/>
              <w:rPr>
                <w:spacing w:val="2"/>
                <w:sz w:val="20"/>
                <w:szCs w:val="20"/>
              </w:rPr>
            </w:pPr>
            <w:r w:rsidRPr="00FB7D48">
              <w:rPr>
                <w:b/>
                <w:bCs/>
                <w:sz w:val="20"/>
                <w:szCs w:val="20"/>
              </w:rPr>
              <w:t>1</w:t>
            </w:r>
            <w:r w:rsidRPr="00FB7D48">
              <w:rPr>
                <w:rFonts w:eastAsia="Calibri"/>
                <w:sz w:val="20"/>
                <w:szCs w:val="20"/>
              </w:rPr>
              <w:t xml:space="preserve">. </w:t>
            </w:r>
            <w:r w:rsidR="00BD6D4F" w:rsidRPr="00FB7D48">
              <w:rPr>
                <w:rFonts w:eastAsia="Calibri"/>
                <w:sz w:val="20"/>
                <w:szCs w:val="20"/>
              </w:rPr>
              <w:t xml:space="preserve"> Kết luận số 119-KL/TW ngày 20/01/2025 của Bộ Chính trị về định hướng đổi mới, hoàn thiện quy định pháp luật</w:t>
            </w:r>
            <w:r w:rsidRPr="00FB7D48">
              <w:rPr>
                <w:rFonts w:eastAsia="Calibri"/>
                <w:sz w:val="20"/>
                <w:szCs w:val="20"/>
              </w:rPr>
              <w:t>, trong đó có nội dung</w:t>
            </w:r>
            <w:r w:rsidR="00BD6D4F" w:rsidRPr="00FB7D48">
              <w:rPr>
                <w:rFonts w:eastAsia="Calibri"/>
                <w:sz w:val="20"/>
                <w:szCs w:val="20"/>
              </w:rPr>
              <w:t xml:space="preserve"> yêu cầu:</w:t>
            </w:r>
            <w:r w:rsidRPr="00FB7D48">
              <w:rPr>
                <w:rFonts w:eastAsia="Calibri"/>
                <w:sz w:val="20"/>
                <w:szCs w:val="20"/>
              </w:rPr>
              <w:t xml:space="preserve"> “</w:t>
            </w:r>
            <w:r w:rsidRPr="00FB7D48">
              <w:rPr>
                <w:rFonts w:eastAsia="Calibri"/>
                <w:i/>
                <w:iCs/>
                <w:sz w:val="20"/>
                <w:szCs w:val="20"/>
              </w:rPr>
              <w:t>…</w:t>
            </w:r>
            <w:r w:rsidR="00BD6D4F" w:rsidRPr="00FB7D48">
              <w:rPr>
                <w:rFonts w:eastAsia="Calibri"/>
                <w:i/>
                <w:iCs/>
                <w:sz w:val="20"/>
                <w:szCs w:val="20"/>
              </w:rPr>
              <w:t xml:space="preserve"> </w:t>
            </w:r>
            <w:r w:rsidR="00BD6D4F" w:rsidRPr="00FB7D48">
              <w:rPr>
                <w:rFonts w:eastAsia="Calibri"/>
                <w:i/>
                <w:sz w:val="20"/>
                <w:szCs w:val="20"/>
              </w:rPr>
              <w:t>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00BD6D4F" w:rsidRPr="00FB7D48">
              <w:rPr>
                <w:rFonts w:eastAsia="Calibri"/>
                <w:sz w:val="20"/>
                <w:szCs w:val="20"/>
              </w:rPr>
              <w:t>”.</w:t>
            </w:r>
          </w:p>
          <w:p w14:paraId="67B48EE7" w14:textId="2E9A59FA" w:rsidR="00BD6D4F" w:rsidRPr="00FB7D48" w:rsidRDefault="00EE260B" w:rsidP="00BD6D4F">
            <w:pPr>
              <w:autoSpaceDE w:val="0"/>
              <w:autoSpaceDN w:val="0"/>
              <w:adjustRightInd w:val="0"/>
              <w:jc w:val="both"/>
              <w:rPr>
                <w:sz w:val="20"/>
                <w:szCs w:val="20"/>
              </w:rPr>
            </w:pPr>
            <w:r w:rsidRPr="00FB7D48">
              <w:rPr>
                <w:b/>
                <w:bCs/>
                <w:sz w:val="20"/>
                <w:szCs w:val="20"/>
              </w:rPr>
              <w:t>2</w:t>
            </w:r>
            <w:r w:rsidR="00BD6D4F" w:rsidRPr="00FB7D48">
              <w:rPr>
                <w:sz w:val="20"/>
                <w:szCs w:val="20"/>
              </w:rPr>
              <w:t xml:space="preserve">.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w:t>
            </w:r>
            <w:r w:rsidR="00BD6D4F" w:rsidRPr="00FB7D48">
              <w:rPr>
                <w:sz w:val="20"/>
                <w:szCs w:val="20"/>
              </w:rPr>
              <w:lastRenderedPageBreak/>
              <w:t>tinh gọn, hoạt động hiệu lực, hiệu quả</w:t>
            </w:r>
            <w:r w:rsidR="00D16726" w:rsidRPr="00FB7D48">
              <w:rPr>
                <w:sz w:val="20"/>
                <w:szCs w:val="20"/>
              </w:rPr>
              <w:t xml:space="preserve">, trong đó có </w:t>
            </w:r>
            <w:r w:rsidR="00BD6D4F" w:rsidRPr="00FB7D48">
              <w:rPr>
                <w:sz w:val="20"/>
                <w:szCs w:val="20"/>
              </w:rPr>
              <w:t xml:space="preserve">yêu cầu: </w:t>
            </w:r>
            <w:r w:rsidR="00BD6D4F" w:rsidRPr="00FB7D48">
              <w:rPr>
                <w:i/>
                <w:sz w:val="20"/>
                <w:szCs w:val="20"/>
              </w:rPr>
              <w:t>“Rà soát, sửa đổi, bổ sung các văn bản còn chồng chéo, bất cập cản trở sự phát triển, khơi thông các điểm nghẽn, tạo ra động lực mới cho phát triển; tăng cường quyền tự chủ, tính chủ động, sáng tạo, tự chịu trách nhiệm của các cơ quan, đơn vị gắn với nâng cao trách nhiệm giải trình của người đứng đầu, kiểm soát quyền lực chặt chẽ; phân bổ nguồn lực hợp lý”</w:t>
            </w:r>
            <w:r w:rsidR="00BD6D4F" w:rsidRPr="00FB7D48">
              <w:rPr>
                <w:sz w:val="20"/>
                <w:szCs w:val="20"/>
              </w:rPr>
              <w:t xml:space="preserve">. </w:t>
            </w:r>
          </w:p>
          <w:p w14:paraId="52B6F009" w14:textId="619FF050" w:rsidR="00BD6D4F" w:rsidRPr="00FB7D48" w:rsidRDefault="00D53D65" w:rsidP="00BD6D4F">
            <w:pPr>
              <w:jc w:val="both"/>
              <w:rPr>
                <w:sz w:val="20"/>
                <w:szCs w:val="20"/>
              </w:rPr>
            </w:pPr>
            <w:r w:rsidRPr="00FB7D48">
              <w:rPr>
                <w:b/>
                <w:bCs/>
                <w:sz w:val="20"/>
                <w:szCs w:val="20"/>
              </w:rPr>
              <w:t>3</w:t>
            </w:r>
            <w:r w:rsidR="00BD6D4F" w:rsidRPr="00FB7D48">
              <w:rPr>
                <w:sz w:val="20"/>
                <w:szCs w:val="20"/>
              </w:rPr>
              <w:t xml:space="preserve">. Kết luận số 09-KL/TW ngày 10/3/2026 của Bộ Chính trị về hoàn thiện cấu trúc hệ thống pháp luật Việt Nam đáp ứng yêu cầu phát triển đất nước trong kỷ nguyên mới, trong đó có chủ trương: </w:t>
            </w:r>
          </w:p>
          <w:p w14:paraId="1C3933DD" w14:textId="185CF66A" w:rsidR="00BD6D4F" w:rsidRPr="00FB7D48" w:rsidRDefault="00BD6D4F" w:rsidP="00BD6D4F">
            <w:pPr>
              <w:jc w:val="both"/>
              <w:rPr>
                <w:i/>
                <w:iCs/>
                <w:sz w:val="20"/>
                <w:szCs w:val="20"/>
              </w:rPr>
            </w:pPr>
            <w:r w:rsidRPr="00FB7D48">
              <w:rPr>
                <w:i/>
                <w:iCs/>
                <w:sz w:val="20"/>
                <w:szCs w:val="20"/>
              </w:rPr>
              <w:t>“</w:t>
            </w:r>
            <w:r w:rsidR="00D52522" w:rsidRPr="00FB7D48">
              <w:rPr>
                <w:i/>
                <w:iCs/>
                <w:sz w:val="20"/>
                <w:szCs w:val="20"/>
              </w:rPr>
              <w:t>…</w:t>
            </w:r>
            <w:r w:rsidRPr="00FB7D48">
              <w:rPr>
                <w:i/>
                <w:iCs/>
                <w:sz w:val="20"/>
                <w:szCs w:val="20"/>
              </w:rPr>
              <w:t xml:space="preserve">2.3. Tiến hành tổng rà soát hệ thống văn bản quy phạm pháp luật Việt Nam; </w:t>
            </w:r>
            <w:r w:rsidRPr="00FB7D48">
              <w:rPr>
                <w:b/>
                <w:bCs/>
                <w:i/>
                <w:iCs/>
                <w:sz w:val="20"/>
                <w:szCs w:val="20"/>
              </w:rPr>
              <w:t>tuyệt đối không để cài cắm lợi ích, tác động tiêu cực đến cấu trúc hệ thống pháp luật</w:t>
            </w:r>
            <w:r w:rsidRPr="00FB7D48">
              <w:rPr>
                <w:i/>
                <w:iCs/>
                <w:sz w:val="20"/>
                <w:szCs w:val="20"/>
              </w:rPr>
              <w:t xml:space="preserve">; đổi mới mạnh mẽ công tác hợp nhất văn bản quy phạm pháp luật theo hướng văn bản hợp nhất là căn cứ chính thức trong viện dẫn và áp dụng pháp luật, được trình và đăng tải đồng thời với văn bản quy phạm pháp luật sửa đổi, bổ sung. </w:t>
            </w:r>
          </w:p>
          <w:p w14:paraId="092AE622" w14:textId="5F784F19" w:rsidR="00BD6D4F" w:rsidRPr="00FB7D48" w:rsidRDefault="00BD6D4F" w:rsidP="00BD6D4F">
            <w:pPr>
              <w:jc w:val="both"/>
              <w:rPr>
                <w:sz w:val="20"/>
                <w:szCs w:val="20"/>
              </w:rPr>
            </w:pPr>
            <w:r w:rsidRPr="00FB7D48">
              <w:rPr>
                <w:i/>
                <w:iCs/>
                <w:sz w:val="20"/>
                <w:szCs w:val="20"/>
              </w:rPr>
              <w:t>Nghiên cứu cơ chế đẩy nhanh việc thể chế hoá chủ trương, định hướng của Đảng thành pháp luật,… xây dựng cơ chế đánh giá văn bản quy phạm pháp luật sau ban hành; đẩy nhanh tiến trình chuyển đổi số, xây dựng cơ sở dữ liệu lớn về pháp luật, ứng dụng trí tuệ nhân tạo trong công tác xây dựng và tổ chức thi hành pháp luật…”</w:t>
            </w:r>
            <w:r w:rsidR="007B19AB" w:rsidRPr="00FB7D48">
              <w:rPr>
                <w:i/>
                <w:iCs/>
                <w:sz w:val="20"/>
                <w:szCs w:val="20"/>
              </w:rPr>
              <w:t>.</w:t>
            </w:r>
          </w:p>
        </w:tc>
        <w:tc>
          <w:tcPr>
            <w:tcW w:w="1984" w:type="dxa"/>
            <w:vAlign w:val="center"/>
          </w:tcPr>
          <w:p w14:paraId="4DCB4CDD" w14:textId="4A345191" w:rsidR="00BD6D4F" w:rsidRPr="00FB7D48" w:rsidRDefault="00762540" w:rsidP="00BD6D4F">
            <w:pPr>
              <w:jc w:val="both"/>
              <w:rPr>
                <w:spacing w:val="-4"/>
                <w:sz w:val="20"/>
                <w:szCs w:val="20"/>
              </w:rPr>
            </w:pPr>
            <w:r>
              <w:rPr>
                <w:spacing w:val="-4"/>
                <w:sz w:val="20"/>
                <w:szCs w:val="20"/>
              </w:rPr>
              <w:lastRenderedPageBreak/>
              <w:t>Các quy định chi tiết p</w:t>
            </w:r>
            <w:r w:rsidR="00BD6D4F" w:rsidRPr="00FB7D48">
              <w:rPr>
                <w:spacing w:val="-4"/>
                <w:sz w:val="20"/>
                <w:szCs w:val="20"/>
              </w:rPr>
              <w:t>hù hợp với chủ trương, đường lối của Đảng</w:t>
            </w:r>
          </w:p>
        </w:tc>
        <w:tc>
          <w:tcPr>
            <w:tcW w:w="1985" w:type="dxa"/>
            <w:vAlign w:val="center"/>
          </w:tcPr>
          <w:p w14:paraId="0B50A210" w14:textId="25EAA85C" w:rsidR="00BD6D4F" w:rsidRPr="00FB7D48" w:rsidRDefault="00D53D65" w:rsidP="00BD6D4F">
            <w:pPr>
              <w:jc w:val="both"/>
              <w:rPr>
                <w:spacing w:val="-4"/>
                <w:sz w:val="20"/>
                <w:szCs w:val="20"/>
              </w:rPr>
            </w:pPr>
            <w:r w:rsidRPr="00FB7D48">
              <w:rPr>
                <w:spacing w:val="-4"/>
                <w:sz w:val="20"/>
                <w:szCs w:val="20"/>
              </w:rPr>
              <w:t>K</w:t>
            </w:r>
            <w:r w:rsidR="00BD6D4F" w:rsidRPr="00FB7D48">
              <w:rPr>
                <w:spacing w:val="-4"/>
                <w:sz w:val="20"/>
                <w:szCs w:val="20"/>
              </w:rPr>
              <w:t>hông đề xuất phương án xử lý.</w:t>
            </w:r>
          </w:p>
        </w:tc>
      </w:tr>
    </w:tbl>
    <w:p w14:paraId="3D8999B7" w14:textId="77777777" w:rsidR="009B58EF" w:rsidRDefault="009B58EF">
      <w:pPr>
        <w:rPr>
          <w:rFonts w:eastAsia="Times New Roman"/>
          <w:sz w:val="28"/>
          <w:szCs w:val="28"/>
        </w:rPr>
      </w:pPr>
      <w:r>
        <w:rPr>
          <w:rFonts w:eastAsia="Times New Roman"/>
          <w:sz w:val="28"/>
          <w:szCs w:val="28"/>
        </w:rPr>
        <w:tab/>
      </w:r>
    </w:p>
    <w:p w14:paraId="7372E25D" w14:textId="78314117" w:rsidR="009B58EF" w:rsidRDefault="009B58EF">
      <w:pPr>
        <w:rPr>
          <w:rFonts w:eastAsia="Times New Roman"/>
          <w:b/>
          <w:sz w:val="28"/>
          <w:szCs w:val="28"/>
        </w:rPr>
      </w:pPr>
      <w:r w:rsidRPr="009B58EF">
        <w:rPr>
          <w:rFonts w:eastAsia="Times New Roman"/>
          <w:b/>
          <w:sz w:val="28"/>
          <w:szCs w:val="28"/>
        </w:rPr>
        <w:t>2. Văn bản quy phạm pháp luật có liên quan đến Dự thảo Quyết định</w:t>
      </w:r>
    </w:p>
    <w:p w14:paraId="64BCE427" w14:textId="77777777" w:rsidR="009B58EF" w:rsidRPr="009B58EF" w:rsidRDefault="009B58EF">
      <w:pPr>
        <w:rPr>
          <w:rFonts w:eastAsia="Times New Roman"/>
          <w:b/>
          <w:sz w:val="28"/>
          <w:szCs w:val="28"/>
        </w:rPr>
      </w:pPr>
    </w:p>
    <w:tbl>
      <w:tblPr>
        <w:tblStyle w:val="TableGrid0"/>
        <w:tblW w:w="14591" w:type="dxa"/>
        <w:tblInd w:w="-704" w:type="dxa"/>
        <w:tblLook w:val="04A0" w:firstRow="1" w:lastRow="0" w:firstColumn="1" w:lastColumn="0" w:noHBand="0" w:noVBand="1"/>
      </w:tblPr>
      <w:tblGrid>
        <w:gridCol w:w="557"/>
        <w:gridCol w:w="2385"/>
        <w:gridCol w:w="6829"/>
        <w:gridCol w:w="2694"/>
        <w:gridCol w:w="2126"/>
      </w:tblGrid>
      <w:tr w:rsidR="00637CCB" w14:paraId="5379B702" w14:textId="77777777" w:rsidTr="004A0240">
        <w:tc>
          <w:tcPr>
            <w:tcW w:w="557" w:type="dxa"/>
            <w:vAlign w:val="center"/>
          </w:tcPr>
          <w:p w14:paraId="68236AAE" w14:textId="498B4AFE" w:rsidR="00637CCB" w:rsidRPr="00637CCB" w:rsidRDefault="00637CCB" w:rsidP="00637CCB">
            <w:pPr>
              <w:jc w:val="center"/>
              <w:rPr>
                <w:rFonts w:eastAsia="Times New Roman"/>
                <w:b/>
                <w:sz w:val="20"/>
                <w:szCs w:val="20"/>
              </w:rPr>
            </w:pPr>
            <w:r>
              <w:rPr>
                <w:rFonts w:eastAsia="Times New Roman"/>
                <w:b/>
                <w:sz w:val="20"/>
                <w:szCs w:val="20"/>
              </w:rPr>
              <w:t>TT</w:t>
            </w:r>
          </w:p>
        </w:tc>
        <w:tc>
          <w:tcPr>
            <w:tcW w:w="2385" w:type="dxa"/>
            <w:vAlign w:val="center"/>
          </w:tcPr>
          <w:p w14:paraId="56D41D27" w14:textId="26F034B9" w:rsidR="00637CCB" w:rsidRPr="00637CCB" w:rsidRDefault="00637CCB" w:rsidP="00637CCB">
            <w:pPr>
              <w:jc w:val="center"/>
              <w:rPr>
                <w:rFonts w:eastAsia="Times New Roman"/>
                <w:b/>
                <w:sz w:val="20"/>
                <w:szCs w:val="20"/>
              </w:rPr>
            </w:pPr>
            <w:r w:rsidRPr="00637CCB">
              <w:rPr>
                <w:rFonts w:eastAsia="Times New Roman"/>
                <w:b/>
                <w:sz w:val="20"/>
                <w:szCs w:val="20"/>
              </w:rPr>
              <w:t>QUY ĐỊNH CỦA DỰ THẢO VĂN BẢN</w:t>
            </w:r>
          </w:p>
        </w:tc>
        <w:tc>
          <w:tcPr>
            <w:tcW w:w="6829" w:type="dxa"/>
            <w:tcBorders>
              <w:bottom w:val="single" w:sz="4" w:space="0" w:color="auto"/>
            </w:tcBorders>
            <w:vAlign w:val="center"/>
          </w:tcPr>
          <w:p w14:paraId="226F3A56" w14:textId="6E35AD35" w:rsidR="00637CCB" w:rsidRPr="00637CCB" w:rsidRDefault="00637CCB" w:rsidP="00637CCB">
            <w:pPr>
              <w:jc w:val="center"/>
              <w:rPr>
                <w:rFonts w:eastAsia="Times New Roman"/>
                <w:b/>
                <w:sz w:val="20"/>
                <w:szCs w:val="20"/>
              </w:rPr>
            </w:pPr>
            <w:r w:rsidRPr="00637CCB">
              <w:rPr>
                <w:rFonts w:eastAsia="Times New Roman"/>
                <w:b/>
                <w:sz w:val="20"/>
                <w:szCs w:val="20"/>
              </w:rPr>
              <w:t>QUY ĐỊNH CỦA PHÁP LUẬT HIỆN HÀNH CÓ LIÊN QUAN</w:t>
            </w:r>
          </w:p>
        </w:tc>
        <w:tc>
          <w:tcPr>
            <w:tcW w:w="2694" w:type="dxa"/>
            <w:tcBorders>
              <w:bottom w:val="single" w:sz="4" w:space="0" w:color="auto"/>
            </w:tcBorders>
            <w:vAlign w:val="center"/>
          </w:tcPr>
          <w:p w14:paraId="2DBEA26E" w14:textId="0A585AF9" w:rsidR="00637CCB" w:rsidRPr="00637CCB" w:rsidRDefault="00637CCB" w:rsidP="00637CCB">
            <w:pPr>
              <w:jc w:val="center"/>
              <w:rPr>
                <w:rFonts w:eastAsia="Times New Roman"/>
                <w:b/>
                <w:sz w:val="20"/>
                <w:szCs w:val="20"/>
              </w:rPr>
            </w:pPr>
            <w:r w:rsidRPr="00637CCB">
              <w:rPr>
                <w:rFonts w:eastAsia="Times New Roman"/>
                <w:b/>
                <w:sz w:val="20"/>
                <w:szCs w:val="20"/>
              </w:rPr>
              <w:t>ĐÁNH GIÁ</w:t>
            </w:r>
          </w:p>
        </w:tc>
        <w:tc>
          <w:tcPr>
            <w:tcW w:w="2126" w:type="dxa"/>
            <w:vAlign w:val="center"/>
          </w:tcPr>
          <w:p w14:paraId="056A20D1" w14:textId="77777777" w:rsidR="00637CCB" w:rsidRPr="00637CCB" w:rsidRDefault="00637CCB" w:rsidP="00637CCB">
            <w:pPr>
              <w:tabs>
                <w:tab w:val="left" w:pos="2302"/>
                <w:tab w:val="left" w:pos="3679"/>
              </w:tabs>
              <w:jc w:val="center"/>
              <w:rPr>
                <w:rFonts w:eastAsia="Times New Roman"/>
                <w:b/>
                <w:sz w:val="22"/>
                <w:szCs w:val="22"/>
              </w:rPr>
            </w:pPr>
            <w:r w:rsidRPr="00637CCB">
              <w:rPr>
                <w:rFonts w:eastAsia="Times New Roman"/>
                <w:b/>
                <w:sz w:val="22"/>
                <w:szCs w:val="22"/>
              </w:rPr>
              <w:t>ĐỀ XUẤT XỬ LÝ</w:t>
            </w:r>
          </w:p>
        </w:tc>
      </w:tr>
      <w:tr w:rsidR="0036364E" w14:paraId="63EC977C" w14:textId="77777777" w:rsidTr="00762540">
        <w:tc>
          <w:tcPr>
            <w:tcW w:w="557" w:type="dxa"/>
            <w:vAlign w:val="center"/>
          </w:tcPr>
          <w:p w14:paraId="5744527A" w14:textId="77777777" w:rsidR="0036364E" w:rsidRPr="00FD1A33" w:rsidRDefault="0036364E" w:rsidP="0036364E">
            <w:pPr>
              <w:jc w:val="center"/>
              <w:rPr>
                <w:rFonts w:eastAsia="Times New Roman"/>
                <w:bCs/>
                <w:sz w:val="20"/>
                <w:szCs w:val="20"/>
              </w:rPr>
            </w:pPr>
          </w:p>
        </w:tc>
        <w:tc>
          <w:tcPr>
            <w:tcW w:w="2385" w:type="dxa"/>
            <w:vAlign w:val="center"/>
          </w:tcPr>
          <w:p w14:paraId="15AB6521" w14:textId="77777777" w:rsidR="0036364E" w:rsidRPr="00D0145C" w:rsidRDefault="0036364E" w:rsidP="0036364E">
            <w:pPr>
              <w:spacing w:before="120" w:after="120"/>
              <w:jc w:val="both"/>
              <w:rPr>
                <w:sz w:val="28"/>
                <w:szCs w:val="28"/>
              </w:rPr>
            </w:pPr>
            <w:r w:rsidRPr="00D0145C">
              <w:rPr>
                <w:sz w:val="28"/>
                <w:szCs w:val="28"/>
                <w:lang w:val="vi-VN"/>
              </w:rPr>
              <w:t xml:space="preserve">Phân cấp thẩm quyền quản lý nhiệm vụ khoa học, công nghệ và đổi mới sáng tạo </w:t>
            </w:r>
            <w:r>
              <w:rPr>
                <w:sz w:val="28"/>
                <w:szCs w:val="28"/>
              </w:rPr>
              <w:t>(Điều 3)</w:t>
            </w:r>
          </w:p>
          <w:p w14:paraId="731CE75C" w14:textId="77777777" w:rsidR="0036364E" w:rsidRPr="00D0145C" w:rsidRDefault="0036364E" w:rsidP="0036364E">
            <w:pPr>
              <w:spacing w:before="120" w:after="120"/>
              <w:jc w:val="both"/>
              <w:rPr>
                <w:sz w:val="28"/>
                <w:szCs w:val="28"/>
                <w:lang w:val="vi-VN"/>
              </w:rPr>
            </w:pPr>
          </w:p>
        </w:tc>
        <w:tc>
          <w:tcPr>
            <w:tcW w:w="6829" w:type="dxa"/>
            <w:tcBorders>
              <w:bottom w:val="single" w:sz="4" w:space="0" w:color="auto"/>
            </w:tcBorders>
          </w:tcPr>
          <w:p w14:paraId="245D955F" w14:textId="77777777" w:rsidR="0036364E" w:rsidRPr="007F791E" w:rsidRDefault="0036364E" w:rsidP="0036364E">
            <w:pPr>
              <w:tabs>
                <w:tab w:val="left" w:pos="4140"/>
              </w:tabs>
              <w:spacing w:before="120" w:after="120"/>
              <w:ind w:firstLine="567"/>
              <w:jc w:val="both"/>
              <w:rPr>
                <w:iCs/>
                <w:color w:val="000000"/>
                <w:sz w:val="28"/>
                <w:szCs w:val="28"/>
              </w:rPr>
            </w:pPr>
            <w:r w:rsidRPr="007F791E">
              <w:rPr>
                <w:iCs/>
                <w:color w:val="000000"/>
                <w:sz w:val="28"/>
                <w:szCs w:val="28"/>
              </w:rPr>
              <w:t>- Luật Tổ chức chính quyền địa phương số 72/2025/QH15 ngày 16/6/2025, trong đó quy định:</w:t>
            </w:r>
          </w:p>
          <w:p w14:paraId="353824B2" w14:textId="77777777" w:rsidR="0036364E" w:rsidRPr="007F791E" w:rsidRDefault="0036364E" w:rsidP="0036364E">
            <w:pPr>
              <w:tabs>
                <w:tab w:val="left" w:pos="4140"/>
              </w:tabs>
              <w:spacing w:before="120" w:after="120"/>
              <w:ind w:firstLine="567"/>
              <w:jc w:val="both"/>
              <w:rPr>
                <w:iCs/>
                <w:color w:val="000000"/>
                <w:sz w:val="28"/>
                <w:szCs w:val="28"/>
              </w:rPr>
            </w:pPr>
            <w:r w:rsidRPr="007F791E">
              <w:rPr>
                <w:iCs/>
                <w:color w:val="000000"/>
                <w:sz w:val="28"/>
                <w:szCs w:val="28"/>
              </w:rPr>
              <w:t>+ Khoản 1 Điều 13 quy định: “</w:t>
            </w:r>
            <w:r w:rsidRPr="007F791E">
              <w:rPr>
                <w:b/>
                <w:bCs/>
                <w:i/>
                <w:color w:val="000000"/>
                <w:sz w:val="28"/>
                <w:szCs w:val="28"/>
              </w:rPr>
              <w:t>Ủy ban nhân dân cấp tỉnh</w:t>
            </w:r>
            <w:r w:rsidRPr="007F791E">
              <w:rPr>
                <w:i/>
                <w:color w:val="000000"/>
                <w:sz w:val="28"/>
                <w:szCs w:val="28"/>
              </w:rPr>
              <w:t xml:space="preserve">, Chủ tịch Ủy ban nhân dân cấp tỉnh </w:t>
            </w:r>
            <w:r w:rsidRPr="007F791E">
              <w:rPr>
                <w:b/>
                <w:bCs/>
                <w:i/>
                <w:color w:val="000000"/>
                <w:sz w:val="28"/>
                <w:szCs w:val="28"/>
              </w:rPr>
              <w:t>phân cấp cho cơ quan chuyên môn</w:t>
            </w:r>
            <w:r w:rsidRPr="007F791E">
              <w:rPr>
                <w:i/>
                <w:color w:val="000000"/>
                <w:sz w:val="28"/>
                <w:szCs w:val="28"/>
              </w:rPr>
              <w:t>, tổ chức hành chính khác thuộc Ủy ban nhân dân cấp mình”</w:t>
            </w:r>
            <w:r w:rsidRPr="007F791E">
              <w:rPr>
                <w:iCs/>
                <w:color w:val="000000"/>
                <w:sz w:val="28"/>
                <w:szCs w:val="28"/>
              </w:rPr>
              <w:t>.</w:t>
            </w:r>
          </w:p>
          <w:p w14:paraId="45E48992" w14:textId="77777777" w:rsidR="0036364E" w:rsidRPr="007F791E" w:rsidRDefault="0036364E" w:rsidP="0036364E">
            <w:pPr>
              <w:tabs>
                <w:tab w:val="left" w:pos="4140"/>
              </w:tabs>
              <w:spacing w:before="120" w:after="120"/>
              <w:ind w:firstLine="567"/>
              <w:jc w:val="both"/>
              <w:rPr>
                <w:iCs/>
                <w:color w:val="000000"/>
                <w:sz w:val="28"/>
                <w:szCs w:val="28"/>
              </w:rPr>
            </w:pPr>
            <w:r w:rsidRPr="007F791E">
              <w:rPr>
                <w:iCs/>
                <w:color w:val="000000"/>
                <w:sz w:val="28"/>
                <w:szCs w:val="28"/>
              </w:rPr>
              <w:t xml:space="preserve">+ Khoản 2 Điều 13 quy định: </w:t>
            </w:r>
            <w:r w:rsidRPr="007F791E">
              <w:rPr>
                <w:i/>
                <w:color w:val="000000"/>
                <w:sz w:val="28"/>
                <w:szCs w:val="28"/>
              </w:rPr>
              <w:t>“Việc phân cấp phải được quy định trong văn bản quy phạm pháp luật của cơ quan, cá nhân phân cấp”</w:t>
            </w:r>
            <w:r w:rsidRPr="007F791E">
              <w:rPr>
                <w:iCs/>
                <w:color w:val="000000"/>
                <w:sz w:val="28"/>
                <w:szCs w:val="28"/>
              </w:rPr>
              <w:t>. </w:t>
            </w:r>
          </w:p>
          <w:p w14:paraId="6B7E75C3" w14:textId="77777777" w:rsidR="0036364E" w:rsidRPr="007F791E" w:rsidRDefault="0036364E" w:rsidP="0036364E">
            <w:pPr>
              <w:tabs>
                <w:tab w:val="left" w:pos="4140"/>
              </w:tabs>
              <w:spacing w:before="120" w:after="120"/>
              <w:ind w:firstLine="567"/>
              <w:jc w:val="both"/>
              <w:rPr>
                <w:iCs/>
                <w:color w:val="000000"/>
                <w:sz w:val="28"/>
                <w:szCs w:val="28"/>
              </w:rPr>
            </w:pPr>
            <w:r w:rsidRPr="007F791E">
              <w:rPr>
                <w:iCs/>
                <w:color w:val="000000"/>
                <w:sz w:val="28"/>
                <w:szCs w:val="28"/>
              </w:rPr>
              <w:lastRenderedPageBreak/>
              <w:t xml:space="preserve">- Luật Khoa học, công nghệ và đổi mới sáng tạo số 93/2025/QH15 ngày 27/6/2025, trong đó khoản 4 Điều 13 quy định: </w:t>
            </w:r>
            <w:r w:rsidRPr="007F791E">
              <w:rPr>
                <w:i/>
                <w:color w:val="000000"/>
                <w:sz w:val="28"/>
                <w:szCs w:val="28"/>
              </w:rPr>
              <w:t>“Ủy ban nhân dân cấp tỉnh, trong phạm vi chức năng, nhiệm vụ, quyền hạn của mình, có trách nhiệm thực hiện quản lý nhà nước về khoa học, công nghệ và đổi mới sáng tạo tại địa phương”</w:t>
            </w:r>
            <w:r w:rsidRPr="007F791E">
              <w:rPr>
                <w:iCs/>
                <w:color w:val="000000"/>
                <w:sz w:val="28"/>
                <w:szCs w:val="28"/>
              </w:rPr>
              <w:t>.</w:t>
            </w:r>
          </w:p>
          <w:p w14:paraId="6D789DDE" w14:textId="77777777" w:rsidR="0036364E" w:rsidRPr="007F791E" w:rsidRDefault="0036364E" w:rsidP="0036364E">
            <w:pPr>
              <w:tabs>
                <w:tab w:val="left" w:pos="4140"/>
              </w:tabs>
              <w:spacing w:before="120" w:after="120"/>
              <w:ind w:firstLine="567"/>
              <w:jc w:val="both"/>
              <w:rPr>
                <w:iCs/>
                <w:color w:val="000000"/>
                <w:sz w:val="28"/>
                <w:szCs w:val="28"/>
              </w:rPr>
            </w:pPr>
            <w:r w:rsidRPr="007F791E">
              <w:rPr>
                <w:iCs/>
                <w:color w:val="000000"/>
                <w:sz w:val="28"/>
                <w:szCs w:val="28"/>
              </w:rPr>
              <w:t xml:space="preserve">- Luật Ban hành văn bản quy phạm pháp luật </w:t>
            </w:r>
            <w:r w:rsidRPr="007F791E">
              <w:rPr>
                <w:color w:val="000000"/>
                <w:sz w:val="28"/>
                <w:szCs w:val="28"/>
              </w:rPr>
              <w:t xml:space="preserve">số 64/2025/QH15 </w:t>
            </w:r>
            <w:r w:rsidRPr="007F791E">
              <w:rPr>
                <w:iCs/>
                <w:color w:val="000000"/>
                <w:sz w:val="28"/>
                <w:szCs w:val="28"/>
              </w:rPr>
              <w:t xml:space="preserve">ngày 19/02/2025 (được sửa đổi, bổ sung bởi Luật </w:t>
            </w:r>
            <w:r w:rsidRPr="007F791E">
              <w:rPr>
                <w:color w:val="000000"/>
                <w:sz w:val="28"/>
                <w:szCs w:val="28"/>
              </w:rPr>
              <w:t>số 87/2025/QH15</w:t>
            </w:r>
            <w:r w:rsidRPr="007F791E">
              <w:rPr>
                <w:iCs/>
                <w:color w:val="000000"/>
                <w:sz w:val="28"/>
                <w:szCs w:val="28"/>
              </w:rPr>
              <w:t xml:space="preserve"> ngày 25/6/2025), trong đó tại điểm a khoản 2 Điều 21 quy định: </w:t>
            </w:r>
            <w:r w:rsidRPr="007F791E">
              <w:rPr>
                <w:i/>
                <w:color w:val="000000"/>
                <w:sz w:val="28"/>
                <w:szCs w:val="28"/>
              </w:rPr>
              <w:t>"Ủy ban nhân dân thành phố ban hành quyết định để quy định: chi tiết điều, khoản, điểm và các nội dụng khác được giao trong văn bản quy phạm pháp luật của cơ quan nhà nước cấp trên"</w:t>
            </w:r>
            <w:r w:rsidRPr="007F791E">
              <w:rPr>
                <w:iCs/>
                <w:color w:val="000000"/>
                <w:sz w:val="28"/>
                <w:szCs w:val="28"/>
              </w:rPr>
              <w:t>.</w:t>
            </w:r>
          </w:p>
          <w:p w14:paraId="474D3A5F" w14:textId="77777777" w:rsidR="0036364E" w:rsidRPr="007F791E" w:rsidRDefault="0036364E" w:rsidP="0036364E">
            <w:pPr>
              <w:spacing w:before="120" w:after="120"/>
              <w:ind w:firstLine="567"/>
              <w:jc w:val="both"/>
              <w:rPr>
                <w:color w:val="000000"/>
                <w:sz w:val="28"/>
                <w:szCs w:val="28"/>
              </w:rPr>
            </w:pPr>
            <w:r w:rsidRPr="007F791E">
              <w:rPr>
                <w:iCs/>
                <w:color w:val="000000"/>
                <w:sz w:val="28"/>
                <w:szCs w:val="28"/>
              </w:rPr>
              <w:t xml:space="preserve">- </w:t>
            </w:r>
            <w:r w:rsidRPr="007F791E">
              <w:rPr>
                <w:color w:val="000000"/>
                <w:sz w:val="28"/>
                <w:szCs w:val="28"/>
              </w:rPr>
              <w:t>Nghị định số 267/2025/NĐ-CP ngày 14/10/2025 của Chính phủ quy định chi tiết và hướng dẫn một số điều của </w:t>
            </w:r>
            <w:hyperlink r:id="rId8" w:tgtFrame="_blank" w:history="1">
              <w:r w:rsidRPr="007F791E">
                <w:rPr>
                  <w:color w:val="000000"/>
                  <w:sz w:val="28"/>
                  <w:szCs w:val="28"/>
                </w:rPr>
                <w:t>Luật Khoa học, công nghệ và đổi mới sáng tạo</w:t>
              </w:r>
            </w:hyperlink>
            <w:r w:rsidRPr="007F791E">
              <w:rPr>
                <w:color w:val="000000"/>
                <w:sz w:val="28"/>
                <w:szCs w:val="28"/>
              </w:rPr>
              <w:t> về chương trình, nhiệm vụ khoa học, công nghệ và đổi mới sáng tạo và một số quy định về thúc đẩy hoạt động nghiên cứu khoa học, phát triển công nghệ và đổi mới sáng tạo, trong đó quy định:</w:t>
            </w:r>
          </w:p>
          <w:p w14:paraId="78C51790" w14:textId="77777777" w:rsidR="0036364E" w:rsidRPr="007F791E" w:rsidRDefault="0036364E" w:rsidP="0036364E">
            <w:pPr>
              <w:spacing w:before="120" w:after="120"/>
              <w:ind w:firstLine="567"/>
              <w:jc w:val="both"/>
              <w:rPr>
                <w:i/>
                <w:iCs/>
                <w:color w:val="000000"/>
                <w:sz w:val="28"/>
                <w:szCs w:val="28"/>
              </w:rPr>
            </w:pPr>
            <w:r w:rsidRPr="007F791E">
              <w:rPr>
                <w:color w:val="000000"/>
                <w:sz w:val="28"/>
                <w:szCs w:val="28"/>
              </w:rPr>
              <w:t xml:space="preserve">+ Khoản 13 Điều 3 quy định: </w:t>
            </w:r>
            <w:r w:rsidRPr="007F791E">
              <w:rPr>
                <w:i/>
                <w:iCs/>
                <w:color w:val="000000"/>
                <w:sz w:val="28"/>
                <w:szCs w:val="28"/>
              </w:rPr>
              <w:t>“Cơ quan quản lý nhiệm vụ khoa học, công nghệ và đổi mới sáng tạo là bộ, cơ quan ngang bộ, cơ quan thuộc Chính phủ, cơ quan khác ở trung ương và Ủy ban nhân dân cấp tỉnh.</w:t>
            </w:r>
          </w:p>
          <w:p w14:paraId="3C25F356" w14:textId="77777777" w:rsidR="0036364E" w:rsidRPr="007F791E" w:rsidRDefault="0036364E" w:rsidP="0036364E">
            <w:pPr>
              <w:spacing w:before="120" w:after="120"/>
              <w:ind w:firstLine="567"/>
              <w:jc w:val="both"/>
              <w:rPr>
                <w:i/>
                <w:iCs/>
                <w:color w:val="000000"/>
                <w:sz w:val="28"/>
                <w:szCs w:val="28"/>
              </w:rPr>
            </w:pPr>
            <w:r w:rsidRPr="007F791E">
              <w:rPr>
                <w:i/>
                <w:iCs/>
                <w:color w:val="000000"/>
                <w:sz w:val="28"/>
                <w:szCs w:val="28"/>
              </w:rPr>
              <w:t xml:space="preserve">Trường hợp bộ, cơ quan ngang bộ và </w:t>
            </w:r>
            <w:r w:rsidRPr="007F791E">
              <w:rPr>
                <w:b/>
                <w:bCs/>
                <w:i/>
                <w:iCs/>
                <w:color w:val="000000"/>
                <w:sz w:val="28"/>
                <w:szCs w:val="28"/>
              </w:rPr>
              <w:t>Ủy ban nhân dân cấp tỉnh phân cấp</w:t>
            </w:r>
            <w:r w:rsidRPr="007F791E">
              <w:rPr>
                <w:i/>
                <w:iCs/>
                <w:color w:val="000000"/>
                <w:sz w:val="28"/>
                <w:szCs w:val="28"/>
              </w:rPr>
              <w:t xml:space="preserve"> hoặc ủy quyền cho cơ quan, tổ chức trực thuộc quản lý hoạt động khoa học, công nghệ và đổi </w:t>
            </w:r>
            <w:r w:rsidRPr="007F791E">
              <w:rPr>
                <w:i/>
                <w:iCs/>
                <w:color w:val="000000"/>
                <w:sz w:val="28"/>
                <w:szCs w:val="28"/>
              </w:rPr>
              <w:lastRenderedPageBreak/>
              <w:t>mới sáng tạo thì cơ quan, tổ chức này là cơ quan quản lý nhiệm vụ khoa học, công nghệ và đổi mới sáng tạo”.</w:t>
            </w:r>
          </w:p>
          <w:p w14:paraId="16F5062F" w14:textId="77777777" w:rsidR="0036364E" w:rsidRPr="007F791E" w:rsidRDefault="0036364E" w:rsidP="0036364E">
            <w:pPr>
              <w:spacing w:before="120" w:after="120"/>
              <w:ind w:firstLine="567"/>
              <w:jc w:val="both"/>
              <w:rPr>
                <w:bCs/>
                <w:color w:val="000000"/>
                <w:sz w:val="28"/>
                <w:szCs w:val="28"/>
              </w:rPr>
            </w:pPr>
            <w:r w:rsidRPr="007F791E">
              <w:rPr>
                <w:bCs/>
                <w:color w:val="000000"/>
                <w:sz w:val="28"/>
                <w:szCs w:val="28"/>
              </w:rPr>
              <w:t>- Nghị định số 268/2025/NĐ-CP ngày 14/10/2025 của Chính phủ quy định chi tiết và hướng dẫn một số điều của </w:t>
            </w:r>
            <w:bookmarkStart w:id="0" w:name="tvpllink_gftnlsauya_1"/>
            <w:r w:rsidRPr="007F791E">
              <w:rPr>
                <w:bCs/>
                <w:color w:val="000000"/>
                <w:sz w:val="28"/>
                <w:szCs w:val="28"/>
              </w:rPr>
              <w:fldChar w:fldCharType="begin"/>
            </w:r>
            <w:r w:rsidRPr="007F791E">
              <w:rPr>
                <w:bCs/>
                <w:color w:val="000000"/>
                <w:sz w:val="28"/>
                <w:szCs w:val="28"/>
              </w:rPr>
              <w:instrText>HYPERLINK "https://thuvienphapluat.vn/van-ban/Linh-vuc-khac/Luat-Khoa-hoc-Cong-nghe-va-Doi-moi-sang-tao-2025-so-93-2025-QH15-581164.aspx" \t "_blank"</w:instrText>
            </w:r>
            <w:r w:rsidRPr="007F791E">
              <w:rPr>
                <w:bCs/>
                <w:color w:val="000000"/>
                <w:sz w:val="28"/>
                <w:szCs w:val="28"/>
              </w:rPr>
            </w:r>
            <w:r w:rsidRPr="007F791E">
              <w:rPr>
                <w:bCs/>
                <w:color w:val="000000"/>
                <w:sz w:val="28"/>
                <w:szCs w:val="28"/>
              </w:rPr>
              <w:fldChar w:fldCharType="separate"/>
            </w:r>
            <w:r w:rsidRPr="007F791E">
              <w:rPr>
                <w:bCs/>
                <w:color w:val="000000"/>
                <w:sz w:val="28"/>
                <w:szCs w:val="28"/>
              </w:rPr>
              <w:t>Luật Khoa học, công nghệ và đổi mới sáng tạo</w:t>
            </w:r>
            <w:r w:rsidRPr="007F791E">
              <w:rPr>
                <w:bCs/>
                <w:color w:val="000000"/>
                <w:sz w:val="28"/>
                <w:szCs w:val="28"/>
              </w:rPr>
              <w:fldChar w:fldCharType="end"/>
            </w:r>
            <w:bookmarkEnd w:id="0"/>
            <w:r w:rsidRPr="007F791E">
              <w:rPr>
                <w:bCs/>
                <w:color w:val="000000"/>
                <w:sz w:val="28"/>
                <w:szCs w:val="28"/>
              </w:rPr>
              <w:t>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50FAE7AE" w14:textId="77777777" w:rsidR="0036364E" w:rsidRPr="007F791E" w:rsidRDefault="0036364E" w:rsidP="0036364E">
            <w:pPr>
              <w:spacing w:before="120" w:after="120"/>
              <w:ind w:firstLine="567"/>
              <w:jc w:val="both"/>
              <w:rPr>
                <w:bCs/>
                <w:color w:val="000000"/>
                <w:sz w:val="28"/>
                <w:szCs w:val="28"/>
              </w:rPr>
            </w:pPr>
            <w:r w:rsidRPr="007F791E">
              <w:rPr>
                <w:bCs/>
                <w:color w:val="000000"/>
                <w:sz w:val="28"/>
                <w:szCs w:val="28"/>
              </w:rPr>
              <w:t>+ Khoản 9 Điều 3 quy định: “ </w:t>
            </w:r>
            <w:r w:rsidRPr="007F791E">
              <w:rPr>
                <w:b/>
                <w:i/>
                <w:iCs/>
                <w:color w:val="000000"/>
                <w:sz w:val="28"/>
                <w:szCs w:val="28"/>
              </w:rPr>
              <w:t>Cơ quan quản lý nhiệm vụ đổi mới sáng tạo là</w:t>
            </w:r>
            <w:r w:rsidRPr="007F791E">
              <w:rPr>
                <w:bCs/>
                <w:color w:val="000000"/>
                <w:sz w:val="28"/>
                <w:szCs w:val="28"/>
              </w:rPr>
              <w:t xml:space="preserve"> bộ, cơ quan ngang bộ, cơ quan thuộc Chính phủ, cơ quan khác ở trung ương và </w:t>
            </w:r>
            <w:r w:rsidRPr="007F791E">
              <w:rPr>
                <w:b/>
                <w:i/>
                <w:iCs/>
                <w:color w:val="000000"/>
                <w:sz w:val="28"/>
                <w:szCs w:val="28"/>
              </w:rPr>
              <w:t>Ủy ban nhân dân cấp tỉnh hoặc cơ quan, đơn vị được</w:t>
            </w:r>
            <w:r w:rsidRPr="007F791E">
              <w:rPr>
                <w:bCs/>
                <w:color w:val="000000"/>
                <w:sz w:val="28"/>
                <w:szCs w:val="28"/>
              </w:rPr>
              <w:t xml:space="preserve"> bộ, cơ quan ngang bộ, cơ quan thuộc Chính phủ, cơ quan khác ở trung ương và </w:t>
            </w:r>
            <w:r w:rsidRPr="007F791E">
              <w:rPr>
                <w:b/>
                <w:i/>
                <w:iCs/>
                <w:color w:val="000000"/>
                <w:sz w:val="28"/>
                <w:szCs w:val="28"/>
              </w:rPr>
              <w:t xml:space="preserve">ủy ban nhân dân cấp tỉnh </w:t>
            </w:r>
            <w:r w:rsidRPr="007F791E">
              <w:rPr>
                <w:bCs/>
                <w:i/>
                <w:iCs/>
                <w:color w:val="000000"/>
                <w:sz w:val="28"/>
                <w:szCs w:val="28"/>
              </w:rPr>
              <w:t>quy định thẩm quyền,</w:t>
            </w:r>
            <w:r w:rsidRPr="007F791E">
              <w:rPr>
                <w:b/>
                <w:i/>
                <w:iCs/>
                <w:color w:val="000000"/>
                <w:sz w:val="28"/>
                <w:szCs w:val="28"/>
              </w:rPr>
              <w:t xml:space="preserve"> phân cấp quản lý</w:t>
            </w:r>
            <w:r w:rsidRPr="007F791E">
              <w:rPr>
                <w:bCs/>
                <w:color w:val="000000"/>
                <w:sz w:val="28"/>
                <w:szCs w:val="28"/>
              </w:rPr>
              <w:t xml:space="preserve"> hoạt động khoa học, công nghệ và đổi mới sáng tạo.</w:t>
            </w:r>
          </w:p>
          <w:p w14:paraId="4496D74D" w14:textId="77777777" w:rsidR="0036364E" w:rsidRPr="007F791E" w:rsidRDefault="0036364E" w:rsidP="0036364E">
            <w:pPr>
              <w:spacing w:before="120" w:after="120"/>
              <w:ind w:firstLine="567"/>
              <w:jc w:val="both"/>
              <w:rPr>
                <w:bCs/>
                <w:color w:val="000000"/>
                <w:sz w:val="28"/>
                <w:szCs w:val="28"/>
              </w:rPr>
            </w:pPr>
            <w:r w:rsidRPr="007F791E">
              <w:rPr>
                <w:bCs/>
                <w:color w:val="000000"/>
                <w:sz w:val="28"/>
                <w:szCs w:val="28"/>
              </w:rPr>
              <w:t xml:space="preserve">+ Khoản 6 Điều 66 quy định Ủy ban nhân dân cấp tỉnh </w:t>
            </w:r>
            <w:r w:rsidRPr="007F791E">
              <w:rPr>
                <w:b/>
                <w:i/>
                <w:iCs/>
                <w:color w:val="000000"/>
                <w:sz w:val="28"/>
                <w:szCs w:val="28"/>
              </w:rPr>
              <w:t>“Ban hành các quy định cụ thể</w:t>
            </w:r>
            <w:r w:rsidRPr="007F791E">
              <w:rPr>
                <w:bCs/>
                <w:color w:val="000000"/>
                <w:sz w:val="28"/>
                <w:szCs w:val="28"/>
              </w:rPr>
              <w:t xml:space="preserve"> thuộc phạm vi, thẩm quyền và tuân thủ các quy định pháp luật có liên quan đến hoạt động đổi mới sáng tạo, khởi nghiệp sáng tạo phù hợp với điều kiện thực tiễn ở địa phương”.</w:t>
            </w:r>
          </w:p>
          <w:p w14:paraId="69CE7DAF" w14:textId="77777777" w:rsidR="0036364E" w:rsidRPr="007F791E" w:rsidRDefault="0036364E" w:rsidP="0036364E">
            <w:pPr>
              <w:spacing w:before="120" w:after="120"/>
              <w:ind w:firstLine="567"/>
              <w:jc w:val="both"/>
              <w:rPr>
                <w:color w:val="000000"/>
                <w:sz w:val="28"/>
                <w:szCs w:val="28"/>
                <w:shd w:val="clear" w:color="auto" w:fill="FFFFFF"/>
                <w:lang w:val="en-GB"/>
              </w:rPr>
            </w:pPr>
            <w:r w:rsidRPr="007F791E">
              <w:rPr>
                <w:color w:val="000000"/>
                <w:sz w:val="28"/>
                <w:szCs w:val="28"/>
              </w:rPr>
              <w:t xml:space="preserve">- Thông tư số </w:t>
            </w:r>
            <w:r w:rsidRPr="007F791E">
              <w:rPr>
                <w:color w:val="000000"/>
                <w:sz w:val="28"/>
                <w:szCs w:val="28"/>
                <w:shd w:val="clear" w:color="auto" w:fill="FFFFFF"/>
              </w:rPr>
              <w:t>36/2025/TT-BKHCN ngày 26/11/2025 của Bộ trưởng Bộ Khoa học và Công nghệ</w:t>
            </w:r>
            <w:r w:rsidRPr="007F791E">
              <w:rPr>
                <w:color w:val="000000"/>
                <w:sz w:val="28"/>
                <w:szCs w:val="28"/>
                <w:shd w:val="clear" w:color="auto" w:fill="FFFFFF"/>
                <w:lang w:val="en-GB"/>
              </w:rPr>
              <w:t xml:space="preserve"> quy định khung về trình tự, thủ tục xây dựng, thẩm định, ban hành, quản lý, tổ chức thực hiện chương trình khoa học, công nghệ và đổi mới sáng tạo và quy định về trình tự, thủ tục xét tài trợ, đặt </w:t>
            </w:r>
            <w:r w:rsidRPr="007F791E">
              <w:rPr>
                <w:color w:val="000000"/>
                <w:sz w:val="28"/>
                <w:szCs w:val="28"/>
                <w:shd w:val="clear" w:color="auto" w:fill="FFFFFF"/>
                <w:lang w:val="en-GB"/>
              </w:rPr>
              <w:lastRenderedPageBreak/>
              <w:t>hàng, ký hợp đồng, tổ chức thực hiện, chấm dứt thực hiện, thanh lý hợp đồng giao nhiệm vụ và đánh giá đối với nhiệm vụ khoa học, công nghệ và đổi mới sáng tạo:</w:t>
            </w:r>
          </w:p>
          <w:p w14:paraId="36E4BAD8" w14:textId="50143C97" w:rsidR="0036364E" w:rsidRPr="00762540" w:rsidRDefault="0036364E" w:rsidP="0036364E">
            <w:pPr>
              <w:spacing w:before="120" w:after="120"/>
              <w:ind w:firstLine="567"/>
              <w:jc w:val="both"/>
              <w:rPr>
                <w:i/>
                <w:color w:val="000000"/>
                <w:sz w:val="28"/>
                <w:szCs w:val="28"/>
              </w:rPr>
            </w:pPr>
            <w:r w:rsidRPr="007F791E">
              <w:rPr>
                <w:color w:val="000000"/>
                <w:sz w:val="28"/>
                <w:szCs w:val="28"/>
                <w:shd w:val="clear" w:color="auto" w:fill="FFFFFF"/>
                <w:lang w:val="en-GB"/>
              </w:rPr>
              <w:t xml:space="preserve">+ Khoản 1 Điều 7 quy định: </w:t>
            </w:r>
            <w:r w:rsidRPr="007F791E">
              <w:rPr>
                <w:i/>
                <w:iCs/>
                <w:color w:val="000000"/>
                <w:sz w:val="28"/>
                <w:szCs w:val="28"/>
                <w:shd w:val="clear" w:color="auto" w:fill="FFFFFF"/>
                <w:lang w:val="en-GB"/>
              </w:rPr>
              <w:t>“</w:t>
            </w:r>
            <w:r w:rsidRPr="007F791E">
              <w:rPr>
                <w:i/>
                <w:iCs/>
                <w:color w:val="000000"/>
                <w:sz w:val="28"/>
                <w:szCs w:val="28"/>
                <w:shd w:val="clear" w:color="auto" w:fill="FFFFFF"/>
              </w:rPr>
              <w:t xml:space="preserve">Theo yêu cầu quản lý, các bộ, cơ quan ngang bộ và </w:t>
            </w:r>
            <w:r w:rsidRPr="007F791E">
              <w:rPr>
                <w:b/>
                <w:bCs/>
                <w:i/>
                <w:iCs/>
                <w:color w:val="000000"/>
                <w:sz w:val="28"/>
                <w:szCs w:val="28"/>
                <w:shd w:val="clear" w:color="auto" w:fill="FFFFFF"/>
              </w:rPr>
              <w:t>Ủy ban nhân dân cấp tỉnh chủ động phân cấp</w:t>
            </w:r>
            <w:r w:rsidRPr="007F791E">
              <w:rPr>
                <w:i/>
                <w:iCs/>
                <w:color w:val="000000"/>
                <w:sz w:val="28"/>
                <w:szCs w:val="28"/>
                <w:shd w:val="clear" w:color="auto" w:fill="FFFFFF"/>
              </w:rPr>
              <w:t xml:space="preserve"> cho cơ quan, tổ chức trực thuộc để quản lý hoạt động khoa học, công nghệ và đổi mới sáng tạo theo quy </w:t>
            </w:r>
            <w:r w:rsidRPr="007F791E">
              <w:rPr>
                <w:i/>
                <w:color w:val="000000"/>
                <w:sz w:val="28"/>
                <w:szCs w:val="28"/>
              </w:rPr>
              <w:t>định của </w:t>
            </w:r>
            <w:bookmarkStart w:id="1" w:name="tvpllink_oztzitmbya"/>
            <w:r w:rsidRPr="007F791E">
              <w:rPr>
                <w:i/>
                <w:color w:val="000000"/>
                <w:sz w:val="28"/>
                <w:szCs w:val="28"/>
              </w:rPr>
              <w:fldChar w:fldCharType="begin"/>
            </w:r>
            <w:r w:rsidRPr="007F791E">
              <w:rPr>
                <w:i/>
                <w:color w:val="000000"/>
                <w:sz w:val="28"/>
                <w:szCs w:val="28"/>
              </w:rPr>
              <w:instrText>HYPERLINK "https://thuvienphapluat.vn/van-ban/Bo-may-hanh-chinh/Luat-To-chuc-Chinh-phu-2025-so-63-2025-QH15-639242.aspx" \t "_blank"</w:instrText>
            </w:r>
            <w:r w:rsidRPr="007F791E">
              <w:rPr>
                <w:i/>
                <w:color w:val="000000"/>
                <w:sz w:val="28"/>
                <w:szCs w:val="28"/>
              </w:rPr>
            </w:r>
            <w:r w:rsidRPr="007F791E">
              <w:rPr>
                <w:i/>
                <w:color w:val="000000"/>
                <w:sz w:val="28"/>
                <w:szCs w:val="28"/>
              </w:rPr>
              <w:fldChar w:fldCharType="separate"/>
            </w:r>
            <w:r w:rsidRPr="007F791E">
              <w:rPr>
                <w:i/>
                <w:color w:val="000000"/>
                <w:sz w:val="28"/>
                <w:szCs w:val="28"/>
              </w:rPr>
              <w:t>Luật Tổ chức chính phủ</w:t>
            </w:r>
            <w:r w:rsidRPr="007F791E">
              <w:rPr>
                <w:i/>
                <w:color w:val="000000"/>
                <w:sz w:val="28"/>
                <w:szCs w:val="28"/>
              </w:rPr>
              <w:fldChar w:fldCharType="end"/>
            </w:r>
            <w:bookmarkEnd w:id="1"/>
            <w:r w:rsidRPr="007F791E">
              <w:rPr>
                <w:i/>
                <w:color w:val="000000"/>
                <w:sz w:val="28"/>
                <w:szCs w:val="28"/>
              </w:rPr>
              <w:t>, </w:t>
            </w:r>
            <w:bookmarkStart w:id="2" w:name="tvpllink_ybxjodnhtg"/>
            <w:r w:rsidRPr="007F791E">
              <w:rPr>
                <w:i/>
                <w:color w:val="000000"/>
                <w:sz w:val="28"/>
                <w:szCs w:val="28"/>
              </w:rPr>
              <w:fldChar w:fldCharType="begin"/>
            </w:r>
            <w:r w:rsidRPr="007F791E">
              <w:rPr>
                <w:i/>
                <w:color w:val="000000"/>
                <w:sz w:val="28"/>
                <w:szCs w:val="28"/>
              </w:rPr>
              <w:instrText>HYPERLINK "https://thuvienphapluat.vn/van-ban/Bo-may-hanh-chinh/Luat-To-chuc-chinh-quyen-dia-phuong-2025-so-72-2025-QH15-649675.aspx" \t "_blank"</w:instrText>
            </w:r>
            <w:r w:rsidRPr="007F791E">
              <w:rPr>
                <w:i/>
                <w:color w:val="000000"/>
                <w:sz w:val="28"/>
                <w:szCs w:val="28"/>
              </w:rPr>
            </w:r>
            <w:r w:rsidRPr="007F791E">
              <w:rPr>
                <w:i/>
                <w:color w:val="000000"/>
                <w:sz w:val="28"/>
                <w:szCs w:val="28"/>
              </w:rPr>
              <w:fldChar w:fldCharType="separate"/>
            </w:r>
            <w:r w:rsidRPr="007F791E">
              <w:rPr>
                <w:i/>
                <w:color w:val="000000"/>
                <w:sz w:val="28"/>
                <w:szCs w:val="28"/>
              </w:rPr>
              <w:t>Luật Tổ chức chính quyền địa phương</w:t>
            </w:r>
            <w:r w:rsidRPr="007F791E">
              <w:rPr>
                <w:i/>
                <w:color w:val="000000"/>
                <w:sz w:val="28"/>
                <w:szCs w:val="28"/>
              </w:rPr>
              <w:fldChar w:fldCharType="end"/>
            </w:r>
            <w:bookmarkEnd w:id="2"/>
            <w:r w:rsidRPr="007F791E">
              <w:rPr>
                <w:i/>
                <w:color w:val="000000"/>
                <w:sz w:val="28"/>
                <w:szCs w:val="28"/>
              </w:rPr>
              <w:t>”.</w:t>
            </w:r>
          </w:p>
        </w:tc>
        <w:tc>
          <w:tcPr>
            <w:tcW w:w="2694" w:type="dxa"/>
            <w:tcBorders>
              <w:bottom w:val="single" w:sz="4" w:space="0" w:color="auto"/>
            </w:tcBorders>
            <w:vAlign w:val="center"/>
          </w:tcPr>
          <w:p w14:paraId="7FE0C536" w14:textId="28A8D9E0" w:rsidR="0036364E" w:rsidRPr="00637CCB" w:rsidRDefault="0036364E" w:rsidP="0036364E">
            <w:pPr>
              <w:jc w:val="center"/>
              <w:rPr>
                <w:rFonts w:eastAsia="Times New Roman"/>
                <w:b/>
                <w:sz w:val="20"/>
                <w:szCs w:val="20"/>
              </w:rPr>
            </w:pPr>
            <w:r>
              <w:rPr>
                <w:rFonts w:eastAsia="Times New Roman"/>
                <w:b/>
                <w:sz w:val="20"/>
                <w:szCs w:val="20"/>
              </w:rPr>
              <w:lastRenderedPageBreak/>
              <w:t>Nội dung phân cấp phù hợp với các quy định của pháp luật</w:t>
            </w:r>
          </w:p>
        </w:tc>
        <w:tc>
          <w:tcPr>
            <w:tcW w:w="2126" w:type="dxa"/>
            <w:tcBorders>
              <w:bottom w:val="single" w:sz="4" w:space="0" w:color="auto"/>
            </w:tcBorders>
            <w:vAlign w:val="center"/>
          </w:tcPr>
          <w:p w14:paraId="6CFA932A" w14:textId="1CAEDBE3" w:rsidR="0036364E" w:rsidRPr="00637CCB" w:rsidRDefault="0036364E" w:rsidP="0036364E">
            <w:pPr>
              <w:tabs>
                <w:tab w:val="left" w:pos="2302"/>
                <w:tab w:val="left" w:pos="3679"/>
              </w:tabs>
              <w:jc w:val="center"/>
              <w:rPr>
                <w:rFonts w:eastAsia="Times New Roman"/>
                <w:b/>
                <w:sz w:val="22"/>
                <w:szCs w:val="22"/>
              </w:rPr>
            </w:pPr>
            <w:r w:rsidRPr="0036364E">
              <w:rPr>
                <w:rFonts w:eastAsia="Times New Roman"/>
                <w:bCs/>
                <w:sz w:val="22"/>
                <w:szCs w:val="22"/>
              </w:rPr>
              <w:t>Không đề xuất phương án xử lý</w:t>
            </w:r>
          </w:p>
        </w:tc>
      </w:tr>
      <w:tr w:rsidR="0036364E" w14:paraId="6812ECB5" w14:textId="77777777" w:rsidTr="00762540">
        <w:tc>
          <w:tcPr>
            <w:tcW w:w="557" w:type="dxa"/>
            <w:vAlign w:val="center"/>
          </w:tcPr>
          <w:p w14:paraId="1DCD7CE1" w14:textId="77777777" w:rsidR="0036364E" w:rsidRPr="00FD1A33" w:rsidRDefault="0036364E" w:rsidP="0036364E">
            <w:pPr>
              <w:jc w:val="center"/>
              <w:rPr>
                <w:rFonts w:eastAsia="Times New Roman"/>
                <w:bCs/>
                <w:sz w:val="20"/>
                <w:szCs w:val="20"/>
              </w:rPr>
            </w:pPr>
          </w:p>
        </w:tc>
        <w:tc>
          <w:tcPr>
            <w:tcW w:w="2385" w:type="dxa"/>
            <w:vAlign w:val="center"/>
          </w:tcPr>
          <w:p w14:paraId="6F3C7470" w14:textId="2A9D862D" w:rsidR="0036364E" w:rsidRPr="00D0145C" w:rsidRDefault="0036364E" w:rsidP="0036364E">
            <w:pPr>
              <w:spacing w:before="120" w:after="120"/>
              <w:jc w:val="both"/>
              <w:rPr>
                <w:sz w:val="28"/>
                <w:szCs w:val="28"/>
                <w:lang w:val="vi-VN"/>
              </w:rPr>
            </w:pPr>
            <w:r w:rsidRPr="00FB7D48">
              <w:rPr>
                <w:sz w:val="20"/>
                <w:szCs w:val="20"/>
                <w:lang w:val="pt-BR"/>
              </w:rPr>
              <w:t xml:space="preserve">Quy định </w:t>
            </w:r>
            <w:r>
              <w:rPr>
                <w:sz w:val="20"/>
                <w:szCs w:val="20"/>
                <w:lang w:val="pt-BR"/>
              </w:rPr>
              <w:t>chi tiết về quản lý các nhiệm vụ khoa học, công nghệ và đổi mới sáng tạo (Điều 4 - Điều 13)</w:t>
            </w:r>
          </w:p>
        </w:tc>
        <w:tc>
          <w:tcPr>
            <w:tcW w:w="6829" w:type="dxa"/>
            <w:tcBorders>
              <w:bottom w:val="single" w:sz="4" w:space="0" w:color="auto"/>
              <w:right w:val="single" w:sz="6" w:space="0" w:color="auto"/>
            </w:tcBorders>
          </w:tcPr>
          <w:p w14:paraId="205A3D78" w14:textId="77777777" w:rsidR="0036364E" w:rsidRDefault="0036364E" w:rsidP="0036364E">
            <w:pPr>
              <w:tabs>
                <w:tab w:val="left" w:pos="4140"/>
              </w:tabs>
              <w:spacing w:before="120" w:after="120"/>
              <w:ind w:firstLine="567"/>
              <w:jc w:val="both"/>
              <w:rPr>
                <w:iCs/>
                <w:color w:val="000000"/>
                <w:sz w:val="28"/>
                <w:szCs w:val="28"/>
              </w:rPr>
            </w:pPr>
            <w:r>
              <w:rPr>
                <w:iCs/>
                <w:color w:val="000000"/>
                <w:sz w:val="28"/>
                <w:szCs w:val="28"/>
              </w:rPr>
              <w:t>Nghị định số 267/2025/NĐ-CP:</w:t>
            </w:r>
          </w:p>
          <w:p w14:paraId="40F4DC6A" w14:textId="77777777" w:rsidR="0036364E" w:rsidRPr="00744222" w:rsidRDefault="0036364E" w:rsidP="0036364E">
            <w:pPr>
              <w:spacing w:before="120" w:after="120"/>
              <w:ind w:firstLine="567"/>
              <w:jc w:val="both"/>
              <w:rPr>
                <w:color w:val="000000"/>
                <w:szCs w:val="28"/>
              </w:rPr>
            </w:pPr>
            <w:r w:rsidRPr="00744222">
              <w:rPr>
                <w:bCs/>
                <w:color w:val="000000"/>
                <w:szCs w:val="28"/>
              </w:rPr>
              <w:t>+ Khoản 7 Điều 10 quy định:</w:t>
            </w:r>
            <w:r w:rsidRPr="00744222">
              <w:rPr>
                <w:color w:val="000000"/>
                <w:szCs w:val="28"/>
              </w:rPr>
              <w:t xml:space="preserve"> “</w:t>
            </w:r>
            <w:r w:rsidRPr="00744222">
              <w:rPr>
                <w:i/>
                <w:color w:val="000000"/>
                <w:szCs w:val="28"/>
              </w:rPr>
              <w:t xml:space="preserve">Ngoài quy định tại khoản 1, 2, 3, 4, 5 và 6 Điều này, bộ, cơ quan ngang bộ và </w:t>
            </w:r>
            <w:r w:rsidRPr="00744222">
              <w:rPr>
                <w:b/>
                <w:bCs/>
                <w:i/>
                <w:color w:val="000000"/>
                <w:szCs w:val="28"/>
              </w:rPr>
              <w:t>Ủy ban nhân dân cấp tỉnh quy định chi tiết</w:t>
            </w:r>
            <w:r w:rsidRPr="00744222">
              <w:rPr>
                <w:i/>
                <w:color w:val="000000"/>
                <w:szCs w:val="28"/>
              </w:rPr>
              <w:t xml:space="preserve">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r w:rsidRPr="00744222">
              <w:rPr>
                <w:color w:val="000000"/>
                <w:szCs w:val="28"/>
              </w:rPr>
              <w:t>”.</w:t>
            </w:r>
          </w:p>
          <w:p w14:paraId="0CB8B4B7" w14:textId="77777777" w:rsidR="0036364E" w:rsidRPr="00744222" w:rsidRDefault="0036364E" w:rsidP="0036364E">
            <w:pPr>
              <w:spacing w:before="120" w:after="120"/>
              <w:ind w:firstLine="567"/>
              <w:jc w:val="both"/>
              <w:rPr>
                <w:color w:val="000000"/>
                <w:szCs w:val="28"/>
              </w:rPr>
            </w:pPr>
            <w:r w:rsidRPr="00744222">
              <w:rPr>
                <w:bCs/>
                <w:color w:val="000000"/>
                <w:szCs w:val="28"/>
              </w:rPr>
              <w:t xml:space="preserve">+ Khoản 11 Điều 11 quy định: </w:t>
            </w:r>
            <w:r w:rsidRPr="00744222">
              <w:rPr>
                <w:color w:val="000000"/>
                <w:szCs w:val="28"/>
              </w:rPr>
              <w:t>“</w:t>
            </w:r>
            <w:r w:rsidRPr="00744222">
              <w:rPr>
                <w:i/>
                <w:color w:val="000000"/>
                <w:szCs w:val="28"/>
              </w:rPr>
              <w:t xml:space="preserve">Ngoài quy định tại khoản 1, 2, 3, 4, 5, 6, 7, 8, 9 và 10 Điều này, bộ, cơ quan ngang bộ và </w:t>
            </w:r>
            <w:r w:rsidRPr="00744222">
              <w:rPr>
                <w:b/>
                <w:bCs/>
                <w:i/>
                <w:color w:val="000000"/>
                <w:szCs w:val="28"/>
              </w:rPr>
              <w:t>Ủy ban nhân dân cấp tỉnh quy định chi tiết</w:t>
            </w:r>
            <w:r w:rsidRPr="00744222">
              <w:rPr>
                <w:i/>
                <w:color w:val="000000"/>
                <w:szCs w:val="28"/>
              </w:rPr>
              <w:t xml:space="preserve"> biểu mẫu hồ sơ đối với từng loại hình nhiệm vụ khoa học, công nghệ và đổi mới sáng tạo thuộc phạm vi quản lý nhà nước trong trường hợp cần thiết</w:t>
            </w:r>
            <w:r w:rsidRPr="00744222">
              <w:rPr>
                <w:color w:val="000000"/>
                <w:szCs w:val="28"/>
              </w:rPr>
              <w:t>”.</w:t>
            </w:r>
          </w:p>
          <w:p w14:paraId="24F97AAB" w14:textId="77777777" w:rsidR="0036364E" w:rsidRPr="00744222" w:rsidRDefault="0036364E" w:rsidP="0036364E">
            <w:pPr>
              <w:spacing w:before="120" w:after="120"/>
              <w:ind w:firstLine="567"/>
              <w:jc w:val="both"/>
              <w:rPr>
                <w:color w:val="000000"/>
                <w:szCs w:val="28"/>
              </w:rPr>
            </w:pPr>
            <w:r w:rsidRPr="00744222">
              <w:rPr>
                <w:bCs/>
                <w:color w:val="000000"/>
                <w:szCs w:val="28"/>
              </w:rPr>
              <w:t xml:space="preserve">+ Khoản 8 Điều 12 quy định: </w:t>
            </w:r>
            <w:r w:rsidRPr="00744222">
              <w:rPr>
                <w:color w:val="000000"/>
                <w:szCs w:val="28"/>
              </w:rPr>
              <w:t>“</w:t>
            </w:r>
            <w:r w:rsidRPr="00744222">
              <w:rPr>
                <w:i/>
                <w:color w:val="000000"/>
                <w:szCs w:val="28"/>
              </w:rPr>
              <w:t xml:space="preserve">Ngoài quy định tại khoản 2, 3, 4, 5, 6 và 7 Điều này, bộ, cơ quan ngang bộ, cơ quan thuộc Chính phủ, các cơ quan khác ở trung ương và </w:t>
            </w:r>
            <w:r w:rsidRPr="00744222">
              <w:rPr>
                <w:b/>
                <w:bCs/>
                <w:i/>
                <w:color w:val="000000"/>
                <w:szCs w:val="28"/>
              </w:rPr>
              <w:t>Ủy ban nhân dân cấp tỉnh quy định chi tiết</w:t>
            </w:r>
            <w:r w:rsidRPr="00744222">
              <w:rPr>
                <w:i/>
                <w:color w:val="000000"/>
                <w:szCs w:val="28"/>
              </w:rPr>
              <w:t xml:space="preserve">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r w:rsidRPr="00744222">
              <w:rPr>
                <w:color w:val="000000"/>
                <w:szCs w:val="28"/>
              </w:rPr>
              <w:t>”.</w:t>
            </w:r>
          </w:p>
          <w:p w14:paraId="11E3AFB7" w14:textId="77777777" w:rsidR="0036364E" w:rsidRPr="00744222" w:rsidRDefault="0036364E" w:rsidP="0036364E">
            <w:pPr>
              <w:spacing w:before="120" w:after="120"/>
              <w:ind w:firstLine="567"/>
              <w:jc w:val="both"/>
              <w:rPr>
                <w:color w:val="000000"/>
                <w:szCs w:val="28"/>
              </w:rPr>
            </w:pPr>
            <w:r w:rsidRPr="00744222">
              <w:rPr>
                <w:bCs/>
                <w:color w:val="000000"/>
                <w:szCs w:val="28"/>
              </w:rPr>
              <w:lastRenderedPageBreak/>
              <w:t xml:space="preserve">+ Khoản 6 Điều 15 quy định: </w:t>
            </w:r>
            <w:r w:rsidRPr="00744222">
              <w:rPr>
                <w:color w:val="000000"/>
                <w:szCs w:val="28"/>
              </w:rPr>
              <w:t>“</w:t>
            </w:r>
            <w:r w:rsidRPr="00744222">
              <w:rPr>
                <w:i/>
                <w:color w:val="000000"/>
                <w:szCs w:val="28"/>
              </w:rPr>
              <w:t xml:space="preserve">Ngoài quy định tại khoản 2 Điều này, bộ, cơ quan ngang bộ, cơ quan thuộc Chính phủ, cơ quan khác ở trung ương và </w:t>
            </w:r>
            <w:r w:rsidRPr="00744222">
              <w:rPr>
                <w:b/>
                <w:bCs/>
                <w:i/>
                <w:color w:val="000000"/>
                <w:szCs w:val="28"/>
              </w:rPr>
              <w:t>Ủy ban nhân dân cấp tỉnh quy định chi tiết</w:t>
            </w:r>
            <w:r w:rsidRPr="00744222">
              <w:rPr>
                <w:i/>
                <w:color w:val="000000"/>
                <w:szCs w:val="28"/>
              </w:rPr>
              <w:t xml:space="preserve"> nội dung, biểu mẫu hợp đồng giao nhiệm vụ tương ứng với từng loại hình nhiệm vụ thuộc phạm vi quản lý nhà nước trong trường hợp cần thiết</w:t>
            </w:r>
            <w:r w:rsidRPr="00744222">
              <w:rPr>
                <w:color w:val="000000"/>
                <w:szCs w:val="28"/>
              </w:rPr>
              <w:t>”.</w:t>
            </w:r>
          </w:p>
          <w:p w14:paraId="66D8BECB" w14:textId="77777777" w:rsidR="0036364E" w:rsidRPr="00744222" w:rsidRDefault="0036364E" w:rsidP="0036364E">
            <w:pPr>
              <w:spacing w:before="120" w:after="120"/>
              <w:ind w:firstLine="567"/>
              <w:jc w:val="both"/>
              <w:rPr>
                <w:color w:val="000000"/>
                <w:szCs w:val="28"/>
              </w:rPr>
            </w:pPr>
            <w:r w:rsidRPr="00744222">
              <w:rPr>
                <w:bCs/>
                <w:color w:val="000000"/>
                <w:szCs w:val="28"/>
              </w:rPr>
              <w:t xml:space="preserve">+ Khoản 8 Điều 16 quy định: </w:t>
            </w:r>
            <w:r w:rsidRPr="00744222">
              <w:rPr>
                <w:color w:val="000000"/>
                <w:szCs w:val="28"/>
              </w:rPr>
              <w:t>“</w:t>
            </w:r>
            <w:r w:rsidRPr="00744222">
              <w:rPr>
                <w:i/>
                <w:color w:val="000000"/>
                <w:szCs w:val="28"/>
              </w:rPr>
              <w:t xml:space="preserve">Ngoài quy định tại khoản 1, 2, 3, 4, 5, 6 và 7 Điều này, bộ, cơ quan ngang bộ, cơ quan thuộc Chính phủ, cơ quan khác ở trung ương và </w:t>
            </w:r>
            <w:r w:rsidRPr="00744222">
              <w:rPr>
                <w:b/>
                <w:bCs/>
                <w:i/>
                <w:color w:val="000000"/>
                <w:szCs w:val="28"/>
              </w:rPr>
              <w:t>Ủy ban nhân dân cấp tỉnh quy định chi tiết</w:t>
            </w:r>
            <w:r w:rsidRPr="00744222">
              <w:rPr>
                <w:i/>
                <w:color w:val="000000"/>
                <w:szCs w:val="28"/>
              </w:rPr>
              <w:t xml:space="preserve">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r w:rsidRPr="00744222">
              <w:rPr>
                <w:color w:val="000000"/>
                <w:szCs w:val="28"/>
              </w:rPr>
              <w:t>”.</w:t>
            </w:r>
          </w:p>
          <w:p w14:paraId="241C5E3F" w14:textId="77777777" w:rsidR="0036364E" w:rsidRPr="00744222" w:rsidRDefault="0036364E" w:rsidP="0036364E">
            <w:pPr>
              <w:spacing w:before="120" w:after="120"/>
              <w:ind w:firstLine="567"/>
              <w:jc w:val="both"/>
              <w:rPr>
                <w:color w:val="000000"/>
                <w:szCs w:val="28"/>
              </w:rPr>
            </w:pPr>
            <w:r w:rsidRPr="00744222">
              <w:rPr>
                <w:bCs/>
                <w:color w:val="000000"/>
                <w:szCs w:val="28"/>
              </w:rPr>
              <w:t xml:space="preserve">+ Khoản 5 Điều 17 quy định: </w:t>
            </w:r>
            <w:r w:rsidRPr="00744222">
              <w:rPr>
                <w:color w:val="000000"/>
                <w:szCs w:val="28"/>
              </w:rPr>
              <w:t>“</w:t>
            </w:r>
            <w:r w:rsidRPr="00744222">
              <w:rPr>
                <w:i/>
                <w:color w:val="000000"/>
                <w:szCs w:val="28"/>
              </w:rPr>
              <w:t xml:space="preserve">Ngoài quy định tại khoản 1, 2 và 4 Điều này, bộ, cơ quan ngang bộ, cơ quan thuộc Chính phủ, cơ quan khác ở trung ương và </w:t>
            </w:r>
            <w:r w:rsidRPr="00744222">
              <w:rPr>
                <w:b/>
                <w:bCs/>
                <w:i/>
                <w:color w:val="000000"/>
                <w:szCs w:val="28"/>
              </w:rPr>
              <w:t>Ủy ban nhân dân cấp tỉnh quy định chi tiết</w:t>
            </w:r>
            <w:r w:rsidRPr="00744222">
              <w:rPr>
                <w:i/>
                <w:color w:val="000000"/>
                <w:szCs w:val="28"/>
              </w:rPr>
              <w:t xml:space="preserve"> tiêu chí đánh giá, hồ sơ, biểu mẫu và trình tự đánh giá cuối kỳ, đánh giá hiệu quả đầu ra của nhiệm vụ khoa học, công nghệ và đổi mới sáng tạo thuộc phạm vi quản lý nhà nước trong trường hợp cần thiết</w:t>
            </w:r>
            <w:r w:rsidRPr="00744222">
              <w:rPr>
                <w:color w:val="000000"/>
                <w:szCs w:val="28"/>
              </w:rPr>
              <w:t>”.</w:t>
            </w:r>
          </w:p>
          <w:p w14:paraId="6F584AF6" w14:textId="77777777" w:rsidR="0036364E" w:rsidRPr="00744222" w:rsidRDefault="0036364E" w:rsidP="0036364E">
            <w:pPr>
              <w:spacing w:before="120" w:after="120"/>
              <w:ind w:firstLine="567"/>
              <w:jc w:val="both"/>
              <w:rPr>
                <w:color w:val="000000"/>
                <w:szCs w:val="28"/>
              </w:rPr>
            </w:pPr>
            <w:r w:rsidRPr="00744222">
              <w:rPr>
                <w:bCs/>
                <w:color w:val="000000"/>
                <w:szCs w:val="28"/>
              </w:rPr>
              <w:t xml:space="preserve">+ Khoản 7 Điều 18 quy định: </w:t>
            </w:r>
            <w:r w:rsidRPr="00744222">
              <w:rPr>
                <w:color w:val="000000"/>
                <w:szCs w:val="28"/>
              </w:rPr>
              <w:t>“</w:t>
            </w:r>
            <w:r w:rsidRPr="00744222">
              <w:rPr>
                <w:i/>
                <w:color w:val="000000"/>
                <w:szCs w:val="28"/>
              </w:rPr>
              <w:t xml:space="preserve">Ngoài quy định tại khoản 1 và 2 Điều này, bộ, cơ quan ngang bộ, cơ quan thuộc Chính phủ, cơ quan khác ở trung ương và </w:t>
            </w:r>
            <w:r w:rsidRPr="00744222">
              <w:rPr>
                <w:b/>
                <w:bCs/>
                <w:i/>
                <w:color w:val="000000"/>
                <w:szCs w:val="28"/>
              </w:rPr>
              <w:t xml:space="preserve">Ủy ban nhân dân cấp tỉnh quy định chi tiết </w:t>
            </w:r>
            <w:r w:rsidRPr="00744222">
              <w:rPr>
                <w:i/>
                <w:color w:val="000000"/>
                <w:szCs w:val="28"/>
              </w:rPr>
              <w:t>tiêu chí đánh giá, hồ sơ, biểu mẫu và trình tự đánh giá tác động của kết quả thực hiện nhiệm vụ phát triển công nghệ, đổi mới sáng tạo thuộc phạm vi quản lý nhà nước trong trường hợp cần thiết</w:t>
            </w:r>
            <w:r w:rsidRPr="00744222">
              <w:rPr>
                <w:color w:val="000000"/>
                <w:szCs w:val="28"/>
              </w:rPr>
              <w:t>”.</w:t>
            </w:r>
          </w:p>
          <w:p w14:paraId="2940A26D" w14:textId="77777777" w:rsidR="0036364E" w:rsidRPr="00744222" w:rsidRDefault="0036364E" w:rsidP="0036364E">
            <w:pPr>
              <w:spacing w:before="120" w:after="120"/>
              <w:ind w:firstLine="567"/>
              <w:jc w:val="both"/>
              <w:rPr>
                <w:color w:val="000000"/>
                <w:szCs w:val="28"/>
              </w:rPr>
            </w:pPr>
            <w:r w:rsidRPr="00744222">
              <w:rPr>
                <w:bCs/>
                <w:color w:val="000000"/>
                <w:szCs w:val="28"/>
              </w:rPr>
              <w:t>+ Khoản 4 Điều 19 quy định:</w:t>
            </w:r>
            <w:r w:rsidRPr="00744222">
              <w:rPr>
                <w:color w:val="000000"/>
                <w:szCs w:val="28"/>
              </w:rPr>
              <w:t xml:space="preserve"> “</w:t>
            </w:r>
            <w:r w:rsidRPr="00744222">
              <w:rPr>
                <w:i/>
                <w:color w:val="000000"/>
                <w:szCs w:val="28"/>
              </w:rPr>
              <w:t xml:space="preserve">Bộ, cơ quan ngang bộ, cơ quan thuộc Chính phủ, các cơ quan khác ở trung ương, </w:t>
            </w:r>
            <w:r w:rsidRPr="00744222">
              <w:rPr>
                <w:b/>
                <w:bCs/>
                <w:i/>
                <w:color w:val="000000"/>
                <w:szCs w:val="28"/>
              </w:rPr>
              <w:t>Ủy ban nhân dân cấp tỉnh quy định chi tiết</w:t>
            </w:r>
            <w:r w:rsidRPr="00744222">
              <w:rPr>
                <w:i/>
                <w:color w:val="000000"/>
                <w:szCs w:val="28"/>
              </w:rPr>
              <w:t xml:space="preserve"> nội dung, biểu mẫu quyết định chấm dứt thực hiện nhiệm vụ, biểu mẫu thanh lý và biên bản thanh lý hợp đồng thuộc phạm vi quản lý nhà nước trong trường hợp cần thiết</w:t>
            </w:r>
            <w:r w:rsidRPr="00744222">
              <w:rPr>
                <w:color w:val="000000"/>
                <w:szCs w:val="28"/>
              </w:rPr>
              <w:t>”.</w:t>
            </w:r>
          </w:p>
          <w:p w14:paraId="2FA3E82B" w14:textId="77777777" w:rsidR="0036364E" w:rsidRPr="00744222" w:rsidRDefault="0036364E" w:rsidP="0036364E">
            <w:pPr>
              <w:spacing w:before="120" w:after="120"/>
              <w:ind w:firstLine="567"/>
              <w:jc w:val="both"/>
              <w:rPr>
                <w:color w:val="000000"/>
                <w:szCs w:val="28"/>
              </w:rPr>
            </w:pPr>
            <w:r w:rsidRPr="00744222">
              <w:rPr>
                <w:bCs/>
                <w:color w:val="000000"/>
                <w:szCs w:val="28"/>
              </w:rPr>
              <w:lastRenderedPageBreak/>
              <w:t xml:space="preserve">+ Khoản 3 Điều 23 quy định: </w:t>
            </w:r>
            <w:r w:rsidRPr="00744222">
              <w:rPr>
                <w:color w:val="000000"/>
                <w:szCs w:val="28"/>
              </w:rPr>
              <w:t>“</w:t>
            </w:r>
            <w:r w:rsidRPr="00744222">
              <w:rPr>
                <w:i/>
                <w:color w:val="000000"/>
                <w:szCs w:val="28"/>
              </w:rPr>
              <w:t xml:space="preserve">Bộ, cơ quan ngang bộ, cơ quan thuộc Chính phủ, cơ quan khác ở trung ương và </w:t>
            </w:r>
            <w:r w:rsidRPr="00744222">
              <w:rPr>
                <w:b/>
                <w:bCs/>
                <w:i/>
                <w:color w:val="000000"/>
                <w:szCs w:val="28"/>
              </w:rPr>
              <w:t>Ủy ban nhân dân cấp tỉnh quy định chi tiết</w:t>
            </w:r>
            <w:r w:rsidRPr="00744222">
              <w:rPr>
                <w:i/>
                <w:color w:val="000000"/>
                <w:szCs w:val="28"/>
              </w:rPr>
              <w:t xml:space="preserve"> việc xây dựng, tổ chức triển khai, đánh giá và báo cáo kết quả thực hiện chương trình khoa học, công nghệ và đổi mới sáng tạo thuộc phạm vi quản lý nhà nước trong trường hợp cần thiết</w:t>
            </w:r>
            <w:r w:rsidRPr="00744222">
              <w:rPr>
                <w:color w:val="000000"/>
                <w:szCs w:val="28"/>
              </w:rPr>
              <w:t>”.</w:t>
            </w:r>
          </w:p>
          <w:p w14:paraId="7D4BEF6F" w14:textId="6FFA195C" w:rsidR="0036364E" w:rsidRPr="00762540" w:rsidRDefault="0036364E" w:rsidP="0036364E">
            <w:pPr>
              <w:spacing w:before="120" w:after="120"/>
              <w:ind w:firstLine="567"/>
              <w:jc w:val="both"/>
              <w:rPr>
                <w:color w:val="000000"/>
                <w:szCs w:val="28"/>
              </w:rPr>
            </w:pPr>
            <w:r w:rsidRPr="00744222">
              <w:rPr>
                <w:bCs/>
                <w:color w:val="000000"/>
                <w:szCs w:val="28"/>
              </w:rPr>
              <w:t>+ Khoản 2 Điều 39 quy định:</w:t>
            </w:r>
            <w:r w:rsidRPr="00744222">
              <w:rPr>
                <w:color w:val="000000"/>
                <w:szCs w:val="28"/>
              </w:rPr>
              <w:t xml:space="preserve"> “</w:t>
            </w:r>
            <w:r w:rsidRPr="00744222">
              <w:rPr>
                <w:i/>
                <w:color w:val="000000"/>
                <w:szCs w:val="28"/>
              </w:rPr>
              <w:t xml:space="preserve">Ngoài quy định tại khoản 1 Điều này, bộ, cơ quan ngang bộ, </w:t>
            </w:r>
            <w:r w:rsidRPr="00744222">
              <w:rPr>
                <w:b/>
                <w:bCs/>
                <w:i/>
                <w:color w:val="000000"/>
                <w:szCs w:val="28"/>
              </w:rPr>
              <w:t>Ủy ban nhân dân cấp tỉnh quy định chi tiết</w:t>
            </w:r>
            <w:r w:rsidRPr="00744222">
              <w:rPr>
                <w:i/>
                <w:color w:val="000000"/>
                <w:szCs w:val="28"/>
              </w:rPr>
              <w:t xml:space="preserve"> tiêu chí riêng về rủi ro đối với nhiệm vụ khoa học, công nghệ và đổi mới sáng tạo thuộc phạm vi quản lý nhà nước trong trường hợp cần thiết</w:t>
            </w:r>
            <w:r w:rsidRPr="00744222">
              <w:rPr>
                <w:color w:val="000000"/>
                <w:szCs w:val="28"/>
              </w:rPr>
              <w:t>”.</w:t>
            </w:r>
          </w:p>
        </w:tc>
        <w:tc>
          <w:tcPr>
            <w:tcW w:w="2694" w:type="dxa"/>
            <w:tcBorders>
              <w:left w:val="single" w:sz="6" w:space="0" w:color="auto"/>
              <w:bottom w:val="single" w:sz="4" w:space="0" w:color="auto"/>
              <w:right w:val="single" w:sz="6" w:space="0" w:color="auto"/>
            </w:tcBorders>
            <w:vAlign w:val="center"/>
          </w:tcPr>
          <w:p w14:paraId="652D742D" w14:textId="7AD06578" w:rsidR="0036364E" w:rsidRPr="00637CCB" w:rsidRDefault="0036364E" w:rsidP="0036364E">
            <w:pPr>
              <w:jc w:val="center"/>
              <w:rPr>
                <w:rFonts w:eastAsia="Times New Roman"/>
                <w:b/>
                <w:sz w:val="20"/>
                <w:szCs w:val="20"/>
              </w:rPr>
            </w:pPr>
            <w:r>
              <w:rPr>
                <w:rFonts w:eastAsia="Times New Roman"/>
                <w:b/>
                <w:sz w:val="20"/>
                <w:szCs w:val="20"/>
              </w:rPr>
              <w:lastRenderedPageBreak/>
              <w:t>Nội dung quy định chi tiết phù hợp với các quy định của pháp luật</w:t>
            </w:r>
          </w:p>
        </w:tc>
        <w:tc>
          <w:tcPr>
            <w:tcW w:w="2126" w:type="dxa"/>
            <w:tcBorders>
              <w:left w:val="single" w:sz="6" w:space="0" w:color="auto"/>
              <w:bottom w:val="single" w:sz="4" w:space="0" w:color="auto"/>
            </w:tcBorders>
            <w:vAlign w:val="center"/>
          </w:tcPr>
          <w:p w14:paraId="1BCED01F" w14:textId="3DAE398B" w:rsidR="0036364E" w:rsidRPr="0036364E" w:rsidRDefault="0036364E" w:rsidP="0036364E">
            <w:pPr>
              <w:tabs>
                <w:tab w:val="left" w:pos="2302"/>
                <w:tab w:val="left" w:pos="3679"/>
              </w:tabs>
              <w:jc w:val="center"/>
              <w:rPr>
                <w:rFonts w:eastAsia="Times New Roman"/>
                <w:bCs/>
                <w:sz w:val="22"/>
                <w:szCs w:val="22"/>
              </w:rPr>
            </w:pPr>
            <w:r w:rsidRPr="0036364E">
              <w:rPr>
                <w:rFonts w:eastAsia="Times New Roman"/>
                <w:bCs/>
                <w:sz w:val="22"/>
                <w:szCs w:val="22"/>
              </w:rPr>
              <w:t>Không đề xuất phương án xử lý</w:t>
            </w:r>
          </w:p>
        </w:tc>
      </w:tr>
    </w:tbl>
    <w:p w14:paraId="699ACEF7" w14:textId="77777777" w:rsidR="009B58EF" w:rsidRDefault="009B58EF">
      <w:pPr>
        <w:rPr>
          <w:rFonts w:eastAsia="Times New Roman"/>
          <w:sz w:val="28"/>
          <w:szCs w:val="28"/>
        </w:rPr>
      </w:pPr>
      <w:r>
        <w:rPr>
          <w:rFonts w:eastAsia="Times New Roman"/>
          <w:sz w:val="28"/>
          <w:szCs w:val="28"/>
        </w:rPr>
        <w:lastRenderedPageBreak/>
        <w:tab/>
      </w:r>
    </w:p>
    <w:p w14:paraId="71F951D5" w14:textId="4C84191F" w:rsidR="009B58EF" w:rsidRDefault="009B58EF">
      <w:pPr>
        <w:rPr>
          <w:rFonts w:eastAsia="Times New Roman"/>
          <w:b/>
          <w:sz w:val="28"/>
          <w:szCs w:val="28"/>
        </w:rPr>
      </w:pPr>
      <w:r>
        <w:rPr>
          <w:rFonts w:eastAsia="Times New Roman"/>
          <w:sz w:val="28"/>
          <w:szCs w:val="28"/>
        </w:rPr>
        <w:tab/>
      </w:r>
      <w:r w:rsidRPr="009B58EF">
        <w:rPr>
          <w:rFonts w:eastAsia="Times New Roman"/>
          <w:b/>
          <w:sz w:val="28"/>
          <w:szCs w:val="28"/>
        </w:rPr>
        <w:t>3. Điều ước quốc tế có liên quan đến Dự thảo Quyết định</w:t>
      </w:r>
      <w:r>
        <w:rPr>
          <w:rFonts w:eastAsia="Times New Roman"/>
          <w:b/>
          <w:sz w:val="28"/>
          <w:szCs w:val="28"/>
        </w:rPr>
        <w:t xml:space="preserve"> (Không có)</w:t>
      </w:r>
    </w:p>
    <w:p w14:paraId="705E6CDC" w14:textId="24664800" w:rsidR="009F310C" w:rsidRPr="009B58EF" w:rsidRDefault="009F310C">
      <w:pPr>
        <w:rPr>
          <w:b/>
          <w:sz w:val="28"/>
          <w:szCs w:val="28"/>
        </w:rPr>
      </w:pPr>
    </w:p>
    <w:sectPr w:rsidR="009F310C" w:rsidRPr="009B58EF" w:rsidSect="003C4FF9">
      <w:headerReference w:type="even" r:id="rId9"/>
      <w:headerReference w:type="default" r:id="rId10"/>
      <w:pgSz w:w="16838" w:h="11906" w:orient="landscape"/>
      <w:pgMar w:top="1418"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9A15" w14:textId="77777777" w:rsidR="00A84F86" w:rsidRDefault="00A84F86">
      <w:r>
        <w:separator/>
      </w:r>
    </w:p>
  </w:endnote>
  <w:endnote w:type="continuationSeparator" w:id="0">
    <w:p w14:paraId="02D1FCDF" w14:textId="77777777" w:rsidR="00A84F86" w:rsidRDefault="00A8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2B8C" w14:textId="77777777" w:rsidR="00A84F86" w:rsidRDefault="00A84F86">
      <w:r>
        <w:separator/>
      </w:r>
    </w:p>
  </w:footnote>
  <w:footnote w:type="continuationSeparator" w:id="0">
    <w:p w14:paraId="7D2F3AD8" w14:textId="77777777" w:rsidR="00A84F86" w:rsidRDefault="00A8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9A8D" w14:textId="77777777" w:rsidR="00EE15CE" w:rsidRDefault="006C0DD1">
    <w:pPr>
      <w:ind w:left="133"/>
      <w:jc w:val="center"/>
    </w:pPr>
    <w:r>
      <w:rPr>
        <w:rFonts w:eastAsia="Times New Roman"/>
        <w:sz w:val="26"/>
      </w:rPr>
      <w:fldChar w:fldCharType="begin"/>
    </w:r>
    <w:r>
      <w:rPr>
        <w:rFonts w:eastAsia="Times New Roman"/>
        <w:sz w:val="26"/>
      </w:rPr>
      <w:instrText xml:space="preserve"> PAGE   \* MERGEFORMAT </w:instrText>
    </w:r>
    <w:r>
      <w:rPr>
        <w:rFonts w:eastAsia="Times New Roman"/>
        <w:sz w:val="26"/>
      </w:rPr>
      <w:fldChar w:fldCharType="separate"/>
    </w:r>
    <w:r>
      <w:rPr>
        <w:rFonts w:eastAsia="Times New Roman"/>
        <w:sz w:val="26"/>
      </w:rPr>
      <w:t>2</w:t>
    </w:r>
    <w:r>
      <w:rPr>
        <w:rFonts w:eastAsia="Times New Roman"/>
        <w:sz w:val="26"/>
      </w:rPr>
      <w:fldChar w:fldCharType="end"/>
    </w:r>
    <w:r>
      <w:rPr>
        <w:rFonts w:eastAsia="Times New Roman"/>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08DF" w14:textId="564A6C93" w:rsidR="00EE15CE" w:rsidRDefault="006C0DD1">
    <w:pPr>
      <w:ind w:left="133"/>
      <w:jc w:val="center"/>
    </w:pPr>
    <w:r>
      <w:rPr>
        <w:rFonts w:eastAsia="Times New Roman"/>
        <w:sz w:val="26"/>
      </w:rPr>
      <w:fldChar w:fldCharType="begin"/>
    </w:r>
    <w:r>
      <w:rPr>
        <w:rFonts w:eastAsia="Times New Roman"/>
        <w:sz w:val="26"/>
      </w:rPr>
      <w:instrText xml:space="preserve"> PAGE   \* MERGEFORMAT </w:instrText>
    </w:r>
    <w:r>
      <w:rPr>
        <w:rFonts w:eastAsia="Times New Roman"/>
        <w:sz w:val="26"/>
      </w:rPr>
      <w:fldChar w:fldCharType="separate"/>
    </w:r>
    <w:r w:rsidR="00C412D5">
      <w:rPr>
        <w:rFonts w:eastAsia="Times New Roman"/>
        <w:noProof/>
        <w:sz w:val="26"/>
      </w:rPr>
      <w:t>2</w:t>
    </w:r>
    <w:r>
      <w:rPr>
        <w:rFonts w:eastAsia="Times New Roman"/>
        <w:sz w:val="26"/>
      </w:rPr>
      <w:fldChar w:fldCharType="end"/>
    </w:r>
    <w:r>
      <w:rPr>
        <w:rFonts w:eastAsia="Times New Roman"/>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64F"/>
    <w:multiLevelType w:val="hybridMultilevel"/>
    <w:tmpl w:val="BE76697E"/>
    <w:lvl w:ilvl="0" w:tplc="9A7E4D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A57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C600E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483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A8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4EBD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4BC3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4AD0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AA0A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1415B0"/>
    <w:multiLevelType w:val="hybridMultilevel"/>
    <w:tmpl w:val="ABC40B9A"/>
    <w:lvl w:ilvl="0" w:tplc="4D2E3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54C96"/>
    <w:multiLevelType w:val="hybridMultilevel"/>
    <w:tmpl w:val="DAD22758"/>
    <w:lvl w:ilvl="0" w:tplc="C3E4798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EC69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E15C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8D9F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5E877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459B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4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6ED9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C254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C9512BF"/>
    <w:multiLevelType w:val="hybridMultilevel"/>
    <w:tmpl w:val="0952CF58"/>
    <w:lvl w:ilvl="0" w:tplc="0BFADC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F184B"/>
    <w:multiLevelType w:val="hybridMultilevel"/>
    <w:tmpl w:val="69762C6A"/>
    <w:lvl w:ilvl="0" w:tplc="695A017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011F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CEEB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A3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9E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E5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C4561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2DD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381D1C">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59A663A"/>
    <w:multiLevelType w:val="hybridMultilevel"/>
    <w:tmpl w:val="C7AC8602"/>
    <w:lvl w:ilvl="0" w:tplc="E6201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3765C"/>
    <w:multiLevelType w:val="hybridMultilevel"/>
    <w:tmpl w:val="F2E6FB80"/>
    <w:lvl w:ilvl="0" w:tplc="E6BC3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8C2CD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4F016">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F00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0C611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0472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B0B6">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A74F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0568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2C266C9"/>
    <w:multiLevelType w:val="hybridMultilevel"/>
    <w:tmpl w:val="144AB576"/>
    <w:lvl w:ilvl="0" w:tplc="15B4F1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4401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6DA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8674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A54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FCF03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E22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5CF41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493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0217341"/>
    <w:multiLevelType w:val="hybridMultilevel"/>
    <w:tmpl w:val="C8E2065E"/>
    <w:lvl w:ilvl="0" w:tplc="DA8E1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E25BD"/>
    <w:multiLevelType w:val="hybridMultilevel"/>
    <w:tmpl w:val="974EF2DA"/>
    <w:lvl w:ilvl="0" w:tplc="AFE809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272D3"/>
    <w:multiLevelType w:val="hybridMultilevel"/>
    <w:tmpl w:val="30E64D82"/>
    <w:lvl w:ilvl="0" w:tplc="1D76835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85B1D11"/>
    <w:multiLevelType w:val="hybridMultilevel"/>
    <w:tmpl w:val="BAA04412"/>
    <w:lvl w:ilvl="0" w:tplc="029C5C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E0125"/>
    <w:multiLevelType w:val="hybridMultilevel"/>
    <w:tmpl w:val="26F28680"/>
    <w:lvl w:ilvl="0" w:tplc="454281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836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AB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E3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96B32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A6BA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E4FB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AE6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1C8C2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085110529">
    <w:abstractNumId w:val="4"/>
  </w:num>
  <w:num w:numId="2" w16cid:durableId="829751501">
    <w:abstractNumId w:val="0"/>
  </w:num>
  <w:num w:numId="3" w16cid:durableId="1106654257">
    <w:abstractNumId w:val="7"/>
  </w:num>
  <w:num w:numId="4" w16cid:durableId="1705668792">
    <w:abstractNumId w:val="6"/>
  </w:num>
  <w:num w:numId="5" w16cid:durableId="1727600774">
    <w:abstractNumId w:val="12"/>
  </w:num>
  <w:num w:numId="6" w16cid:durableId="376397862">
    <w:abstractNumId w:val="2"/>
  </w:num>
  <w:num w:numId="7" w16cid:durableId="1022824565">
    <w:abstractNumId w:val="10"/>
  </w:num>
  <w:num w:numId="8" w16cid:durableId="512766420">
    <w:abstractNumId w:val="9"/>
  </w:num>
  <w:num w:numId="9" w16cid:durableId="275873779">
    <w:abstractNumId w:val="5"/>
  </w:num>
  <w:num w:numId="10" w16cid:durableId="2121757672">
    <w:abstractNumId w:val="3"/>
  </w:num>
  <w:num w:numId="11" w16cid:durableId="662273134">
    <w:abstractNumId w:val="11"/>
  </w:num>
  <w:num w:numId="12" w16cid:durableId="488209255">
    <w:abstractNumId w:val="8"/>
  </w:num>
  <w:num w:numId="13" w16cid:durableId="30154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CE"/>
    <w:rsid w:val="00001C6B"/>
    <w:rsid w:val="00017847"/>
    <w:rsid w:val="00032A5D"/>
    <w:rsid w:val="00033321"/>
    <w:rsid w:val="00040DD2"/>
    <w:rsid w:val="000C3EF1"/>
    <w:rsid w:val="000D1D23"/>
    <w:rsid w:val="000D42D6"/>
    <w:rsid w:val="000E3048"/>
    <w:rsid w:val="000E3B9D"/>
    <w:rsid w:val="000F0049"/>
    <w:rsid w:val="000F156B"/>
    <w:rsid w:val="000F4C70"/>
    <w:rsid w:val="0011071C"/>
    <w:rsid w:val="00124BBD"/>
    <w:rsid w:val="001270D9"/>
    <w:rsid w:val="001412F3"/>
    <w:rsid w:val="00142800"/>
    <w:rsid w:val="001509F6"/>
    <w:rsid w:val="0016639D"/>
    <w:rsid w:val="00180875"/>
    <w:rsid w:val="001B1770"/>
    <w:rsid w:val="001B697A"/>
    <w:rsid w:val="001C2342"/>
    <w:rsid w:val="001D1CC2"/>
    <w:rsid w:val="001F03B6"/>
    <w:rsid w:val="00206769"/>
    <w:rsid w:val="00217675"/>
    <w:rsid w:val="002204EC"/>
    <w:rsid w:val="0022181E"/>
    <w:rsid w:val="002450D5"/>
    <w:rsid w:val="002735EE"/>
    <w:rsid w:val="002827F8"/>
    <w:rsid w:val="00290AA4"/>
    <w:rsid w:val="00290E4A"/>
    <w:rsid w:val="00292619"/>
    <w:rsid w:val="00297903"/>
    <w:rsid w:val="002A3100"/>
    <w:rsid w:val="002B17AA"/>
    <w:rsid w:val="002B699F"/>
    <w:rsid w:val="002C6A90"/>
    <w:rsid w:val="002D327E"/>
    <w:rsid w:val="002E6086"/>
    <w:rsid w:val="002F0DEB"/>
    <w:rsid w:val="002F7F93"/>
    <w:rsid w:val="00332FCE"/>
    <w:rsid w:val="003438CC"/>
    <w:rsid w:val="00355F64"/>
    <w:rsid w:val="0036364E"/>
    <w:rsid w:val="00377309"/>
    <w:rsid w:val="00390E8A"/>
    <w:rsid w:val="00394D51"/>
    <w:rsid w:val="003C4FF9"/>
    <w:rsid w:val="003F1888"/>
    <w:rsid w:val="003F6FB0"/>
    <w:rsid w:val="003F7CC6"/>
    <w:rsid w:val="003F7CDB"/>
    <w:rsid w:val="00414434"/>
    <w:rsid w:val="0042697E"/>
    <w:rsid w:val="00426B28"/>
    <w:rsid w:val="004411A0"/>
    <w:rsid w:val="00441DD4"/>
    <w:rsid w:val="00447068"/>
    <w:rsid w:val="0045002E"/>
    <w:rsid w:val="004650FB"/>
    <w:rsid w:val="0046718C"/>
    <w:rsid w:val="00471C12"/>
    <w:rsid w:val="00476D33"/>
    <w:rsid w:val="00486C36"/>
    <w:rsid w:val="00490984"/>
    <w:rsid w:val="00493B44"/>
    <w:rsid w:val="004A0240"/>
    <w:rsid w:val="004B2DB7"/>
    <w:rsid w:val="004B6FE5"/>
    <w:rsid w:val="004C22CE"/>
    <w:rsid w:val="004D7D38"/>
    <w:rsid w:val="004E3107"/>
    <w:rsid w:val="004E4144"/>
    <w:rsid w:val="004E56A3"/>
    <w:rsid w:val="004F3B03"/>
    <w:rsid w:val="005159B5"/>
    <w:rsid w:val="00532F54"/>
    <w:rsid w:val="00534084"/>
    <w:rsid w:val="0055102C"/>
    <w:rsid w:val="00554360"/>
    <w:rsid w:val="005543A7"/>
    <w:rsid w:val="00570E5B"/>
    <w:rsid w:val="00571E3F"/>
    <w:rsid w:val="00581321"/>
    <w:rsid w:val="0058218A"/>
    <w:rsid w:val="00596156"/>
    <w:rsid w:val="005966A0"/>
    <w:rsid w:val="005A427B"/>
    <w:rsid w:val="005A4553"/>
    <w:rsid w:val="005B567A"/>
    <w:rsid w:val="005B7DD4"/>
    <w:rsid w:val="005B7EBF"/>
    <w:rsid w:val="005E4EC7"/>
    <w:rsid w:val="005F49DB"/>
    <w:rsid w:val="006047D8"/>
    <w:rsid w:val="006047F8"/>
    <w:rsid w:val="00610344"/>
    <w:rsid w:val="00613659"/>
    <w:rsid w:val="006235F8"/>
    <w:rsid w:val="00634DBC"/>
    <w:rsid w:val="006371ED"/>
    <w:rsid w:val="00637CCB"/>
    <w:rsid w:val="0064770A"/>
    <w:rsid w:val="00656169"/>
    <w:rsid w:val="00670F87"/>
    <w:rsid w:val="0068154F"/>
    <w:rsid w:val="0069070C"/>
    <w:rsid w:val="006A7763"/>
    <w:rsid w:val="006B0B97"/>
    <w:rsid w:val="006B2B89"/>
    <w:rsid w:val="006B6CCC"/>
    <w:rsid w:val="006C0DD1"/>
    <w:rsid w:val="006E63DC"/>
    <w:rsid w:val="006F724D"/>
    <w:rsid w:val="00702C86"/>
    <w:rsid w:val="00705C80"/>
    <w:rsid w:val="007067AD"/>
    <w:rsid w:val="00715DA9"/>
    <w:rsid w:val="00716F1F"/>
    <w:rsid w:val="00733FAE"/>
    <w:rsid w:val="0074022B"/>
    <w:rsid w:val="00750146"/>
    <w:rsid w:val="00762540"/>
    <w:rsid w:val="00773A9F"/>
    <w:rsid w:val="007751CE"/>
    <w:rsid w:val="0078544A"/>
    <w:rsid w:val="007B19AB"/>
    <w:rsid w:val="007C0A1D"/>
    <w:rsid w:val="007D3355"/>
    <w:rsid w:val="00811D8B"/>
    <w:rsid w:val="00817B75"/>
    <w:rsid w:val="008204F9"/>
    <w:rsid w:val="00822562"/>
    <w:rsid w:val="00822592"/>
    <w:rsid w:val="00833B83"/>
    <w:rsid w:val="00862783"/>
    <w:rsid w:val="00867726"/>
    <w:rsid w:val="00867C28"/>
    <w:rsid w:val="00894BD1"/>
    <w:rsid w:val="008A1723"/>
    <w:rsid w:val="008B49E2"/>
    <w:rsid w:val="008B5879"/>
    <w:rsid w:val="008E1F6B"/>
    <w:rsid w:val="00911697"/>
    <w:rsid w:val="00942D5B"/>
    <w:rsid w:val="00971065"/>
    <w:rsid w:val="00985BD7"/>
    <w:rsid w:val="00993C1B"/>
    <w:rsid w:val="00995E57"/>
    <w:rsid w:val="009A2D39"/>
    <w:rsid w:val="009B2C8C"/>
    <w:rsid w:val="009B58EF"/>
    <w:rsid w:val="009C1696"/>
    <w:rsid w:val="009D23A1"/>
    <w:rsid w:val="009D489C"/>
    <w:rsid w:val="009E1925"/>
    <w:rsid w:val="009F310C"/>
    <w:rsid w:val="00A17DC6"/>
    <w:rsid w:val="00A20220"/>
    <w:rsid w:val="00A2402A"/>
    <w:rsid w:val="00A45264"/>
    <w:rsid w:val="00A461E4"/>
    <w:rsid w:val="00A73870"/>
    <w:rsid w:val="00A80311"/>
    <w:rsid w:val="00A84F86"/>
    <w:rsid w:val="00A91FDC"/>
    <w:rsid w:val="00AA21B1"/>
    <w:rsid w:val="00AD11CC"/>
    <w:rsid w:val="00AD44F6"/>
    <w:rsid w:val="00AE5834"/>
    <w:rsid w:val="00AE74E7"/>
    <w:rsid w:val="00B02506"/>
    <w:rsid w:val="00B15C79"/>
    <w:rsid w:val="00B217A3"/>
    <w:rsid w:val="00B22A0B"/>
    <w:rsid w:val="00B26BFC"/>
    <w:rsid w:val="00B27538"/>
    <w:rsid w:val="00B31F71"/>
    <w:rsid w:val="00B40BDC"/>
    <w:rsid w:val="00B45AD9"/>
    <w:rsid w:val="00B51245"/>
    <w:rsid w:val="00B51F51"/>
    <w:rsid w:val="00B54116"/>
    <w:rsid w:val="00B75CA2"/>
    <w:rsid w:val="00B922DF"/>
    <w:rsid w:val="00BC2D1B"/>
    <w:rsid w:val="00BC335E"/>
    <w:rsid w:val="00BC4B8B"/>
    <w:rsid w:val="00BC5A37"/>
    <w:rsid w:val="00BC63CF"/>
    <w:rsid w:val="00BC721B"/>
    <w:rsid w:val="00BD10DA"/>
    <w:rsid w:val="00BD3000"/>
    <w:rsid w:val="00BD6D4F"/>
    <w:rsid w:val="00BE7683"/>
    <w:rsid w:val="00C00DA3"/>
    <w:rsid w:val="00C16B3E"/>
    <w:rsid w:val="00C24679"/>
    <w:rsid w:val="00C27B6D"/>
    <w:rsid w:val="00C412D5"/>
    <w:rsid w:val="00C67D36"/>
    <w:rsid w:val="00C876E3"/>
    <w:rsid w:val="00CA6ECE"/>
    <w:rsid w:val="00CB6286"/>
    <w:rsid w:val="00CB6A41"/>
    <w:rsid w:val="00CB7720"/>
    <w:rsid w:val="00CC0539"/>
    <w:rsid w:val="00CC2868"/>
    <w:rsid w:val="00CC48D1"/>
    <w:rsid w:val="00CC4CBF"/>
    <w:rsid w:val="00CE3096"/>
    <w:rsid w:val="00D0145C"/>
    <w:rsid w:val="00D16726"/>
    <w:rsid w:val="00D20251"/>
    <w:rsid w:val="00D20635"/>
    <w:rsid w:val="00D34C15"/>
    <w:rsid w:val="00D42866"/>
    <w:rsid w:val="00D433F2"/>
    <w:rsid w:val="00D52522"/>
    <w:rsid w:val="00D53D65"/>
    <w:rsid w:val="00D5756C"/>
    <w:rsid w:val="00D63F9A"/>
    <w:rsid w:val="00D65186"/>
    <w:rsid w:val="00D71E47"/>
    <w:rsid w:val="00D8061A"/>
    <w:rsid w:val="00D822FD"/>
    <w:rsid w:val="00D97F27"/>
    <w:rsid w:val="00DA13E2"/>
    <w:rsid w:val="00DB5DDD"/>
    <w:rsid w:val="00DC16FC"/>
    <w:rsid w:val="00DC2C6F"/>
    <w:rsid w:val="00DC32EE"/>
    <w:rsid w:val="00DC56A1"/>
    <w:rsid w:val="00DE4B9B"/>
    <w:rsid w:val="00DE561F"/>
    <w:rsid w:val="00DF2123"/>
    <w:rsid w:val="00E019B6"/>
    <w:rsid w:val="00E17B4D"/>
    <w:rsid w:val="00E628FA"/>
    <w:rsid w:val="00E86D34"/>
    <w:rsid w:val="00E9178A"/>
    <w:rsid w:val="00E920D7"/>
    <w:rsid w:val="00EE0EAD"/>
    <w:rsid w:val="00EE15CE"/>
    <w:rsid w:val="00EE260B"/>
    <w:rsid w:val="00EE7601"/>
    <w:rsid w:val="00F00E75"/>
    <w:rsid w:val="00F04D95"/>
    <w:rsid w:val="00F21311"/>
    <w:rsid w:val="00F53D8C"/>
    <w:rsid w:val="00F71185"/>
    <w:rsid w:val="00F7693D"/>
    <w:rsid w:val="00F83824"/>
    <w:rsid w:val="00FA2A4B"/>
    <w:rsid w:val="00FB6482"/>
    <w:rsid w:val="00FB7D48"/>
    <w:rsid w:val="00FC255C"/>
    <w:rsid w:val="00FC585C"/>
    <w:rsid w:val="00FD1A33"/>
    <w:rsid w:val="00FD1F0D"/>
    <w:rsid w:val="00FE67F7"/>
    <w:rsid w:val="00FF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4539"/>
  <w15:docId w15:val="{B3D7F605-523F-4559-9F35-57E4EFA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3EF1"/>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7C0A1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756C"/>
    <w:pPr>
      <w:spacing w:after="160" w:line="259" w:lineRule="auto"/>
      <w:ind w:left="720"/>
      <w:contextualSpacing/>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1B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97A"/>
    <w:rPr>
      <w:rFonts w:ascii="Segoe UI" w:eastAsia="Calibri" w:hAnsi="Segoe UI" w:cs="Segoe UI"/>
      <w:color w:val="000000"/>
      <w:sz w:val="18"/>
      <w:szCs w:val="18"/>
    </w:rPr>
  </w:style>
  <w:style w:type="paragraph" w:styleId="Footer">
    <w:name w:val="footer"/>
    <w:basedOn w:val="Normal"/>
    <w:link w:val="FooterChar"/>
    <w:uiPriority w:val="99"/>
    <w:unhideWhenUsed/>
    <w:rsid w:val="001B697A"/>
    <w:pPr>
      <w:tabs>
        <w:tab w:val="center" w:pos="4680"/>
        <w:tab w:val="right" w:pos="9360"/>
      </w:tabs>
    </w:pPr>
    <w:rPr>
      <w:rFonts w:ascii="Calibri" w:eastAsia="Calibri" w:hAnsi="Calibri" w:cs="Calibri"/>
      <w:color w:val="000000"/>
      <w:sz w:val="22"/>
      <w:szCs w:val="22"/>
    </w:rPr>
  </w:style>
  <w:style w:type="character" w:customStyle="1" w:styleId="FooterChar">
    <w:name w:val="Footer Char"/>
    <w:basedOn w:val="DefaultParagraphFont"/>
    <w:link w:val="Footer"/>
    <w:uiPriority w:val="99"/>
    <w:rsid w:val="001B697A"/>
    <w:rPr>
      <w:rFonts w:ascii="Calibri" w:eastAsia="Calibri" w:hAnsi="Calibri" w:cs="Calibri"/>
      <w:color w:val="000000"/>
    </w:rPr>
  </w:style>
  <w:style w:type="paragraph" w:styleId="Header">
    <w:name w:val="header"/>
    <w:basedOn w:val="Normal"/>
    <w:link w:val="HeaderChar"/>
    <w:uiPriority w:val="99"/>
    <w:unhideWhenUsed/>
    <w:rsid w:val="001B697A"/>
    <w:pPr>
      <w:tabs>
        <w:tab w:val="center" w:pos="4680"/>
        <w:tab w:val="right" w:pos="9360"/>
      </w:tabs>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1B697A"/>
    <w:rPr>
      <w:rFonts w:ascii="Calibri" w:eastAsia="Calibri" w:hAnsi="Calibri" w:cs="Calibri"/>
      <w:color w:val="000000"/>
    </w:rPr>
  </w:style>
  <w:style w:type="character" w:customStyle="1" w:styleId="fontstyle01">
    <w:name w:val="fontstyle01"/>
    <w:rsid w:val="002E6086"/>
    <w:rPr>
      <w:rFonts w:ascii="TimesNewRomanPSMT" w:hAnsi="TimesNewRomanPSMT" w:hint="default"/>
      <w:b w:val="0"/>
      <w:bCs w:val="0"/>
      <w:i w:val="0"/>
      <w:iCs w:val="0"/>
      <w:color w:val="000000"/>
      <w:sz w:val="28"/>
      <w:szCs w:val="28"/>
    </w:rPr>
  </w:style>
  <w:style w:type="table" w:styleId="TableGrid0">
    <w:name w:val="Table Grid"/>
    <w:basedOn w:val="TableNormal"/>
    <w:uiPriority w:val="39"/>
    <w:rsid w:val="009B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C0A1D"/>
    <w:rPr>
      <w:rFonts w:ascii="Times New Roman" w:hAnsi="Times New Roman" w:cs="Times New Roman"/>
      <w:b/>
      <w:bCs/>
      <w:sz w:val="36"/>
      <w:szCs w:val="36"/>
    </w:rPr>
  </w:style>
  <w:style w:type="paragraph" w:styleId="NormalWeb">
    <w:name w:val="Normal (Web)"/>
    <w:basedOn w:val="Normal"/>
    <w:uiPriority w:val="99"/>
    <w:semiHidden/>
    <w:unhideWhenUsed/>
    <w:rsid w:val="002B17AA"/>
  </w:style>
  <w:style w:type="character" w:styleId="Hyperlink">
    <w:name w:val="Hyperlink"/>
    <w:basedOn w:val="DefaultParagraphFont"/>
    <w:uiPriority w:val="99"/>
    <w:unhideWhenUsed/>
    <w:rsid w:val="006235F8"/>
    <w:rPr>
      <w:color w:val="0563C1" w:themeColor="hyperlink"/>
      <w:u w:val="single"/>
    </w:rPr>
  </w:style>
  <w:style w:type="character" w:customStyle="1" w:styleId="UnresolvedMention1">
    <w:name w:val="Unresolved Mention1"/>
    <w:basedOn w:val="DefaultParagraphFont"/>
    <w:uiPriority w:val="99"/>
    <w:rsid w:val="0062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66839">
      <w:bodyDiv w:val="1"/>
      <w:marLeft w:val="0"/>
      <w:marRight w:val="0"/>
      <w:marTop w:val="0"/>
      <w:marBottom w:val="0"/>
      <w:divBdr>
        <w:top w:val="none" w:sz="0" w:space="0" w:color="auto"/>
        <w:left w:val="none" w:sz="0" w:space="0" w:color="auto"/>
        <w:bottom w:val="none" w:sz="0" w:space="0" w:color="auto"/>
        <w:right w:val="none" w:sz="0" w:space="0" w:color="auto"/>
      </w:divBdr>
    </w:div>
    <w:div w:id="813717106">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
    <w:div w:id="1725717943">
      <w:bodyDiv w:val="1"/>
      <w:marLeft w:val="0"/>
      <w:marRight w:val="0"/>
      <w:marTop w:val="0"/>
      <w:marBottom w:val="0"/>
      <w:divBdr>
        <w:top w:val="none" w:sz="0" w:space="0" w:color="auto"/>
        <w:left w:val="none" w:sz="0" w:space="0" w:color="auto"/>
        <w:bottom w:val="none" w:sz="0" w:space="0" w:color="auto"/>
        <w:right w:val="none" w:sz="0" w:space="0" w:color="auto"/>
      </w:divBdr>
    </w:div>
    <w:div w:id="21005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Khoa-hoc-Cong-nghe-va-Doi-moi-sang-tao-2025-so-93-2025-QH15-58116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3889-A755-1F4F-9753-FDC4A57F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cp:lastModifiedBy>Sở Khoa học và    Công nghệ</cp:lastModifiedBy>
  <cp:revision>2</cp:revision>
  <cp:lastPrinted>2025-10-06T01:10:00Z</cp:lastPrinted>
  <dcterms:created xsi:type="dcterms:W3CDTF">2026-04-13T06:37:00Z</dcterms:created>
  <dcterms:modified xsi:type="dcterms:W3CDTF">2026-04-13T06:37:00Z</dcterms:modified>
</cp:coreProperties>
</file>