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1" w:type="dxa"/>
        <w:tblLook w:val="0000" w:firstRow="0" w:lastRow="0" w:firstColumn="0" w:lastColumn="0" w:noHBand="0" w:noVBand="0"/>
      </w:tblPr>
      <w:tblGrid>
        <w:gridCol w:w="7088"/>
        <w:gridCol w:w="7513"/>
      </w:tblGrid>
      <w:tr w:rsidR="00AE39C8" w:rsidRPr="00AE39C8" w14:paraId="7976E6C0" w14:textId="77777777" w:rsidTr="00DF3DC8">
        <w:trPr>
          <w:trHeight w:val="1124"/>
        </w:trPr>
        <w:tc>
          <w:tcPr>
            <w:tcW w:w="7088" w:type="dxa"/>
          </w:tcPr>
          <w:p w14:paraId="08D48AA4" w14:textId="77777777" w:rsidR="00DF3DC8" w:rsidRPr="002F7C43" w:rsidRDefault="00DF3DC8" w:rsidP="003A4515">
            <w:pPr>
              <w:rPr>
                <w:sz w:val="28"/>
                <w:szCs w:val="28"/>
              </w:rPr>
            </w:pPr>
            <w:r w:rsidRPr="002F7C43">
              <w:rPr>
                <w:sz w:val="28"/>
                <w:szCs w:val="28"/>
              </w:rPr>
              <w:t>UBND THÀNH PHỐ HẢI PHÒNG</w:t>
            </w:r>
          </w:p>
          <w:p w14:paraId="5CD7672E" w14:textId="77777777" w:rsidR="00DF3DC8" w:rsidRPr="002F7C43" w:rsidRDefault="00DF3DC8" w:rsidP="003A4515">
            <w:pPr>
              <w:rPr>
                <w:b/>
                <w:bCs/>
                <w:sz w:val="28"/>
                <w:szCs w:val="28"/>
              </w:rPr>
            </w:pPr>
            <w:r w:rsidRPr="002F7C43">
              <w:rPr>
                <w:b/>
                <w:bCs/>
                <w:sz w:val="28"/>
                <w:szCs w:val="28"/>
              </w:rPr>
              <w:t>SỞ KHOA HỌC VÀ CÔNG NGHỆ</w:t>
            </w:r>
          </w:p>
          <w:p w14:paraId="4E9E32FE" w14:textId="77777777" w:rsidR="00DF3DC8" w:rsidRPr="00AE39C8" w:rsidRDefault="00583FB1" w:rsidP="00DF3DC8">
            <w:pPr>
              <w:spacing w:before="120" w:after="120"/>
              <w:rPr>
                <w:sz w:val="26"/>
                <w:szCs w:val="24"/>
                <w:lang w:val="vi-VN"/>
              </w:rPr>
            </w:pPr>
            <w:r w:rsidRPr="00AE39C8">
              <w:rPr>
                <w:noProof/>
                <w:sz w:val="26"/>
                <w:szCs w:val="24"/>
              </w:rPr>
              <mc:AlternateContent>
                <mc:Choice Requires="wps">
                  <w:drawing>
                    <wp:anchor distT="4294967295" distB="4294967295" distL="114300" distR="114300" simplePos="0" relativeHeight="251657216" behindDoc="0" locked="0" layoutInCell="1" allowOverlap="1" wp14:anchorId="78092C2A" wp14:editId="4155AA0A">
                      <wp:simplePos x="0" y="0"/>
                      <wp:positionH relativeFrom="column">
                        <wp:posOffset>1774825</wp:posOffset>
                      </wp:positionH>
                      <wp:positionV relativeFrom="paragraph">
                        <wp:posOffset>32385</wp:posOffset>
                      </wp:positionV>
                      <wp:extent cx="893445" cy="0"/>
                      <wp:effectExtent l="0" t="0" r="0" b="0"/>
                      <wp:wrapNone/>
                      <wp:docPr id="1229980643"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3445" cy="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05BCE69E" id="Straight Connector 4"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5pt,2.55pt" to="210.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" strokeweight=".5pt">
                      <v:stroke joinstyle="miter"/>
                      <o:lock v:ext="edit" shapetype="f"/>
                    </v:line>
                  </w:pict>
                </mc:Fallback>
              </mc:AlternateContent>
            </w:r>
          </w:p>
          <w:p w14:paraId="2617079A" w14:textId="77777777" w:rsidR="00DF3DC8" w:rsidRPr="00AE39C8" w:rsidRDefault="00DF3DC8" w:rsidP="003A4515"/>
        </w:tc>
        <w:tc>
          <w:tcPr>
            <w:tcW w:w="7513" w:type="dxa"/>
          </w:tcPr>
          <w:p w14:paraId="5C8B63CE" w14:textId="77777777" w:rsidR="00DF3DC8" w:rsidRPr="002F7C43" w:rsidRDefault="00DF3DC8" w:rsidP="003A4515">
            <w:pPr>
              <w:rPr>
                <w:b/>
                <w:bCs/>
                <w:sz w:val="28"/>
                <w:szCs w:val="28"/>
              </w:rPr>
            </w:pPr>
            <w:r w:rsidRPr="002F7C43">
              <w:rPr>
                <w:b/>
                <w:bCs/>
                <w:sz w:val="28"/>
                <w:szCs w:val="28"/>
              </w:rPr>
              <w:t>CỘNG HOÀ XÃ HỘI CHỦ NGHĨA VIỆT NAM</w:t>
            </w:r>
          </w:p>
          <w:p w14:paraId="6A80ACE6" w14:textId="77777777" w:rsidR="00DF3DC8" w:rsidRPr="002F7C43" w:rsidRDefault="00DF3DC8" w:rsidP="003A4515">
            <w:pPr>
              <w:rPr>
                <w:b/>
                <w:bCs/>
                <w:sz w:val="28"/>
                <w:szCs w:val="28"/>
              </w:rPr>
            </w:pPr>
            <w:r w:rsidRPr="002F7C43">
              <w:rPr>
                <w:b/>
                <w:bCs/>
                <w:sz w:val="28"/>
                <w:szCs w:val="28"/>
              </w:rPr>
              <w:t>Độc lập – Tự do – Hạnh phúc</w:t>
            </w:r>
          </w:p>
          <w:p w14:paraId="6575F64D" w14:textId="587E24D6" w:rsidR="00DF3DC8" w:rsidRPr="00AE39C8" w:rsidRDefault="00290E9F" w:rsidP="008553EA">
            <w:pPr>
              <w:spacing w:before="120"/>
              <w:rPr>
                <w:i/>
                <w:iCs/>
                <w:sz w:val="26"/>
                <w:szCs w:val="24"/>
              </w:rPr>
            </w:pPr>
            <w:r>
              <w:rPr>
                <w:i/>
                <w:iCs/>
                <w:noProof/>
                <w:sz w:val="26"/>
                <w:szCs w:val="24"/>
                <w14:ligatures w14:val="standardContextual"/>
              </w:rPr>
              <mc:AlternateContent>
                <mc:Choice Requires="wps">
                  <w:drawing>
                    <wp:anchor distT="0" distB="0" distL="114300" distR="114300" simplePos="0" relativeHeight="251660288" behindDoc="0" locked="0" layoutInCell="1" allowOverlap="1" wp14:anchorId="7A5804D3" wp14:editId="6F1BCE2B">
                      <wp:simplePos x="0" y="0"/>
                      <wp:positionH relativeFrom="column">
                        <wp:posOffset>1266524</wp:posOffset>
                      </wp:positionH>
                      <wp:positionV relativeFrom="paragraph">
                        <wp:posOffset>18283</wp:posOffset>
                      </wp:positionV>
                      <wp:extent cx="2122099" cy="0"/>
                      <wp:effectExtent l="0" t="0" r="0" b="0"/>
                      <wp:wrapNone/>
                      <wp:docPr id="1243901733" name="Straight Connector 3"/>
                      <wp:cNvGraphicFramePr/>
                      <a:graphic xmlns:a="http://schemas.openxmlformats.org/drawingml/2006/main">
                        <a:graphicData uri="http://schemas.microsoft.com/office/word/2010/wordprocessingShape">
                          <wps:wsp>
                            <wps:cNvCnPr/>
                            <wps:spPr>
                              <a:xfrm>
                                <a:off x="0" y="0"/>
                                <a:ext cx="212209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BEEEB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9.75pt,1.45pt" to="266.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" strokecolor="black [3200]" strokeweight=".5pt">
                      <v:stroke joinstyle="miter"/>
                    </v:line>
                  </w:pict>
                </mc:Fallback>
              </mc:AlternateContent>
            </w:r>
            <w:r w:rsidR="00DF3DC8">
              <w:rPr>
                <w:i/>
                <w:iCs/>
                <w:noProof/>
                <w:sz w:val="26"/>
                <w:szCs w:val="24"/>
              </w:rPr>
              <w:t xml:space="preserve">Hải Phòng, ngày  </w:t>
            </w:r>
            <w:r w:rsidR="0001563F">
              <w:rPr>
                <w:i/>
                <w:iCs/>
                <w:noProof/>
                <w:sz w:val="26"/>
                <w:szCs w:val="24"/>
              </w:rPr>
              <w:t>05</w:t>
            </w:r>
            <w:r w:rsidR="00DF3DC8">
              <w:rPr>
                <w:i/>
                <w:iCs/>
                <w:noProof/>
                <w:sz w:val="26"/>
                <w:szCs w:val="24"/>
              </w:rPr>
              <w:t xml:space="preserve">  tháng 10 năm 2026</w:t>
            </w:r>
          </w:p>
        </w:tc>
      </w:tr>
    </w:tbl>
    <w:p w14:paraId="617F3A7A" w14:textId="7F04F924" w:rsidR="002D0870" w:rsidRDefault="00DF3DC8" w:rsidP="00FF4FE3">
      <w:pPr>
        <w:rPr>
          <w:b/>
          <w:bCs/>
          <w:sz w:val="28"/>
          <w:szCs w:val="28"/>
        </w:rPr>
      </w:pPr>
      <w:r>
        <w:rPr>
          <w:b/>
          <w:bCs/>
          <w:sz w:val="28"/>
          <w:szCs w:val="28"/>
          <w:lang w:val="vi-VN"/>
        </w:rPr>
        <w:t xml:space="preserve">BẢN SO SÁNH, THUYẾT MINH NỘI DUNG DỰ THẢO QUYẾT ĐỊNH BAN HÀNH QUY ĐỊNH VỀ VIỆC </w:t>
      </w:r>
      <w:r w:rsidR="0001563F">
        <w:rPr>
          <w:b/>
          <w:bCs/>
          <w:sz w:val="28"/>
          <w:szCs w:val="28"/>
        </w:rPr>
        <w:br/>
      </w:r>
      <w:r>
        <w:rPr>
          <w:b/>
          <w:bCs/>
          <w:sz w:val="28"/>
          <w:szCs w:val="28"/>
          <w:lang w:val="vi-VN"/>
        </w:rPr>
        <w:t xml:space="preserve">XÉT CÔNG NHẬN HIỆU QUẢ ÁP DỤNG VÀ KHẢ NĂNG NHÂN RỘNG CỦA SÁNG KIẾN </w:t>
      </w:r>
      <w:r w:rsidR="0001563F">
        <w:rPr>
          <w:b/>
          <w:bCs/>
          <w:sz w:val="28"/>
          <w:szCs w:val="28"/>
        </w:rPr>
        <w:br/>
      </w:r>
      <w:r>
        <w:rPr>
          <w:b/>
          <w:bCs/>
          <w:sz w:val="28"/>
          <w:szCs w:val="28"/>
          <w:lang w:val="vi-VN"/>
        </w:rPr>
        <w:t>TRÊN ĐỊA BÀN THÀNH PHỐ HẢI PHÒNG</w:t>
      </w:r>
    </w:p>
    <w:p w14:paraId="5552D87F" w14:textId="15CF79DE" w:rsidR="005B4935" w:rsidRPr="005B4935" w:rsidRDefault="0001563F">
      <w:pPr>
        <w:rPr>
          <w:b/>
          <w:bCs/>
          <w:sz w:val="28"/>
          <w:szCs w:val="28"/>
        </w:rPr>
      </w:pPr>
      <w:r>
        <w:rPr>
          <w:b/>
          <w:bCs/>
          <w:noProof/>
          <w:sz w:val="28"/>
          <w:szCs w:val="28"/>
          <w14:ligatures w14:val="standardContextual"/>
        </w:rPr>
        <mc:AlternateContent>
          <mc:Choice Requires="wps">
            <w:drawing>
              <wp:anchor distT="0" distB="0" distL="114300" distR="114300" simplePos="0" relativeHeight="251659264" behindDoc="0" locked="0" layoutInCell="1" allowOverlap="1" wp14:anchorId="5382F91D" wp14:editId="5F5ECCA9">
                <wp:simplePos x="0" y="0"/>
                <wp:positionH relativeFrom="column">
                  <wp:posOffset>3023234</wp:posOffset>
                </wp:positionH>
                <wp:positionV relativeFrom="paragraph">
                  <wp:posOffset>-2540</wp:posOffset>
                </wp:positionV>
                <wp:extent cx="3152775" cy="19050"/>
                <wp:effectExtent l="0" t="0" r="28575" b="19050"/>
                <wp:wrapNone/>
                <wp:docPr id="442911112" name="Straight Connector 2"/>
                <wp:cNvGraphicFramePr/>
                <a:graphic xmlns:a="http://schemas.openxmlformats.org/drawingml/2006/main">
                  <a:graphicData uri="http://schemas.microsoft.com/office/word/2010/wordprocessingShape">
                    <wps:wsp>
                      <wps:cNvCnPr/>
                      <wps:spPr>
                        <a:xfrm flipV="1">
                          <a:off x="0" y="0"/>
                          <a:ext cx="31527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1E5BE9"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238.05pt,-.2pt" to="486.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" strokecolor="black [3200]" strokeweight=".5pt">
                <v:stroke joinstyle="miter"/>
              </v:line>
            </w:pict>
          </mc:Fallback>
        </mc:AlternateContent>
      </w:r>
    </w:p>
    <w:tbl>
      <w:tblPr>
        <w:tblW w:w="14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top w:w="15" w:type="dxa"/>
          <w:left w:w="15" w:type="dxa"/>
          <w:bottom w:w="15" w:type="dxa"/>
          <w:right w:w="15" w:type="dxa"/>
        </w:tblCellMar>
        <w:tblLook w:val="04A0" w:firstRow="1" w:lastRow="0" w:firstColumn="1" w:lastColumn="0" w:noHBand="0" w:noVBand="1"/>
      </w:tblPr>
      <w:tblGrid>
        <w:gridCol w:w="681"/>
        <w:gridCol w:w="3628"/>
        <w:gridCol w:w="3515"/>
        <w:gridCol w:w="6746"/>
      </w:tblGrid>
      <w:tr w:rsidR="005B4935" w:rsidRPr="005B4935" w14:paraId="7C8D89B6" w14:textId="77777777" w:rsidTr="00CD6634">
        <w:trPr>
          <w:tblHeader/>
          <w:jc w:val="center"/>
        </w:trPr>
        <w:tc>
          <w:tcPr>
            <w:tcW w:w="680" w:type="dxa"/>
            <w:shd w:val="clear" w:color="auto" w:fill="FFFFFF" w:themeFill="background1"/>
          </w:tcPr>
          <w:p w14:paraId="66486450" w14:textId="77777777" w:rsidR="005B4935" w:rsidRPr="005B4935" w:rsidRDefault="005B4935" w:rsidP="005B4935">
            <w:pPr>
              <w:keepNext/>
              <w:rPr>
                <w:b/>
                <w:bCs/>
                <w:sz w:val="28"/>
                <w:szCs w:val="28"/>
              </w:rPr>
            </w:pPr>
            <w:r>
              <w:rPr>
                <w:b/>
                <w:bCs/>
                <w:sz w:val="28"/>
                <w:szCs w:val="28"/>
              </w:rPr>
              <w:t>TT</w:t>
            </w:r>
          </w:p>
        </w:tc>
        <w:tc>
          <w:tcPr>
            <w:tcW w:w="3628" w:type="dxa"/>
            <w:shd w:val="clear" w:color="auto" w:fill="FFFFFF" w:themeFill="background1"/>
            <w:tcMar>
              <w:top w:w="120" w:type="dxa"/>
              <w:left w:w="180" w:type="dxa"/>
              <w:bottom w:w="120" w:type="dxa"/>
              <w:right w:w="180" w:type="dxa"/>
            </w:tcMar>
            <w:hideMark/>
          </w:tcPr>
          <w:p w14:paraId="023D4BA6" w14:textId="77777777" w:rsidR="005B4935" w:rsidRPr="005B4935" w:rsidRDefault="005B4935" w:rsidP="005B4935">
            <w:pPr>
              <w:keepNext/>
              <w:rPr>
                <w:b/>
                <w:bCs/>
                <w:sz w:val="28"/>
                <w:szCs w:val="28"/>
              </w:rPr>
            </w:pPr>
            <w:r w:rsidRPr="005B4935">
              <w:rPr>
                <w:b/>
                <w:bCs/>
                <w:sz w:val="28"/>
                <w:szCs w:val="28"/>
              </w:rPr>
              <w:t>QUY PHẠM PHÁP LUẬT HIỆN HÀNH</w:t>
            </w:r>
          </w:p>
        </w:tc>
        <w:tc>
          <w:tcPr>
            <w:tcW w:w="3515" w:type="dxa"/>
            <w:shd w:val="clear" w:color="auto" w:fill="FFFFFF" w:themeFill="background1"/>
            <w:tcMar>
              <w:top w:w="120" w:type="dxa"/>
              <w:left w:w="180" w:type="dxa"/>
              <w:bottom w:w="120" w:type="dxa"/>
              <w:right w:w="180" w:type="dxa"/>
            </w:tcMar>
            <w:hideMark/>
          </w:tcPr>
          <w:p w14:paraId="048BD914" w14:textId="77777777" w:rsidR="005B4935" w:rsidRPr="005B4935" w:rsidRDefault="005B4935" w:rsidP="005B4935">
            <w:pPr>
              <w:keepNext/>
              <w:rPr>
                <w:b/>
                <w:bCs/>
                <w:sz w:val="28"/>
                <w:szCs w:val="28"/>
              </w:rPr>
            </w:pPr>
            <w:r w:rsidRPr="005B4935">
              <w:rPr>
                <w:b/>
                <w:bCs/>
                <w:sz w:val="28"/>
                <w:szCs w:val="28"/>
              </w:rPr>
              <w:t>DỰ THẢO VĂN BẢN</w:t>
            </w:r>
          </w:p>
        </w:tc>
        <w:tc>
          <w:tcPr>
            <w:tcW w:w="6746" w:type="dxa"/>
            <w:shd w:val="clear" w:color="auto" w:fill="FFFFFF" w:themeFill="background1"/>
            <w:tcMar>
              <w:top w:w="120" w:type="dxa"/>
              <w:left w:w="180" w:type="dxa"/>
              <w:bottom w:w="120" w:type="dxa"/>
              <w:right w:w="180" w:type="dxa"/>
            </w:tcMar>
            <w:hideMark/>
          </w:tcPr>
          <w:p w14:paraId="04138979" w14:textId="77777777" w:rsidR="005B4935" w:rsidRPr="005B4935" w:rsidRDefault="005B4935" w:rsidP="005B4935">
            <w:pPr>
              <w:keepNext/>
              <w:rPr>
                <w:b/>
                <w:bCs/>
                <w:sz w:val="28"/>
                <w:szCs w:val="28"/>
              </w:rPr>
            </w:pPr>
            <w:r w:rsidRPr="005B4935">
              <w:rPr>
                <w:b/>
                <w:bCs/>
                <w:sz w:val="28"/>
                <w:szCs w:val="28"/>
              </w:rPr>
              <w:t>THUYẾT MINH</w:t>
            </w:r>
          </w:p>
        </w:tc>
      </w:tr>
      <w:tr w:rsidR="006144C2" w14:paraId="086902EB" w14:textId="77777777" w:rsidTr="00C51476">
        <w:trPr>
          <w:jc w:val="center"/>
        </w:trPr>
        <w:tc>
          <w:tcPr>
            <w:tcW w:w="680" w:type="dxa"/>
            <w:shd w:val="clear" w:color="auto" w:fill="FFFFFF" w:themeFill="background1"/>
            <w:tcMar>
              <w:top w:w="70" w:type="dxa"/>
              <w:left w:w="50" w:type="dxa"/>
              <w:bottom w:w="70" w:type="dxa"/>
              <w:right w:w="50" w:type="dxa"/>
            </w:tcMar>
          </w:tcPr>
          <w:p w14:paraId="5CE906DA" w14:textId="77777777" w:rsidR="006144C2" w:rsidRDefault="00000000">
            <w:pPr>
              <w:spacing w:before="60" w:after="60"/>
            </w:pPr>
            <w:r>
              <w:rPr>
                <w:rFonts w:eastAsia="Times New Roman"/>
                <w:color w:val="000000"/>
                <w:sz w:val="28"/>
                <w:szCs w:val="28"/>
              </w:rPr>
              <w:t>1</w:t>
            </w:r>
          </w:p>
        </w:tc>
        <w:tc>
          <w:tcPr>
            <w:tcW w:w="3628" w:type="dxa"/>
            <w:shd w:val="clear" w:color="auto" w:fill="FFFFFF" w:themeFill="background1"/>
            <w:tcMar>
              <w:top w:w="70" w:type="dxa"/>
              <w:left w:w="150" w:type="dxa"/>
              <w:bottom w:w="70" w:type="dxa"/>
              <w:right w:w="150" w:type="dxa"/>
            </w:tcMar>
          </w:tcPr>
          <w:p w14:paraId="72B8B62E" w14:textId="77777777" w:rsidR="006144C2" w:rsidRDefault="00000000">
            <w:pPr>
              <w:spacing w:after="60"/>
              <w:jc w:val="both"/>
            </w:pPr>
            <w:r>
              <w:rPr>
                <w:rFonts w:eastAsia="Times New Roman"/>
                <w:color w:val="000000"/>
                <w:sz w:val="28"/>
                <w:szCs w:val="28"/>
              </w:rPr>
              <w:t xml:space="preserve">Khoản 2 Điều 22 và điểm d khoản 8 Điều 84 Luật Thi đua, khen thưởng số 06/2022/QH15, được sửa đổi, bổ sung bởi khoản 6 và điểm d khoản 24 Điều 1 Luật số 06/2026/QH16; khoản 1, khoản 2 và khoản 4 Điều 9 Thông tư số 25/2026/TT-BNV của Bộ trưởng Bộ Nội vụ quy định biện pháp để tổ chức, hướng dẫn thi hành Luật Thi đua, khen thưởng và Nghị định số 368/2026/NĐ-CP ngày 25 tháng 9 năm 2026 của Chính phủ quy định chi tiết một số điều và biện pháp để tổ chức, hướng dẫn thi </w:t>
            </w:r>
            <w:r>
              <w:rPr>
                <w:rFonts w:eastAsia="Times New Roman"/>
                <w:color w:val="000000"/>
                <w:sz w:val="28"/>
                <w:szCs w:val="28"/>
              </w:rPr>
              <w:lastRenderedPageBreak/>
              <w:t>hành Luật Thi đua, khen thưởng.</w:t>
            </w:r>
          </w:p>
        </w:tc>
        <w:tc>
          <w:tcPr>
            <w:tcW w:w="3515" w:type="dxa"/>
            <w:shd w:val="clear" w:color="auto" w:fill="FFFFFF" w:themeFill="background1"/>
            <w:tcMar>
              <w:top w:w="70" w:type="dxa"/>
              <w:left w:w="150" w:type="dxa"/>
              <w:bottom w:w="70" w:type="dxa"/>
              <w:right w:w="150" w:type="dxa"/>
            </w:tcMar>
          </w:tcPr>
          <w:p w14:paraId="6697EB4A" w14:textId="77777777" w:rsidR="006144C2" w:rsidRDefault="00000000">
            <w:pPr>
              <w:spacing w:after="60"/>
              <w:jc w:val="both"/>
            </w:pPr>
            <w:r>
              <w:rPr>
                <w:rFonts w:eastAsia="Times New Roman"/>
                <w:color w:val="000000"/>
                <w:sz w:val="28"/>
                <w:szCs w:val="28"/>
              </w:rPr>
              <w:lastRenderedPageBreak/>
              <w:t>Điều 1. Phạm vi điều chỉnh</w:t>
            </w:r>
          </w:p>
          <w:p w14:paraId="6203181B" w14:textId="77777777" w:rsidR="006144C2" w:rsidRDefault="00000000">
            <w:pPr>
              <w:spacing w:after="60"/>
              <w:jc w:val="both"/>
            </w:pPr>
            <w:r>
              <w:rPr>
                <w:rFonts w:eastAsia="Times New Roman"/>
                <w:color w:val="000000"/>
                <w:sz w:val="28"/>
                <w:szCs w:val="28"/>
              </w:rPr>
              <w:t>Điều kiện, tiêu chí, hồ sơ và trình tự trong phạm vi thành phố, làm căn cứ xét danh hiệu chiến sĩ thi đua thành phố.</w:t>
            </w:r>
          </w:p>
        </w:tc>
        <w:tc>
          <w:tcPr>
            <w:tcW w:w="6746" w:type="dxa"/>
            <w:shd w:val="clear" w:color="auto" w:fill="FFFFFF" w:themeFill="background1"/>
            <w:tcMar>
              <w:top w:w="70" w:type="dxa"/>
              <w:left w:w="150" w:type="dxa"/>
              <w:bottom w:w="70" w:type="dxa"/>
              <w:right w:w="150" w:type="dxa"/>
            </w:tcMar>
          </w:tcPr>
          <w:p w14:paraId="6D2A6D8A" w14:textId="77777777" w:rsidR="006144C2" w:rsidRDefault="00000000">
            <w:pPr>
              <w:spacing w:after="60"/>
              <w:jc w:val="both"/>
            </w:pPr>
            <w:r>
              <w:rPr>
                <w:rFonts w:eastAsia="Times New Roman"/>
                <w:color w:val="000000"/>
                <w:sz w:val="28"/>
                <w:szCs w:val="28"/>
              </w:rPr>
              <w:t>Xác định phạm vi là xét công nhận hiệu quả áp dụng và khả năng nhân rộng trong thành phố, làm căn cứ xét tặng danh hiệu chiến sĩ thi đua thành phố. Đây là bước đánh giá khác với công nhận sáng kiến tại cơ sở.</w:t>
            </w:r>
          </w:p>
          <w:p w14:paraId="2BC0A165" w14:textId="77777777" w:rsidR="006144C2" w:rsidRDefault="00000000">
            <w:pPr>
              <w:spacing w:after="60"/>
              <w:jc w:val="both"/>
            </w:pPr>
            <w:r>
              <w:rPr>
                <w:rFonts w:eastAsia="Times New Roman"/>
                <w:color w:val="000000"/>
                <w:sz w:val="28"/>
                <w:szCs w:val="28"/>
              </w:rPr>
              <w:t>Không đưa việc công nhận trong toàn quốc hoặc đánh giá nhiệm vụ khoa học, công nghệ và đổi mới sáng tạo vào văn bản này. Giới hạn phạm vi điều chỉnh không phủ nhận thẩm quyền hoặc việc sử dụng kết quả theo pháp luật thi đua, khen thưởng.</w:t>
            </w:r>
          </w:p>
        </w:tc>
      </w:tr>
      <w:tr w:rsidR="006144C2" w14:paraId="2E606ACA" w14:textId="77777777" w:rsidTr="00C51476">
        <w:trPr>
          <w:jc w:val="center"/>
        </w:trPr>
        <w:tc>
          <w:tcPr>
            <w:tcW w:w="680" w:type="dxa"/>
            <w:shd w:val="clear" w:color="auto" w:fill="FFFFFF" w:themeFill="background1"/>
            <w:tcMar>
              <w:top w:w="70" w:type="dxa"/>
              <w:left w:w="50" w:type="dxa"/>
              <w:bottom w:w="70" w:type="dxa"/>
              <w:right w:w="50" w:type="dxa"/>
            </w:tcMar>
          </w:tcPr>
          <w:p w14:paraId="3FA1A898" w14:textId="77777777" w:rsidR="006144C2" w:rsidRDefault="00000000">
            <w:pPr>
              <w:spacing w:before="60" w:after="60"/>
            </w:pPr>
            <w:r>
              <w:rPr>
                <w:rFonts w:eastAsia="Times New Roman"/>
                <w:color w:val="000000"/>
                <w:sz w:val="28"/>
                <w:szCs w:val="28"/>
              </w:rPr>
              <w:t>2</w:t>
            </w:r>
          </w:p>
        </w:tc>
        <w:tc>
          <w:tcPr>
            <w:tcW w:w="3628" w:type="dxa"/>
            <w:shd w:val="clear" w:color="auto" w:fill="FFFFFF" w:themeFill="background1"/>
            <w:tcMar>
              <w:top w:w="70" w:type="dxa"/>
              <w:left w:w="150" w:type="dxa"/>
              <w:bottom w:w="70" w:type="dxa"/>
              <w:right w:w="150" w:type="dxa"/>
            </w:tcMar>
          </w:tcPr>
          <w:p w14:paraId="37CDA40A" w14:textId="77777777" w:rsidR="006144C2" w:rsidRDefault="00000000">
            <w:pPr>
              <w:spacing w:after="60"/>
              <w:jc w:val="both"/>
            </w:pPr>
            <w:r>
              <w:rPr>
                <w:rFonts w:eastAsia="Times New Roman"/>
                <w:color w:val="000000"/>
                <w:sz w:val="28"/>
                <w:szCs w:val="28"/>
              </w:rPr>
              <w:t>Điều 2, Điều 22 Luật Thi đua, khen thưởng số 06/2022/QH15, được sửa đổi, bổ sung bởi Luật số 06/2026/QH16; khoản 2, khoản 4 Điều 9 Thông tư số 25/2026/TT-BNV.</w:t>
            </w:r>
          </w:p>
        </w:tc>
        <w:tc>
          <w:tcPr>
            <w:tcW w:w="3515" w:type="dxa"/>
            <w:shd w:val="clear" w:color="auto" w:fill="FFFFFF" w:themeFill="background1"/>
            <w:tcMar>
              <w:top w:w="70" w:type="dxa"/>
              <w:left w:w="150" w:type="dxa"/>
              <w:bottom w:w="70" w:type="dxa"/>
              <w:right w:w="150" w:type="dxa"/>
            </w:tcMar>
          </w:tcPr>
          <w:p w14:paraId="47A9434F" w14:textId="77777777" w:rsidR="006144C2" w:rsidRDefault="00000000">
            <w:pPr>
              <w:spacing w:after="60"/>
              <w:jc w:val="both"/>
            </w:pPr>
            <w:r>
              <w:rPr>
                <w:rFonts w:eastAsia="Times New Roman"/>
                <w:color w:val="000000"/>
                <w:sz w:val="28"/>
                <w:szCs w:val="28"/>
              </w:rPr>
              <w:t>Điều 2. Đối tượng áp dụng</w:t>
            </w:r>
          </w:p>
          <w:p w14:paraId="17FC7483" w14:textId="77777777" w:rsidR="006144C2" w:rsidRDefault="00000000">
            <w:pPr>
              <w:spacing w:after="60"/>
              <w:jc w:val="both"/>
            </w:pPr>
            <w:r>
              <w:rPr>
                <w:rFonts w:eastAsia="Times New Roman"/>
                <w:color w:val="000000"/>
                <w:sz w:val="28"/>
                <w:szCs w:val="28"/>
              </w:rPr>
              <w:t>Cá nhân thuộc thẩm quyền xét tặng danh hiệu của Chủ tịch UBND thành phố; các cơ quan, tổ chức, đơn vị, cá nhân liên quan.</w:t>
            </w:r>
          </w:p>
        </w:tc>
        <w:tc>
          <w:tcPr>
            <w:tcW w:w="6746" w:type="dxa"/>
            <w:shd w:val="clear" w:color="auto" w:fill="FFFFFF" w:themeFill="background1"/>
            <w:tcMar>
              <w:top w:w="70" w:type="dxa"/>
              <w:left w:w="150" w:type="dxa"/>
              <w:bottom w:w="70" w:type="dxa"/>
              <w:right w:w="150" w:type="dxa"/>
            </w:tcMar>
          </w:tcPr>
          <w:p w14:paraId="4387FF39" w14:textId="77777777" w:rsidR="006144C2" w:rsidRDefault="00000000">
            <w:pPr>
              <w:spacing w:after="60"/>
              <w:jc w:val="both"/>
            </w:pPr>
            <w:r>
              <w:rPr>
                <w:rFonts w:eastAsia="Times New Roman"/>
                <w:color w:val="000000"/>
                <w:sz w:val="28"/>
                <w:szCs w:val="28"/>
              </w:rPr>
              <w:t>Xác định cá nhân theo mục đích sử dụng kết quả và thẩm quyền xét tặng danh hiệu của Chủ tịch UBND thành phố, không chỉ liệt kê nghề nghiệp hoặc nơi đặt trụ sở. Cách viết bao quát đối tượng đủ điều kiện, kể cả cá nhân thuộc cơ quan tham mưu, giúp việc Thành ủy.</w:t>
            </w:r>
          </w:p>
          <w:p w14:paraId="4B0E90BE" w14:textId="77777777" w:rsidR="006144C2" w:rsidRDefault="00000000">
            <w:pPr>
              <w:spacing w:after="60"/>
              <w:jc w:val="both"/>
            </w:pPr>
            <w:r>
              <w:rPr>
                <w:rFonts w:eastAsia="Times New Roman"/>
                <w:color w:val="000000"/>
                <w:sz w:val="28"/>
                <w:szCs w:val="28"/>
              </w:rPr>
              <w:t>Nhóm cơ quan, tổ chức, đơn vị và cá nhân liên quan được xác định theo trách nhiệm đề nghị, đánh giá, công nhận. Không dùng thuật ngữ “tuyến trình” làm điều kiện không được giải thích; đầu mối gửi hồ sơ được làm rõ tại khoản 2 Điều 9.</w:t>
            </w:r>
          </w:p>
        </w:tc>
      </w:tr>
      <w:tr w:rsidR="006144C2" w14:paraId="5F96FB8F" w14:textId="77777777" w:rsidTr="00C51476">
        <w:trPr>
          <w:jc w:val="center"/>
        </w:trPr>
        <w:tc>
          <w:tcPr>
            <w:tcW w:w="680" w:type="dxa"/>
            <w:shd w:val="clear" w:color="auto" w:fill="FFFFFF" w:themeFill="background1"/>
            <w:tcMar>
              <w:top w:w="70" w:type="dxa"/>
              <w:left w:w="50" w:type="dxa"/>
              <w:bottom w:w="70" w:type="dxa"/>
              <w:right w:w="50" w:type="dxa"/>
            </w:tcMar>
          </w:tcPr>
          <w:p w14:paraId="43ED9A67" w14:textId="77777777" w:rsidR="006144C2" w:rsidRDefault="00000000">
            <w:pPr>
              <w:spacing w:before="60" w:after="60"/>
            </w:pPr>
            <w:r>
              <w:rPr>
                <w:rFonts w:eastAsia="Times New Roman"/>
                <w:color w:val="000000"/>
                <w:sz w:val="28"/>
                <w:szCs w:val="28"/>
              </w:rPr>
              <w:t>3</w:t>
            </w:r>
          </w:p>
        </w:tc>
        <w:tc>
          <w:tcPr>
            <w:tcW w:w="3628" w:type="dxa"/>
            <w:shd w:val="clear" w:color="auto" w:fill="FFFFFF" w:themeFill="background1"/>
            <w:tcMar>
              <w:top w:w="70" w:type="dxa"/>
              <w:left w:w="150" w:type="dxa"/>
              <w:bottom w:w="70" w:type="dxa"/>
              <w:right w:w="150" w:type="dxa"/>
            </w:tcMar>
          </w:tcPr>
          <w:p w14:paraId="0D494527" w14:textId="77777777" w:rsidR="006144C2" w:rsidRDefault="00000000">
            <w:pPr>
              <w:spacing w:after="60"/>
              <w:jc w:val="both"/>
            </w:pPr>
            <w:r>
              <w:rPr>
                <w:rFonts w:eastAsia="Times New Roman"/>
                <w:color w:val="000000"/>
                <w:sz w:val="28"/>
                <w:szCs w:val="28"/>
              </w:rPr>
              <w:t>Khoản 4 Điều 3 Luật Thi đua, khen thưởng số 06/2022/QH15.</w:t>
            </w:r>
          </w:p>
          <w:p w14:paraId="08D3A9FC" w14:textId="77777777" w:rsidR="006144C2" w:rsidRDefault="00000000">
            <w:pPr>
              <w:spacing w:after="60"/>
              <w:jc w:val="both"/>
            </w:pPr>
            <w:r>
              <w:rPr>
                <w:rFonts w:eastAsia="Times New Roman"/>
                <w:color w:val="000000"/>
                <w:sz w:val="28"/>
                <w:szCs w:val="28"/>
              </w:rPr>
              <w:t>Khoản 4, khoản 5 Điều 2 Điều lệ Sáng kiến ban hành kèm theo Nghị định số 13/2012/NĐ-CP của Chính phủ ban hành Điều lệ Sáng kiến.</w:t>
            </w:r>
          </w:p>
          <w:p w14:paraId="3B2CDDAC" w14:textId="77777777" w:rsidR="006144C2" w:rsidRDefault="00000000">
            <w:pPr>
              <w:spacing w:after="60"/>
              <w:jc w:val="both"/>
            </w:pPr>
            <w:r>
              <w:rPr>
                <w:rFonts w:eastAsia="Times New Roman"/>
                <w:color w:val="000000"/>
                <w:sz w:val="28"/>
                <w:szCs w:val="28"/>
              </w:rPr>
              <w:t xml:space="preserve">Điều 2 Thông tư số 18/2013/TT-BKHCN của Bộ trưởng Bộ Khoa học và Công nghệ hướng dẫn thi hành một </w:t>
            </w:r>
            <w:r>
              <w:rPr>
                <w:rFonts w:eastAsia="Times New Roman"/>
                <w:color w:val="000000"/>
                <w:sz w:val="28"/>
                <w:szCs w:val="28"/>
              </w:rPr>
              <w:lastRenderedPageBreak/>
              <w:t>số quy định của Điều lệ Sáng kiến được ban hành theo Nghị định số 13/2012/NĐ-CP ngày 02 tháng 3 năm 2012 của Chính phủ.</w:t>
            </w:r>
          </w:p>
        </w:tc>
        <w:tc>
          <w:tcPr>
            <w:tcW w:w="3515" w:type="dxa"/>
            <w:shd w:val="clear" w:color="auto" w:fill="FFFFFF" w:themeFill="background1"/>
            <w:tcMar>
              <w:top w:w="70" w:type="dxa"/>
              <w:left w:w="150" w:type="dxa"/>
              <w:bottom w:w="70" w:type="dxa"/>
              <w:right w:w="150" w:type="dxa"/>
            </w:tcMar>
          </w:tcPr>
          <w:p w14:paraId="71A64EA7" w14:textId="77777777" w:rsidR="006144C2" w:rsidRDefault="00000000">
            <w:pPr>
              <w:spacing w:after="60"/>
              <w:jc w:val="both"/>
            </w:pPr>
            <w:r>
              <w:rPr>
                <w:rFonts w:eastAsia="Times New Roman"/>
                <w:color w:val="000000"/>
                <w:sz w:val="28"/>
                <w:szCs w:val="28"/>
              </w:rPr>
              <w:lastRenderedPageBreak/>
              <w:t>Điều 3. Giải thích từ ngữ</w:t>
            </w:r>
          </w:p>
          <w:p w14:paraId="4340E102" w14:textId="77777777" w:rsidR="006144C2" w:rsidRDefault="00000000">
            <w:pPr>
              <w:spacing w:after="60"/>
              <w:jc w:val="both"/>
            </w:pPr>
            <w:r>
              <w:rPr>
                <w:rFonts w:eastAsia="Times New Roman"/>
                <w:color w:val="000000"/>
                <w:sz w:val="28"/>
                <w:szCs w:val="28"/>
              </w:rPr>
              <w:t>Khái niệm sáng kiến; xác định cơ sở có thẩm quyền, tác giả và đồng tác giả bằng dẫn chiếu pháp luật.</w:t>
            </w:r>
          </w:p>
        </w:tc>
        <w:tc>
          <w:tcPr>
            <w:tcW w:w="6746" w:type="dxa"/>
            <w:shd w:val="clear" w:color="auto" w:fill="FFFFFF" w:themeFill="background1"/>
            <w:tcMar>
              <w:top w:w="70" w:type="dxa"/>
              <w:left w:w="150" w:type="dxa"/>
              <w:bottom w:w="70" w:type="dxa"/>
              <w:right w:w="150" w:type="dxa"/>
            </w:tcMar>
          </w:tcPr>
          <w:p w14:paraId="14244A4B" w14:textId="77777777" w:rsidR="006144C2" w:rsidRDefault="00000000">
            <w:pPr>
              <w:spacing w:after="60"/>
              <w:jc w:val="both"/>
            </w:pPr>
            <w:r>
              <w:rPr>
                <w:rFonts w:eastAsia="Times New Roman"/>
                <w:color w:val="000000"/>
                <w:sz w:val="28"/>
                <w:szCs w:val="28"/>
              </w:rPr>
              <w:t>Dùng khái niệm sáng kiến của Luật Thi đua, khen thưởng: đã áp dụng, có hiệu quả, lợi ích thiết thực và khả năng nhân rộng. Không dùng “áp dụng thử” hoặc lợi ích mới dự kiến để thay thế kết quả thực tế trong bước xét phục vụ thi đua.</w:t>
            </w:r>
          </w:p>
          <w:p w14:paraId="2B04D52E" w14:textId="77777777" w:rsidR="006144C2" w:rsidRDefault="00000000">
            <w:pPr>
              <w:spacing w:after="60"/>
              <w:jc w:val="both"/>
            </w:pPr>
            <w:r>
              <w:rPr>
                <w:rFonts w:eastAsia="Times New Roman"/>
                <w:color w:val="000000"/>
                <w:sz w:val="28"/>
                <w:szCs w:val="28"/>
              </w:rPr>
              <w:t>Cơ sở có thẩm quyền, tác giả và đồng tác giả được dẫn chiếu theo Điều lệ Sáng kiến, không đặt khái niệm riêng; không đồng nhất chủ thể công nhận sáng kiến với chủ thể tặng danh hiệu thi đua.</w:t>
            </w:r>
          </w:p>
        </w:tc>
      </w:tr>
      <w:tr w:rsidR="006144C2" w14:paraId="034934AC" w14:textId="77777777" w:rsidTr="00C51476">
        <w:trPr>
          <w:jc w:val="center"/>
        </w:trPr>
        <w:tc>
          <w:tcPr>
            <w:tcW w:w="680" w:type="dxa"/>
            <w:shd w:val="clear" w:color="auto" w:fill="FFFFFF" w:themeFill="background1"/>
            <w:tcMar>
              <w:top w:w="70" w:type="dxa"/>
              <w:left w:w="50" w:type="dxa"/>
              <w:bottom w:w="70" w:type="dxa"/>
              <w:right w:w="50" w:type="dxa"/>
            </w:tcMar>
          </w:tcPr>
          <w:p w14:paraId="3E3D8673" w14:textId="77777777" w:rsidR="006144C2" w:rsidRDefault="00000000">
            <w:pPr>
              <w:spacing w:before="60" w:after="60"/>
            </w:pPr>
            <w:r>
              <w:rPr>
                <w:rFonts w:eastAsia="Times New Roman"/>
                <w:color w:val="000000"/>
                <w:sz w:val="28"/>
                <w:szCs w:val="28"/>
              </w:rPr>
              <w:t>4</w:t>
            </w:r>
          </w:p>
        </w:tc>
        <w:tc>
          <w:tcPr>
            <w:tcW w:w="3628" w:type="dxa"/>
            <w:shd w:val="clear" w:color="auto" w:fill="FFFFFF" w:themeFill="background1"/>
            <w:tcMar>
              <w:top w:w="70" w:type="dxa"/>
              <w:left w:w="150" w:type="dxa"/>
              <w:bottom w:w="70" w:type="dxa"/>
              <w:right w:w="150" w:type="dxa"/>
            </w:tcMar>
          </w:tcPr>
          <w:p w14:paraId="595BBA06" w14:textId="77777777" w:rsidR="006144C2" w:rsidRDefault="00000000">
            <w:pPr>
              <w:spacing w:after="60"/>
              <w:jc w:val="both"/>
            </w:pPr>
            <w:r>
              <w:rPr>
                <w:rFonts w:eastAsia="Times New Roman"/>
                <w:color w:val="000000"/>
                <w:sz w:val="28"/>
                <w:szCs w:val="28"/>
              </w:rPr>
              <w:t>Điều 5 Luật Thi đua, khen thưởng số 06/2022/QH15 sau sửa đổi.</w:t>
            </w:r>
          </w:p>
          <w:p w14:paraId="73731C2D" w14:textId="77777777" w:rsidR="006144C2" w:rsidRDefault="00000000">
            <w:pPr>
              <w:spacing w:after="60"/>
              <w:jc w:val="both"/>
            </w:pPr>
            <w:r>
              <w:rPr>
                <w:rFonts w:eastAsia="Times New Roman"/>
                <w:color w:val="000000"/>
                <w:sz w:val="28"/>
                <w:szCs w:val="28"/>
              </w:rPr>
              <w:t>Khoản 5 Điều 2, khoản 2 Điều 3, điểm b khoản 3 Điều 5 Điều lệ Sáng kiến.</w:t>
            </w:r>
          </w:p>
          <w:p w14:paraId="220CDBB7" w14:textId="77777777" w:rsidR="006144C2" w:rsidRDefault="00000000">
            <w:pPr>
              <w:spacing w:after="60"/>
              <w:jc w:val="both"/>
            </w:pPr>
            <w:r>
              <w:rPr>
                <w:rFonts w:eastAsia="Times New Roman"/>
                <w:color w:val="000000"/>
                <w:sz w:val="28"/>
                <w:szCs w:val="28"/>
              </w:rPr>
              <w:t>Khoản 3 Điều 9 Thông tư số 18/2013/TT-BKHCN về hủy bỏ công nhận sáng kiến tại cơ sở; pháp luật về bảo vệ bí mật nhà nước, dữ liệu cá nhân và sở hữu trí tuệ áp dụng đối với việc sử dụng, công bố thông tin.</w:t>
            </w:r>
          </w:p>
        </w:tc>
        <w:tc>
          <w:tcPr>
            <w:tcW w:w="3515" w:type="dxa"/>
            <w:shd w:val="clear" w:color="auto" w:fill="FFFFFF" w:themeFill="background1"/>
            <w:tcMar>
              <w:top w:w="70" w:type="dxa"/>
              <w:left w:w="150" w:type="dxa"/>
              <w:bottom w:w="70" w:type="dxa"/>
              <w:right w:w="150" w:type="dxa"/>
            </w:tcMar>
          </w:tcPr>
          <w:p w14:paraId="42DD63BB" w14:textId="77777777" w:rsidR="006144C2" w:rsidRDefault="00000000">
            <w:pPr>
              <w:spacing w:after="60"/>
              <w:jc w:val="both"/>
            </w:pPr>
            <w:r>
              <w:rPr>
                <w:rFonts w:eastAsia="Times New Roman"/>
                <w:color w:val="000000"/>
                <w:sz w:val="28"/>
                <w:szCs w:val="28"/>
              </w:rPr>
              <w:t>Điều 4. Nguyên tắc xét công nhận hiệu quả áp dụng và khả năng nhân rộng của sáng kiến</w:t>
            </w:r>
          </w:p>
          <w:p w14:paraId="6255CE93" w14:textId="77777777" w:rsidR="006144C2" w:rsidRDefault="00000000">
            <w:pPr>
              <w:spacing w:after="60"/>
              <w:jc w:val="both"/>
            </w:pPr>
            <w:r>
              <w:rPr>
                <w:rFonts w:eastAsia="Times New Roman"/>
                <w:color w:val="000000"/>
                <w:sz w:val="28"/>
                <w:szCs w:val="28"/>
              </w:rPr>
              <w:t>Công khai, khách quan; công nhận một lần, thống nhất đầu mối; trách nhiệm trung thực, đóng góp; bảo vệ thông tin.</w:t>
            </w:r>
          </w:p>
        </w:tc>
        <w:tc>
          <w:tcPr>
            <w:tcW w:w="6746" w:type="dxa"/>
            <w:shd w:val="clear" w:color="auto" w:fill="FFFFFF" w:themeFill="background1"/>
            <w:tcMar>
              <w:top w:w="70" w:type="dxa"/>
              <w:left w:w="150" w:type="dxa"/>
              <w:bottom w:w="70" w:type="dxa"/>
              <w:right w:w="150" w:type="dxa"/>
            </w:tcMar>
          </w:tcPr>
          <w:p w14:paraId="4247E575" w14:textId="77777777" w:rsidR="006144C2" w:rsidRDefault="00000000">
            <w:pPr>
              <w:spacing w:after="60"/>
              <w:jc w:val="both"/>
            </w:pPr>
            <w:r>
              <w:rPr>
                <w:rFonts w:eastAsia="Times New Roman"/>
                <w:color w:val="000000"/>
                <w:sz w:val="28"/>
                <w:szCs w:val="28"/>
              </w:rPr>
              <w:t>Quy định nguyên tắc công khai, khách quan, kiểm chứng kết quả; công nhận một lần và thống nhất đầu mối để tránh trùng hồ sơ. Không đặt ngưỡng đóng góp 30% hoặc ngoại lệ theo cơ quan giao nhiệm vụ.</w:t>
            </w:r>
          </w:p>
          <w:p w14:paraId="10E2C81A" w14:textId="77777777" w:rsidR="006144C2" w:rsidRDefault="00000000">
            <w:pPr>
              <w:spacing w:after="60"/>
              <w:jc w:val="both"/>
            </w:pPr>
            <w:r>
              <w:rPr>
                <w:rFonts w:eastAsia="Times New Roman"/>
                <w:color w:val="000000"/>
                <w:sz w:val="28"/>
                <w:szCs w:val="28"/>
              </w:rPr>
              <w:t>Tác giả chịu trách nhiệm về hồ sơ và đóng góp; không công nhận hồ sơ giả mạo, kê khai không trung thực làm sai lệch kết quả hoặc trường hợp đã có kết luận có thẩm quyền về sao chép, xâm phạm quyền. Khoản 4 Điều 10 quy định xử lý kết quả thành phố, không thay việc hủy công nhận sáng kiến cơ sở.</w:t>
            </w:r>
          </w:p>
        </w:tc>
      </w:tr>
      <w:tr w:rsidR="006144C2" w14:paraId="5C07B7BF" w14:textId="77777777" w:rsidTr="00C51476">
        <w:trPr>
          <w:jc w:val="center"/>
        </w:trPr>
        <w:tc>
          <w:tcPr>
            <w:tcW w:w="680" w:type="dxa"/>
            <w:shd w:val="clear" w:color="auto" w:fill="FFFFFF" w:themeFill="background1"/>
            <w:tcMar>
              <w:top w:w="70" w:type="dxa"/>
              <w:left w:w="50" w:type="dxa"/>
              <w:bottom w:w="70" w:type="dxa"/>
              <w:right w:w="50" w:type="dxa"/>
            </w:tcMar>
          </w:tcPr>
          <w:p w14:paraId="2A766BF9" w14:textId="77777777" w:rsidR="006144C2" w:rsidRDefault="00000000">
            <w:pPr>
              <w:spacing w:before="60" w:after="60"/>
            </w:pPr>
            <w:r>
              <w:rPr>
                <w:rFonts w:eastAsia="Times New Roman"/>
                <w:color w:val="000000"/>
                <w:sz w:val="28"/>
                <w:szCs w:val="28"/>
              </w:rPr>
              <w:t>5</w:t>
            </w:r>
          </w:p>
        </w:tc>
        <w:tc>
          <w:tcPr>
            <w:tcW w:w="3628" w:type="dxa"/>
            <w:shd w:val="clear" w:color="auto" w:fill="FFFFFF" w:themeFill="background1"/>
            <w:tcMar>
              <w:top w:w="70" w:type="dxa"/>
              <w:left w:w="150" w:type="dxa"/>
              <w:bottom w:w="70" w:type="dxa"/>
              <w:right w:w="150" w:type="dxa"/>
            </w:tcMar>
          </w:tcPr>
          <w:p w14:paraId="1C18FFDC" w14:textId="77777777" w:rsidR="006144C2" w:rsidRDefault="00000000">
            <w:pPr>
              <w:spacing w:after="60"/>
              <w:jc w:val="both"/>
            </w:pPr>
            <w:r>
              <w:rPr>
                <w:rFonts w:eastAsia="Times New Roman"/>
                <w:color w:val="000000"/>
                <w:sz w:val="28"/>
                <w:szCs w:val="28"/>
              </w:rPr>
              <w:t>Khoản 2 Điều 22 Luật Thi đua, khen thưởng được sửa đổi tại khoản 6 Điều 1 Luật số 06/2026/QH16; khoản 2 Điều 9 Thông tư số 25/2026/TT-BNV.</w:t>
            </w:r>
          </w:p>
          <w:p w14:paraId="67235A18" w14:textId="77777777" w:rsidR="006144C2" w:rsidRDefault="00000000">
            <w:pPr>
              <w:spacing w:after="60"/>
              <w:jc w:val="both"/>
            </w:pPr>
            <w:r>
              <w:rPr>
                <w:rFonts w:eastAsia="Times New Roman"/>
                <w:color w:val="000000"/>
                <w:sz w:val="28"/>
                <w:szCs w:val="28"/>
              </w:rPr>
              <w:lastRenderedPageBreak/>
              <w:t>Khoản 1, khoản 2 Điều 13 Luật Tổ chức chính quyền địa phương số 72/2025/QH15; điểm b khoản 3 Điều 21 Luật Ban hành văn bản quy phạm pháp luật số 64/2025/QH15 được sửa đổi, bổ sung bởi Luật số 87/2025/QH15.</w:t>
            </w:r>
          </w:p>
        </w:tc>
        <w:tc>
          <w:tcPr>
            <w:tcW w:w="3515" w:type="dxa"/>
            <w:shd w:val="clear" w:color="auto" w:fill="FFFFFF" w:themeFill="background1"/>
            <w:tcMar>
              <w:top w:w="70" w:type="dxa"/>
              <w:left w:w="150" w:type="dxa"/>
              <w:bottom w:w="70" w:type="dxa"/>
              <w:right w:w="150" w:type="dxa"/>
            </w:tcMar>
          </w:tcPr>
          <w:p w14:paraId="4A734CF8" w14:textId="77777777" w:rsidR="006144C2" w:rsidRDefault="00000000">
            <w:pPr>
              <w:spacing w:after="60"/>
              <w:jc w:val="both"/>
            </w:pPr>
            <w:r>
              <w:rPr>
                <w:rFonts w:eastAsia="Times New Roman"/>
                <w:color w:val="000000"/>
                <w:sz w:val="28"/>
                <w:szCs w:val="28"/>
              </w:rPr>
              <w:lastRenderedPageBreak/>
              <w:t>Điều 5. Thẩm quyền công nhận và cơ quan thường trực</w:t>
            </w:r>
          </w:p>
          <w:p w14:paraId="524443F4" w14:textId="77777777" w:rsidR="006144C2" w:rsidRDefault="00000000">
            <w:pPr>
              <w:spacing w:after="60"/>
              <w:jc w:val="both"/>
            </w:pPr>
            <w:r>
              <w:rPr>
                <w:rFonts w:eastAsia="Times New Roman"/>
                <w:color w:val="000000"/>
                <w:sz w:val="28"/>
                <w:szCs w:val="28"/>
              </w:rPr>
              <w:t xml:space="preserve">Chủ tịch UBND thành phố quyết định công nhận và thành lập Hội đồng; Sở Khoa </w:t>
            </w:r>
            <w:r>
              <w:rPr>
                <w:rFonts w:eastAsia="Times New Roman"/>
                <w:color w:val="000000"/>
                <w:sz w:val="28"/>
                <w:szCs w:val="28"/>
              </w:rPr>
              <w:lastRenderedPageBreak/>
              <w:t>học và Công nghệ là cơ quan thường trực.</w:t>
            </w:r>
          </w:p>
        </w:tc>
        <w:tc>
          <w:tcPr>
            <w:tcW w:w="6746" w:type="dxa"/>
            <w:shd w:val="clear" w:color="auto" w:fill="FFFFFF" w:themeFill="background1"/>
            <w:tcMar>
              <w:top w:w="70" w:type="dxa"/>
              <w:left w:w="150" w:type="dxa"/>
              <w:bottom w:w="70" w:type="dxa"/>
              <w:right w:w="150" w:type="dxa"/>
            </w:tcMar>
          </w:tcPr>
          <w:p w14:paraId="445CA780" w14:textId="77777777" w:rsidR="006144C2" w:rsidRDefault="00000000">
            <w:pPr>
              <w:spacing w:after="60"/>
              <w:jc w:val="both"/>
            </w:pPr>
            <w:r>
              <w:rPr>
                <w:rFonts w:eastAsia="Times New Roman"/>
                <w:color w:val="000000"/>
                <w:sz w:val="28"/>
                <w:szCs w:val="28"/>
              </w:rPr>
              <w:lastRenderedPageBreak/>
              <w:t>Giữ Chủ tịch UBND thành phố quyết định công nhận và thành lập Hội đồng; Sở Khoa học và Công nghệ làm cơ quan thường trực, tiếp nhận, thẩm định và trình. Không dùng quyết định của UBND thành phố để phân cấp thẩm quyền thuộc Chủ tịch UBND thành phố.</w:t>
            </w:r>
          </w:p>
          <w:p w14:paraId="1FEFBD70" w14:textId="77777777" w:rsidR="006144C2" w:rsidRDefault="00000000">
            <w:pPr>
              <w:spacing w:after="60"/>
              <w:jc w:val="both"/>
            </w:pPr>
            <w:r>
              <w:rPr>
                <w:rFonts w:eastAsia="Times New Roman"/>
                <w:color w:val="000000"/>
                <w:sz w:val="28"/>
                <w:szCs w:val="28"/>
              </w:rPr>
              <w:lastRenderedPageBreak/>
              <w:t>Phân định nhiệm vụ tham mưu với quyền quyết định để sửa đồng bộ Điều 8, Điều 10. Hội đồng đưa ra đề nghị chuyên môn, không thay chủ thể quyết định kết quả.</w:t>
            </w:r>
          </w:p>
        </w:tc>
      </w:tr>
      <w:tr w:rsidR="006144C2" w14:paraId="400CC8F3" w14:textId="77777777" w:rsidTr="00C51476">
        <w:trPr>
          <w:jc w:val="center"/>
        </w:trPr>
        <w:tc>
          <w:tcPr>
            <w:tcW w:w="680" w:type="dxa"/>
            <w:shd w:val="clear" w:color="auto" w:fill="FFFFFF" w:themeFill="background1"/>
            <w:tcMar>
              <w:top w:w="70" w:type="dxa"/>
              <w:left w:w="50" w:type="dxa"/>
              <w:bottom w:w="70" w:type="dxa"/>
              <w:right w:w="50" w:type="dxa"/>
            </w:tcMar>
          </w:tcPr>
          <w:p w14:paraId="2F210217" w14:textId="77777777" w:rsidR="006144C2" w:rsidRDefault="00000000">
            <w:pPr>
              <w:spacing w:before="60" w:after="60"/>
            </w:pPr>
            <w:r>
              <w:rPr>
                <w:rFonts w:eastAsia="Times New Roman"/>
                <w:color w:val="000000"/>
                <w:sz w:val="28"/>
                <w:szCs w:val="28"/>
              </w:rPr>
              <w:lastRenderedPageBreak/>
              <w:t>6</w:t>
            </w:r>
          </w:p>
        </w:tc>
        <w:tc>
          <w:tcPr>
            <w:tcW w:w="3628" w:type="dxa"/>
            <w:shd w:val="clear" w:color="auto" w:fill="FFFFFF" w:themeFill="background1"/>
            <w:tcMar>
              <w:top w:w="70" w:type="dxa"/>
              <w:left w:w="150" w:type="dxa"/>
              <w:bottom w:w="70" w:type="dxa"/>
              <w:right w:w="150" w:type="dxa"/>
            </w:tcMar>
          </w:tcPr>
          <w:p w14:paraId="2059EED2" w14:textId="77777777" w:rsidR="006144C2" w:rsidRDefault="00000000">
            <w:pPr>
              <w:spacing w:after="60"/>
              <w:jc w:val="both"/>
            </w:pPr>
            <w:r>
              <w:rPr>
                <w:rFonts w:eastAsia="Times New Roman"/>
                <w:color w:val="000000"/>
                <w:sz w:val="28"/>
                <w:szCs w:val="28"/>
              </w:rPr>
              <w:t>Khoản 4 Điều 3, Điều 22 Luật Thi đua, khen thưởng sau sửa đổi; khoản 1, khoản 2 Điều 9 Thông tư số 25/2026/TT-BNV.</w:t>
            </w:r>
          </w:p>
          <w:p w14:paraId="4B432457" w14:textId="77777777" w:rsidR="006144C2" w:rsidRDefault="00000000">
            <w:pPr>
              <w:spacing w:after="60"/>
              <w:jc w:val="both"/>
            </w:pPr>
            <w:r>
              <w:rPr>
                <w:rFonts w:eastAsia="Times New Roman"/>
                <w:color w:val="000000"/>
                <w:sz w:val="28"/>
                <w:szCs w:val="28"/>
              </w:rPr>
              <w:t>Điều 3, Điều 7 Điều lệ Sáng kiến, trong đó khoản 4 Điều 7 quy định trường hợp phải được chấp thuận.</w:t>
            </w:r>
          </w:p>
          <w:p w14:paraId="69D5EF5A" w14:textId="77777777" w:rsidR="006144C2" w:rsidRDefault="00000000">
            <w:pPr>
              <w:spacing w:after="60"/>
              <w:jc w:val="both"/>
            </w:pPr>
            <w:r>
              <w:rPr>
                <w:rFonts w:eastAsia="Times New Roman"/>
                <w:color w:val="000000"/>
                <w:sz w:val="28"/>
                <w:szCs w:val="28"/>
              </w:rPr>
              <w:t>Điểm d, đ, g khoản 1 Điều 5 Thông tư số 18/2013/TT-BKHCN về thông tin mô tả, điều kiện áp dụng, lợi ích.</w:t>
            </w:r>
          </w:p>
        </w:tc>
        <w:tc>
          <w:tcPr>
            <w:tcW w:w="3515" w:type="dxa"/>
            <w:shd w:val="clear" w:color="auto" w:fill="FFFFFF" w:themeFill="background1"/>
            <w:tcMar>
              <w:top w:w="70" w:type="dxa"/>
              <w:left w:w="150" w:type="dxa"/>
              <w:bottom w:w="70" w:type="dxa"/>
              <w:right w:w="150" w:type="dxa"/>
            </w:tcMar>
          </w:tcPr>
          <w:p w14:paraId="3D8B0064" w14:textId="77777777" w:rsidR="006144C2" w:rsidRDefault="00000000">
            <w:pPr>
              <w:spacing w:after="60"/>
              <w:jc w:val="both"/>
            </w:pPr>
            <w:r>
              <w:rPr>
                <w:rFonts w:eastAsia="Times New Roman"/>
                <w:color w:val="000000"/>
                <w:sz w:val="28"/>
                <w:szCs w:val="28"/>
              </w:rPr>
              <w:t>Điều 6. Điều kiện tiếp nhận hồ sơ đề nghị đánh giá</w:t>
            </w:r>
          </w:p>
          <w:p w14:paraId="4F4C300D" w14:textId="77777777" w:rsidR="006144C2" w:rsidRDefault="00000000">
            <w:pPr>
              <w:spacing w:after="60"/>
              <w:jc w:val="both"/>
            </w:pPr>
            <w:r>
              <w:rPr>
                <w:rFonts w:eastAsia="Times New Roman"/>
                <w:color w:val="000000"/>
                <w:sz w:val="28"/>
                <w:szCs w:val="28"/>
              </w:rPr>
              <w:t>Sáng kiến đã được công nhận hợp pháp, chưa hủy bỏ; đã áp dụng, có minh chứng; hồ sơ nêu đối tượng, phạm vi, điều kiện, phương án nhân rộng.</w:t>
            </w:r>
          </w:p>
        </w:tc>
        <w:tc>
          <w:tcPr>
            <w:tcW w:w="6746" w:type="dxa"/>
            <w:shd w:val="clear" w:color="auto" w:fill="FFFFFF" w:themeFill="background1"/>
            <w:tcMar>
              <w:top w:w="70" w:type="dxa"/>
              <w:left w:w="150" w:type="dxa"/>
              <w:bottom w:w="70" w:type="dxa"/>
              <w:right w:w="150" w:type="dxa"/>
            </w:tcMar>
          </w:tcPr>
          <w:p w14:paraId="189ADE7D" w14:textId="77777777" w:rsidR="006144C2" w:rsidRDefault="00000000">
            <w:pPr>
              <w:spacing w:after="60"/>
              <w:jc w:val="both"/>
            </w:pPr>
            <w:r>
              <w:rPr>
                <w:rFonts w:eastAsia="Times New Roman"/>
                <w:color w:val="000000"/>
                <w:sz w:val="28"/>
                <w:szCs w:val="28"/>
              </w:rPr>
              <w:t>Tách điều kiện tiếp nhận với kết quả đánh giá. Hồ sơ phải chứng minh sáng kiến đã được công nhận hợp pháp, đã áp dụng và có nội dung về đối tượng, phạm vi, điều kiện, phương án nhân rộng; không yêu cầu trước một kết luận rằng đã đủ khả năng nhân rộng.</w:t>
            </w:r>
          </w:p>
          <w:p w14:paraId="38DC5331" w14:textId="77777777" w:rsidR="006144C2" w:rsidRDefault="00000000">
            <w:pPr>
              <w:spacing w:after="60"/>
              <w:jc w:val="both"/>
            </w:pPr>
            <w:r>
              <w:rPr>
                <w:rFonts w:eastAsia="Times New Roman"/>
                <w:color w:val="000000"/>
                <w:sz w:val="28"/>
                <w:szCs w:val="28"/>
              </w:rPr>
              <w:t>Không bắt buộc thêm quyết định công nhận hiệu quả ở cơ sở. Trường hợp phải chấp thuận theo khoản 4 Điều 7 Điều lệ Sáng kiến được kê khai tại Mẫu số 02; không mở rộng yêu cầu đó cho mọi sáng kiến.</w:t>
            </w:r>
          </w:p>
        </w:tc>
      </w:tr>
      <w:tr w:rsidR="006144C2" w14:paraId="22CBCBD6" w14:textId="77777777" w:rsidTr="00C51476">
        <w:trPr>
          <w:jc w:val="center"/>
        </w:trPr>
        <w:tc>
          <w:tcPr>
            <w:tcW w:w="680" w:type="dxa"/>
            <w:shd w:val="clear" w:color="auto" w:fill="FFFFFF" w:themeFill="background1"/>
            <w:tcMar>
              <w:top w:w="70" w:type="dxa"/>
              <w:left w:w="50" w:type="dxa"/>
              <w:bottom w:w="70" w:type="dxa"/>
              <w:right w:w="50" w:type="dxa"/>
            </w:tcMar>
          </w:tcPr>
          <w:p w14:paraId="4585D6C3" w14:textId="77777777" w:rsidR="006144C2" w:rsidRDefault="00000000">
            <w:pPr>
              <w:spacing w:before="60" w:after="60"/>
            </w:pPr>
            <w:r>
              <w:rPr>
                <w:rFonts w:eastAsia="Times New Roman"/>
                <w:color w:val="000000"/>
                <w:sz w:val="28"/>
                <w:szCs w:val="28"/>
              </w:rPr>
              <w:t>7</w:t>
            </w:r>
          </w:p>
        </w:tc>
        <w:tc>
          <w:tcPr>
            <w:tcW w:w="3628" w:type="dxa"/>
            <w:shd w:val="clear" w:color="auto" w:fill="FFFFFF" w:themeFill="background1"/>
            <w:tcMar>
              <w:top w:w="70" w:type="dxa"/>
              <w:left w:w="150" w:type="dxa"/>
              <w:bottom w:w="70" w:type="dxa"/>
              <w:right w:w="150" w:type="dxa"/>
            </w:tcMar>
          </w:tcPr>
          <w:p w14:paraId="3A8CD16E" w14:textId="77777777" w:rsidR="006144C2" w:rsidRDefault="00000000">
            <w:pPr>
              <w:spacing w:after="60"/>
              <w:jc w:val="both"/>
            </w:pPr>
            <w:r>
              <w:rPr>
                <w:rFonts w:eastAsia="Times New Roman"/>
                <w:color w:val="000000"/>
                <w:sz w:val="28"/>
                <w:szCs w:val="28"/>
              </w:rPr>
              <w:t xml:space="preserve">Điều 22 và điểm d khoản 8 Điều 84 Luật Thi đua, khen thưởng sau sửa đổi giao địa </w:t>
            </w:r>
            <w:r>
              <w:rPr>
                <w:rFonts w:eastAsia="Times New Roman"/>
                <w:color w:val="000000"/>
                <w:sz w:val="28"/>
                <w:szCs w:val="28"/>
              </w:rPr>
              <w:lastRenderedPageBreak/>
              <w:t>phương quy định việc công nhận.</w:t>
            </w:r>
          </w:p>
          <w:p w14:paraId="77704AED" w14:textId="77777777" w:rsidR="006144C2" w:rsidRDefault="00000000">
            <w:pPr>
              <w:spacing w:after="60"/>
              <w:jc w:val="both"/>
            </w:pPr>
            <w:r>
              <w:rPr>
                <w:rFonts w:eastAsia="Times New Roman"/>
                <w:color w:val="000000"/>
                <w:sz w:val="28"/>
                <w:szCs w:val="28"/>
              </w:rPr>
              <w:t>Khoản 2 Điều 4, Điều 11 Điều lệ Sáng kiến; điểm đ, g khoản 1 Điều 5 Thông tư số 18/2013/TT-BKHCN về điều kiện áp dụng, lợi ích và xác định tiền làm lợi.</w:t>
            </w:r>
          </w:p>
          <w:p w14:paraId="29F754EB" w14:textId="77777777" w:rsidR="006144C2" w:rsidRDefault="00000000">
            <w:pPr>
              <w:spacing w:after="60"/>
              <w:jc w:val="both"/>
            </w:pPr>
            <w:r>
              <w:rPr>
                <w:rFonts w:eastAsia="Times New Roman"/>
                <w:color w:val="000000"/>
                <w:sz w:val="28"/>
                <w:szCs w:val="28"/>
              </w:rPr>
              <w:t>Các văn bản này không ấn định thang 50–50, mức 0–10–20–25, ngưỡng 80 điểm, chênh lệch 20 điểm hoặc tỷ lệ hai phần ba.</w:t>
            </w:r>
          </w:p>
        </w:tc>
        <w:tc>
          <w:tcPr>
            <w:tcW w:w="3515" w:type="dxa"/>
            <w:shd w:val="clear" w:color="auto" w:fill="FFFFFF" w:themeFill="background1"/>
            <w:tcMar>
              <w:top w:w="70" w:type="dxa"/>
              <w:left w:w="150" w:type="dxa"/>
              <w:bottom w:w="70" w:type="dxa"/>
              <w:right w:w="150" w:type="dxa"/>
            </w:tcMar>
          </w:tcPr>
          <w:p w14:paraId="465A6107" w14:textId="77777777" w:rsidR="006144C2" w:rsidRDefault="00000000">
            <w:pPr>
              <w:spacing w:after="60"/>
              <w:jc w:val="both"/>
            </w:pPr>
            <w:r>
              <w:rPr>
                <w:rFonts w:eastAsia="Times New Roman"/>
                <w:color w:val="000000"/>
                <w:sz w:val="28"/>
                <w:szCs w:val="28"/>
              </w:rPr>
              <w:lastRenderedPageBreak/>
              <w:t xml:space="preserve">Điều 7. Tiêu chí, thang điểm và phương pháp đánh giá hiệu quả áp dụng và khả </w:t>
            </w:r>
            <w:r>
              <w:rPr>
                <w:rFonts w:eastAsia="Times New Roman"/>
                <w:color w:val="000000"/>
                <w:sz w:val="28"/>
                <w:szCs w:val="28"/>
              </w:rPr>
              <w:lastRenderedPageBreak/>
              <w:t>năng nhân rộng của sáng kiến</w:t>
            </w:r>
          </w:p>
          <w:p w14:paraId="108187BA" w14:textId="77777777" w:rsidR="006144C2" w:rsidRDefault="00000000">
            <w:pPr>
              <w:spacing w:after="60"/>
              <w:jc w:val="both"/>
            </w:pPr>
            <w:r>
              <w:rPr>
                <w:rFonts w:eastAsia="Times New Roman"/>
                <w:color w:val="000000"/>
                <w:sz w:val="28"/>
                <w:szCs w:val="28"/>
              </w:rPr>
              <w:t>Hai nhóm 50 điểm; bốn thành phần 25 điểm; các mức 0, 10, 20, 25. Chấm độc lập, thảo luận khi chênh từ 20 điểm; xác nhận khi sửa kết quả đã ký.</w:t>
            </w:r>
          </w:p>
          <w:p w14:paraId="5440A191" w14:textId="77777777" w:rsidR="006144C2" w:rsidRDefault="00000000">
            <w:pPr>
              <w:spacing w:after="60"/>
              <w:jc w:val="both"/>
            </w:pPr>
            <w:r>
              <w:rPr>
                <w:rFonts w:eastAsia="Times New Roman"/>
                <w:color w:val="000000"/>
                <w:sz w:val="28"/>
                <w:szCs w:val="28"/>
              </w:rPr>
              <w:t>Đủ ít nhất hai phần ba kết quả hợp lệ ở từng phần để kết luận; đề nghị công nhận khi trung bình từ 80 và hai phần ba thành viên có quyền đánh giá đồng ý hợp lệ. Không có ngưỡng điểm riêng từng nhóm.</w:t>
            </w:r>
          </w:p>
          <w:p w14:paraId="4E831DF4" w14:textId="77777777" w:rsidR="006144C2" w:rsidRDefault="00000000">
            <w:pPr>
              <w:spacing w:after="60"/>
              <w:jc w:val="both"/>
            </w:pPr>
            <w:r>
              <w:rPr>
                <w:rFonts w:eastAsia="Times New Roman"/>
                <w:color w:val="000000"/>
                <w:sz w:val="28"/>
                <w:szCs w:val="28"/>
              </w:rPr>
              <w:t>Mỗi thành viên ký một lần cho bảng nhiều sáng kiến hoặc ký số toàn bộ tệp.</w:t>
            </w:r>
          </w:p>
        </w:tc>
        <w:tc>
          <w:tcPr>
            <w:tcW w:w="6746" w:type="dxa"/>
            <w:shd w:val="clear" w:color="auto" w:fill="FFFFFF" w:themeFill="background1"/>
            <w:tcMar>
              <w:top w:w="70" w:type="dxa"/>
              <w:left w:w="150" w:type="dxa"/>
              <w:bottom w:w="70" w:type="dxa"/>
              <w:right w:w="150" w:type="dxa"/>
            </w:tcMar>
          </w:tcPr>
          <w:p w14:paraId="14491872" w14:textId="77777777" w:rsidR="006144C2" w:rsidRDefault="00000000">
            <w:pPr>
              <w:spacing w:after="60"/>
              <w:jc w:val="both"/>
            </w:pPr>
            <w:r>
              <w:rPr>
                <w:rFonts w:eastAsia="Times New Roman"/>
                <w:color w:val="000000"/>
                <w:sz w:val="28"/>
                <w:szCs w:val="28"/>
              </w:rPr>
              <w:lastRenderedPageBreak/>
              <w:t xml:space="preserve">Tập trung vào hai nội dung cần công nhận, mỗi nhóm 50 điểm; không chấm lại tính mới đã được cơ sở xem xét. Mỗi nhóm chia hai thành phần 25 điểm, với bốn mức đáp ứng để thống nhất cách chấm. Hiệu quả phải có kết quả </w:t>
            </w:r>
            <w:r>
              <w:rPr>
                <w:rFonts w:eastAsia="Times New Roman"/>
                <w:color w:val="000000"/>
                <w:sz w:val="28"/>
                <w:szCs w:val="28"/>
              </w:rPr>
              <w:lastRenderedPageBreak/>
              <w:t>thực tế, lợi ích dự kiến trình bày riêng; nhân rộng được xem xét bằng phương án khả thi, không bắt buộc đã chuyển giao.</w:t>
            </w:r>
          </w:p>
          <w:p w14:paraId="1720F129" w14:textId="77777777" w:rsidR="006144C2" w:rsidRDefault="00000000">
            <w:pPr>
              <w:spacing w:after="60"/>
              <w:jc w:val="both"/>
            </w:pPr>
            <w:r>
              <w:rPr>
                <w:rFonts w:eastAsia="Times New Roman"/>
                <w:color w:val="000000"/>
                <w:sz w:val="28"/>
                <w:szCs w:val="28"/>
              </w:rPr>
              <w:t>Ngưỡng trung bình từ 80 điểm và biểu quyết đồng ý ít nhất hai phần ba được đề xuất để kết hợp lượng hóa với trách nhiệm nhận định chuyên môn. Không giữ ngưỡng 35 điểm riêng từng nhóm. Quy định rõ tính hợp lệ từng phần, mẫu số thành viên và làm tròn số người; điểm trung bình không làm tròn tăng để đạt ngưỡng.</w:t>
            </w:r>
          </w:p>
          <w:p w14:paraId="65D06B5D" w14:textId="77777777" w:rsidR="006144C2" w:rsidRDefault="00000000">
            <w:pPr>
              <w:spacing w:after="60"/>
              <w:jc w:val="both"/>
            </w:pPr>
            <w:r>
              <w:rPr>
                <w:rFonts w:eastAsia="Times New Roman"/>
                <w:color w:val="000000"/>
                <w:sz w:val="28"/>
                <w:szCs w:val="28"/>
              </w:rPr>
              <w:t>Chênh từ 20 điểm là căn cứ thảo luận, không buộc đồng nhất điểm. Mỗi thành viên ký một lần cho bảng nhiều sáng kiến; sửa kết quả đã ký phải xác nhận và lưu bản cũ. Đây là phương án tổ chức đánh giá của địa phương, cần bảo đảm năng lực thực hiện, không trình bày như tiêu chuẩn trung ương bắt buộc.</w:t>
            </w:r>
          </w:p>
        </w:tc>
      </w:tr>
      <w:tr w:rsidR="006144C2" w14:paraId="58B6F415" w14:textId="77777777" w:rsidTr="00C51476">
        <w:trPr>
          <w:jc w:val="center"/>
        </w:trPr>
        <w:tc>
          <w:tcPr>
            <w:tcW w:w="680" w:type="dxa"/>
            <w:shd w:val="clear" w:color="auto" w:fill="FFFFFF" w:themeFill="background1"/>
            <w:tcMar>
              <w:top w:w="70" w:type="dxa"/>
              <w:left w:w="50" w:type="dxa"/>
              <w:bottom w:w="70" w:type="dxa"/>
              <w:right w:w="50" w:type="dxa"/>
            </w:tcMar>
          </w:tcPr>
          <w:p w14:paraId="7F578663" w14:textId="77777777" w:rsidR="006144C2" w:rsidRDefault="00000000">
            <w:pPr>
              <w:spacing w:before="60" w:after="60"/>
            </w:pPr>
            <w:r>
              <w:rPr>
                <w:rFonts w:eastAsia="Times New Roman"/>
                <w:color w:val="000000"/>
                <w:sz w:val="28"/>
                <w:szCs w:val="28"/>
              </w:rPr>
              <w:lastRenderedPageBreak/>
              <w:t>8</w:t>
            </w:r>
          </w:p>
        </w:tc>
        <w:tc>
          <w:tcPr>
            <w:tcW w:w="3628" w:type="dxa"/>
            <w:shd w:val="clear" w:color="auto" w:fill="FFFFFF" w:themeFill="background1"/>
            <w:tcMar>
              <w:top w:w="70" w:type="dxa"/>
              <w:left w:w="150" w:type="dxa"/>
              <w:bottom w:w="70" w:type="dxa"/>
              <w:right w:w="150" w:type="dxa"/>
            </w:tcMar>
          </w:tcPr>
          <w:p w14:paraId="5BCB8644" w14:textId="77777777" w:rsidR="006144C2" w:rsidRDefault="00000000">
            <w:pPr>
              <w:spacing w:after="60"/>
              <w:jc w:val="both"/>
            </w:pPr>
            <w:r>
              <w:rPr>
                <w:rFonts w:eastAsia="Times New Roman"/>
                <w:color w:val="000000"/>
                <w:sz w:val="28"/>
                <w:szCs w:val="28"/>
              </w:rPr>
              <w:t>Khoản 2 Điều 22 và điểm d khoản 8 Điều 84 Luật Thi đua, khen thưởng sau sửa đổi; khoản 2 Điều 9 Thông tư số 25/2026/TT-BNV.</w:t>
            </w:r>
          </w:p>
          <w:p w14:paraId="07B3B4D7" w14:textId="77777777" w:rsidR="006144C2" w:rsidRDefault="00000000">
            <w:pPr>
              <w:spacing w:after="60"/>
              <w:jc w:val="both"/>
            </w:pPr>
            <w:r>
              <w:rPr>
                <w:rFonts w:eastAsia="Times New Roman"/>
                <w:color w:val="000000"/>
                <w:sz w:val="28"/>
                <w:szCs w:val="28"/>
              </w:rPr>
              <w:lastRenderedPageBreak/>
              <w:t>Pháp luật về phòng, chống tham nhũng đối với kiểm soát xung đột lợi ích. Thành phần, cách tổ chức và tỷ lệ tham gia được cụ thể hóa cho hoạt động tư vấn thuộc phạm vi Quy định.</w:t>
            </w:r>
          </w:p>
        </w:tc>
        <w:tc>
          <w:tcPr>
            <w:tcW w:w="3515" w:type="dxa"/>
            <w:shd w:val="clear" w:color="auto" w:fill="FFFFFF" w:themeFill="background1"/>
            <w:tcMar>
              <w:top w:w="70" w:type="dxa"/>
              <w:left w:w="150" w:type="dxa"/>
              <w:bottom w:w="70" w:type="dxa"/>
              <w:right w:w="150" w:type="dxa"/>
            </w:tcMar>
          </w:tcPr>
          <w:p w14:paraId="5E789802" w14:textId="77777777" w:rsidR="006144C2" w:rsidRDefault="00000000">
            <w:pPr>
              <w:spacing w:after="60"/>
              <w:jc w:val="both"/>
            </w:pPr>
            <w:r>
              <w:rPr>
                <w:rFonts w:eastAsia="Times New Roman"/>
                <w:color w:val="000000"/>
                <w:sz w:val="28"/>
                <w:szCs w:val="28"/>
              </w:rPr>
              <w:lastRenderedPageBreak/>
              <w:t>Điều 8. Hội đồng đánh giá hiệu quả áp dụng và khả năng nhân rộng của sáng kiến</w:t>
            </w:r>
          </w:p>
          <w:p w14:paraId="142D5EB8" w14:textId="77777777" w:rsidR="006144C2" w:rsidRDefault="00000000">
            <w:pPr>
              <w:spacing w:after="60"/>
              <w:jc w:val="both"/>
            </w:pPr>
            <w:r>
              <w:rPr>
                <w:rFonts w:eastAsia="Times New Roman"/>
                <w:color w:val="000000"/>
                <w:sz w:val="28"/>
                <w:szCs w:val="28"/>
              </w:rPr>
              <w:t xml:space="preserve">Chủ tịch thành lập; chuyên môn phù hợp; có thể tổ chức </w:t>
            </w:r>
            <w:r>
              <w:rPr>
                <w:rFonts w:eastAsia="Times New Roman"/>
                <w:color w:val="000000"/>
                <w:sz w:val="28"/>
                <w:szCs w:val="28"/>
              </w:rPr>
              <w:lastRenderedPageBreak/>
              <w:t>theo lĩnh vực hoặc đợt. Loại trừ xung đột lợi ích; không ủy quyền.</w:t>
            </w:r>
          </w:p>
          <w:p w14:paraId="2B977EAE" w14:textId="77777777" w:rsidR="006144C2" w:rsidRDefault="00000000">
            <w:pPr>
              <w:spacing w:after="60"/>
              <w:jc w:val="both"/>
            </w:pPr>
            <w:r>
              <w:rPr>
                <w:rFonts w:eastAsia="Times New Roman"/>
                <w:color w:val="000000"/>
                <w:sz w:val="28"/>
                <w:szCs w:val="28"/>
              </w:rPr>
              <w:t>Mẫu số là tổng thành viên có trách nhiệm đánh giá trừ người có xung đột lợi ích, không trừ vắng mặt. Điều kiện tham gia hai phần ba, biên bản và trách nhiệm người chủ trì, thư ký.</w:t>
            </w:r>
          </w:p>
        </w:tc>
        <w:tc>
          <w:tcPr>
            <w:tcW w:w="6746" w:type="dxa"/>
            <w:shd w:val="clear" w:color="auto" w:fill="FFFFFF" w:themeFill="background1"/>
            <w:tcMar>
              <w:top w:w="70" w:type="dxa"/>
              <w:left w:w="150" w:type="dxa"/>
              <w:bottom w:w="70" w:type="dxa"/>
              <w:right w:w="150" w:type="dxa"/>
            </w:tcMar>
          </w:tcPr>
          <w:p w14:paraId="536C6156" w14:textId="77777777" w:rsidR="006144C2" w:rsidRDefault="00000000">
            <w:pPr>
              <w:spacing w:after="60"/>
              <w:jc w:val="both"/>
            </w:pPr>
            <w:r>
              <w:rPr>
                <w:rFonts w:eastAsia="Times New Roman"/>
                <w:color w:val="000000"/>
                <w:sz w:val="28"/>
                <w:szCs w:val="28"/>
              </w:rPr>
              <w:lastRenderedPageBreak/>
              <w:t>Hội đồng do Chủ tịch UBND thành phố thành lập theo đề nghị của Sở; có chuyên môn phù hợp, có thể tổ chức theo lĩnh vực hoặc đợt để đáp ứng khối lượng. Thư ký giúp việc chỉ chấm, biểu quyết khi đồng thời là thành viên.</w:t>
            </w:r>
          </w:p>
          <w:p w14:paraId="6DE397C6" w14:textId="77777777" w:rsidR="006144C2" w:rsidRDefault="00000000">
            <w:pPr>
              <w:spacing w:after="60"/>
              <w:jc w:val="both"/>
            </w:pPr>
            <w:r>
              <w:rPr>
                <w:rFonts w:eastAsia="Times New Roman"/>
                <w:color w:val="000000"/>
                <w:sz w:val="28"/>
                <w:szCs w:val="28"/>
              </w:rPr>
              <w:t xml:space="preserve">Người có lợi ích liên quan phải rút khỏi việc đánh giá sáng kiến đó. Mẫu số tính tỷ lệ là tổng thành viên có trách </w:t>
            </w:r>
            <w:r>
              <w:rPr>
                <w:rFonts w:eastAsia="Times New Roman"/>
                <w:color w:val="000000"/>
                <w:sz w:val="28"/>
                <w:szCs w:val="28"/>
              </w:rPr>
              <w:lastRenderedPageBreak/>
              <w:t>nhiệm đánh giá, trừ người thuộc diện xung đột lợi ích, không trừ người vắng mặt. Điều kiện tham gia, người chủ trì và biên bản nhằm bảo đảm trách nhiệm, truy vết kết quả; không trao quyền công nhận cho Hội đồng.</w:t>
            </w:r>
          </w:p>
        </w:tc>
      </w:tr>
      <w:tr w:rsidR="006144C2" w14:paraId="69114924" w14:textId="77777777" w:rsidTr="00C51476">
        <w:trPr>
          <w:jc w:val="center"/>
        </w:trPr>
        <w:tc>
          <w:tcPr>
            <w:tcW w:w="680" w:type="dxa"/>
            <w:shd w:val="clear" w:color="auto" w:fill="FFFFFF" w:themeFill="background1"/>
            <w:tcMar>
              <w:top w:w="70" w:type="dxa"/>
              <w:left w:w="50" w:type="dxa"/>
              <w:bottom w:w="70" w:type="dxa"/>
              <w:right w:w="50" w:type="dxa"/>
            </w:tcMar>
          </w:tcPr>
          <w:p w14:paraId="7DBEBA78" w14:textId="77777777" w:rsidR="006144C2" w:rsidRDefault="00000000">
            <w:pPr>
              <w:spacing w:before="60" w:after="60"/>
            </w:pPr>
            <w:r>
              <w:rPr>
                <w:rFonts w:eastAsia="Times New Roman"/>
                <w:color w:val="000000"/>
                <w:sz w:val="28"/>
                <w:szCs w:val="28"/>
              </w:rPr>
              <w:lastRenderedPageBreak/>
              <w:t>9</w:t>
            </w:r>
          </w:p>
        </w:tc>
        <w:tc>
          <w:tcPr>
            <w:tcW w:w="3628" w:type="dxa"/>
            <w:shd w:val="clear" w:color="auto" w:fill="FFFFFF" w:themeFill="background1"/>
            <w:tcMar>
              <w:top w:w="70" w:type="dxa"/>
              <w:left w:w="150" w:type="dxa"/>
              <w:bottom w:w="70" w:type="dxa"/>
              <w:right w:w="150" w:type="dxa"/>
            </w:tcMar>
          </w:tcPr>
          <w:p w14:paraId="19047C91" w14:textId="77777777" w:rsidR="006144C2" w:rsidRDefault="00000000">
            <w:pPr>
              <w:spacing w:after="60"/>
              <w:jc w:val="both"/>
            </w:pPr>
            <w:r>
              <w:rPr>
                <w:rFonts w:eastAsia="Times New Roman"/>
                <w:color w:val="000000"/>
                <w:sz w:val="28"/>
                <w:szCs w:val="28"/>
              </w:rPr>
              <w:t>Điểm d khoản 8 Điều 84, khoản 2 Điều 22 Luật Thi đua, khen thưởng sau sửa đổi; khoản 1, khoản 2 Điều 9 Thông tư số 25/2026/TT-BNV.</w:t>
            </w:r>
          </w:p>
          <w:p w14:paraId="4F427A78" w14:textId="77777777" w:rsidR="006144C2" w:rsidRDefault="00000000">
            <w:pPr>
              <w:spacing w:after="60"/>
              <w:jc w:val="both"/>
            </w:pPr>
            <w:r>
              <w:rPr>
                <w:rFonts w:eastAsia="Times New Roman"/>
                <w:color w:val="000000"/>
                <w:sz w:val="28"/>
                <w:szCs w:val="28"/>
              </w:rPr>
              <w:t>Khoản 3 Điều 5 Điều lệ Sáng kiến; khoản 1 Điều 5 Thông tư số 18/2013/TT-BKHCN là cơ sở tham chiếu nội dung thông tin về tác giả, giải pháp, điều kiện áp dụng, lợi ích, không phải quy định trực tiếp bộ hồ sơ cấp thành phố.</w:t>
            </w:r>
          </w:p>
          <w:p w14:paraId="44612B08" w14:textId="77777777" w:rsidR="006144C2" w:rsidRDefault="00000000">
            <w:pPr>
              <w:spacing w:after="60"/>
              <w:jc w:val="both"/>
            </w:pPr>
            <w:r>
              <w:rPr>
                <w:rFonts w:eastAsia="Times New Roman"/>
                <w:color w:val="000000"/>
                <w:sz w:val="28"/>
                <w:szCs w:val="28"/>
              </w:rPr>
              <w:lastRenderedPageBreak/>
              <w:t>Điểm b khoản 2 Điều 6 Nghị định số 45/2020/NĐ-CP về thực hiện thủ tục hành chính trên môi trường điện tử; điểm đ, e khoản 3 Điều 18 Thông tư số 26/2025/TT-BTP.</w:t>
            </w:r>
          </w:p>
        </w:tc>
        <w:tc>
          <w:tcPr>
            <w:tcW w:w="3515" w:type="dxa"/>
            <w:shd w:val="clear" w:color="auto" w:fill="FFFFFF" w:themeFill="background1"/>
            <w:tcMar>
              <w:top w:w="70" w:type="dxa"/>
              <w:left w:w="150" w:type="dxa"/>
              <w:bottom w:w="70" w:type="dxa"/>
              <w:right w:w="150" w:type="dxa"/>
            </w:tcMar>
          </w:tcPr>
          <w:p w14:paraId="3063F794" w14:textId="77777777" w:rsidR="006144C2" w:rsidRDefault="00000000">
            <w:pPr>
              <w:spacing w:after="60"/>
              <w:jc w:val="both"/>
            </w:pPr>
            <w:r>
              <w:rPr>
                <w:rFonts w:eastAsia="Times New Roman"/>
                <w:color w:val="000000"/>
                <w:sz w:val="28"/>
                <w:szCs w:val="28"/>
              </w:rPr>
              <w:lastRenderedPageBreak/>
              <w:t>Điều 9. Hồ sơ và phương thức gửi đề nghị công nhận hiệu quả áp dụng và khả năng nhân rộng của sáng kiến</w:t>
            </w:r>
          </w:p>
          <w:p w14:paraId="5EBC98C9" w14:textId="77777777" w:rsidR="006144C2" w:rsidRDefault="00000000">
            <w:pPr>
              <w:spacing w:after="60"/>
              <w:jc w:val="both"/>
            </w:pPr>
            <w:r>
              <w:rPr>
                <w:rFonts w:eastAsia="Times New Roman"/>
                <w:color w:val="000000"/>
                <w:sz w:val="28"/>
                <w:szCs w:val="28"/>
              </w:rPr>
              <w:t>Bốn thành phần hồ sơ theo khoản 1; không nộp, xác nhận lặp minh chứng. Gửi qua đầu mối có trách nhiệm đề nghị danh hiệu.</w:t>
            </w:r>
          </w:p>
          <w:p w14:paraId="043E50C8" w14:textId="77777777" w:rsidR="006144C2" w:rsidRDefault="00000000">
            <w:pPr>
              <w:spacing w:after="60"/>
              <w:jc w:val="both"/>
            </w:pPr>
            <w:r>
              <w:rPr>
                <w:rFonts w:eastAsia="Times New Roman"/>
                <w:color w:val="000000"/>
                <w:sz w:val="28"/>
                <w:szCs w:val="28"/>
              </w:rPr>
              <w:t xml:space="preserve">Đồng thời 01 bộ giấy và hồ sơ điện tử cùng nội dung, có giới hạn đối với tài liệu điện tử hợp pháp; bảo vệ bí mật </w:t>
            </w:r>
            <w:r>
              <w:rPr>
                <w:rFonts w:eastAsia="Times New Roman"/>
                <w:color w:val="000000"/>
                <w:sz w:val="28"/>
                <w:szCs w:val="28"/>
              </w:rPr>
              <w:lastRenderedPageBreak/>
              <w:t>nhà nước. Tiếp nhận liên tục trong năm.</w:t>
            </w:r>
          </w:p>
        </w:tc>
        <w:tc>
          <w:tcPr>
            <w:tcW w:w="6746" w:type="dxa"/>
            <w:shd w:val="clear" w:color="auto" w:fill="FFFFFF" w:themeFill="background1"/>
            <w:tcMar>
              <w:top w:w="70" w:type="dxa"/>
              <w:left w:w="150" w:type="dxa"/>
              <w:bottom w:w="70" w:type="dxa"/>
              <w:right w:w="150" w:type="dxa"/>
            </w:tcMar>
          </w:tcPr>
          <w:p w14:paraId="061DC5C1" w14:textId="77777777" w:rsidR="006144C2" w:rsidRDefault="00000000">
            <w:pPr>
              <w:spacing w:after="60"/>
              <w:jc w:val="both"/>
            </w:pPr>
            <w:r>
              <w:rPr>
                <w:rFonts w:eastAsia="Times New Roman"/>
                <w:color w:val="000000"/>
                <w:sz w:val="28"/>
                <w:szCs w:val="28"/>
              </w:rPr>
              <w:lastRenderedPageBreak/>
              <w:t>Bốn thành phần hồ sơ xác định đầu mối, tư cách sáng kiến và tác giả, yêu cầu của tác giả, kết quả áp dụng và khả năng nhân rộng. Bỏ biên bản Hội đồng, quyết định công nhận hiệu quả ở cơ sở; minh chứng đã có được dẫn chiếu, không nộp hoặc xác nhận lặp. Chỉ xác nhận nội dung còn thiếu minh chứng trong phạm vi trách nhiệm.</w:t>
            </w:r>
          </w:p>
          <w:p w14:paraId="65ADC280" w14:textId="77777777" w:rsidR="006144C2" w:rsidRDefault="00000000">
            <w:pPr>
              <w:spacing w:after="60"/>
              <w:jc w:val="both"/>
            </w:pPr>
            <w:r>
              <w:rPr>
                <w:rFonts w:eastAsia="Times New Roman"/>
                <w:color w:val="000000"/>
                <w:sz w:val="28"/>
                <w:szCs w:val="28"/>
              </w:rPr>
              <w:t>Hồ sơ qua đầu mối có trách nhiệm đề nghị danh hiệu thi đua; tiếp nhận liên tục trong năm, kế hoạch đánh giá phải bảo đảm tổng thời hạn.</w:t>
            </w:r>
          </w:p>
          <w:p w14:paraId="560B8B08" w14:textId="77777777" w:rsidR="006144C2" w:rsidRDefault="00000000">
            <w:pPr>
              <w:spacing w:after="60"/>
              <w:jc w:val="both"/>
            </w:pPr>
            <w:r>
              <w:rPr>
                <w:rFonts w:eastAsia="Times New Roman"/>
                <w:color w:val="000000"/>
                <w:sz w:val="28"/>
                <w:szCs w:val="28"/>
              </w:rPr>
              <w:t>Dự thảo giữ đồng thời giấy và điện tử để phục vụ đối chiếu, xử lý, lưu trữ, nhưng không coi đó là căn cứ pháp luật bắt buộc mọi tài liệu phải nộp hai lần. Điểm c khoản 3 giới hạn yêu cầu giấy theo pháp luật; sự cần thiết của nộp song song còn được đề nghị xem xét khi thẩm định, do ảnh hưởng chi phí và ưu tiên xử lý điện tử.</w:t>
            </w:r>
          </w:p>
        </w:tc>
      </w:tr>
      <w:tr w:rsidR="006144C2" w14:paraId="7D168122" w14:textId="77777777" w:rsidTr="00C51476">
        <w:trPr>
          <w:jc w:val="center"/>
        </w:trPr>
        <w:tc>
          <w:tcPr>
            <w:tcW w:w="680" w:type="dxa"/>
            <w:shd w:val="clear" w:color="auto" w:fill="FFFFFF" w:themeFill="background1"/>
            <w:tcMar>
              <w:top w:w="70" w:type="dxa"/>
              <w:left w:w="50" w:type="dxa"/>
              <w:bottom w:w="70" w:type="dxa"/>
              <w:right w:w="50" w:type="dxa"/>
            </w:tcMar>
          </w:tcPr>
          <w:p w14:paraId="572FE1E3" w14:textId="77777777" w:rsidR="006144C2" w:rsidRDefault="00000000">
            <w:pPr>
              <w:spacing w:before="60" w:after="60"/>
            </w:pPr>
            <w:r>
              <w:rPr>
                <w:rFonts w:eastAsia="Times New Roman"/>
                <w:color w:val="000000"/>
                <w:sz w:val="28"/>
                <w:szCs w:val="28"/>
              </w:rPr>
              <w:t>10</w:t>
            </w:r>
          </w:p>
        </w:tc>
        <w:tc>
          <w:tcPr>
            <w:tcW w:w="3628" w:type="dxa"/>
            <w:shd w:val="clear" w:color="auto" w:fill="FFFFFF" w:themeFill="background1"/>
            <w:tcMar>
              <w:top w:w="70" w:type="dxa"/>
              <w:left w:w="150" w:type="dxa"/>
              <w:bottom w:w="70" w:type="dxa"/>
              <w:right w:w="150" w:type="dxa"/>
            </w:tcMar>
          </w:tcPr>
          <w:p w14:paraId="62F9AC50" w14:textId="77777777" w:rsidR="006144C2" w:rsidRDefault="00000000">
            <w:pPr>
              <w:spacing w:after="60"/>
              <w:jc w:val="both"/>
            </w:pPr>
            <w:r>
              <w:rPr>
                <w:rFonts w:eastAsia="Times New Roman"/>
                <w:color w:val="000000"/>
                <w:sz w:val="28"/>
                <w:szCs w:val="28"/>
              </w:rPr>
              <w:t>Khoản 2 Điều 22 và điểm d khoản 8 Điều 84 Luật Thi đua, khen thưởng sau sửa đổi; khoản 2 Điều 9 Thông tư số 25/2026/TT-BNV.</w:t>
            </w:r>
          </w:p>
          <w:p w14:paraId="13E18647" w14:textId="77777777" w:rsidR="006144C2" w:rsidRDefault="00000000">
            <w:pPr>
              <w:spacing w:after="60"/>
              <w:jc w:val="both"/>
            </w:pPr>
            <w:r>
              <w:rPr>
                <w:rFonts w:eastAsia="Times New Roman"/>
                <w:color w:val="000000"/>
                <w:sz w:val="28"/>
                <w:szCs w:val="28"/>
              </w:rPr>
              <w:t>Điểm d, g khoản 3 Điều 18 Thông tư số 26/2025/TT-BTP về trình tự và thời hạn.</w:t>
            </w:r>
          </w:p>
          <w:p w14:paraId="4DE91980" w14:textId="77777777" w:rsidR="006144C2" w:rsidRDefault="00000000">
            <w:pPr>
              <w:spacing w:after="60"/>
              <w:jc w:val="both"/>
            </w:pPr>
            <w:r>
              <w:rPr>
                <w:rFonts w:eastAsia="Times New Roman"/>
                <w:color w:val="000000"/>
                <w:sz w:val="28"/>
                <w:szCs w:val="28"/>
              </w:rPr>
              <w:t>Khoản 3 Điều 9 Thông tư số 18/2013/TT-BKHCN chỉ điều chỉnh hủy công nhận sáng kiến tại cơ sở; không chuyển thẩm quyền đó sang cơ quan xét hiệu quả cấp thành phố.</w:t>
            </w:r>
          </w:p>
        </w:tc>
        <w:tc>
          <w:tcPr>
            <w:tcW w:w="3515" w:type="dxa"/>
            <w:shd w:val="clear" w:color="auto" w:fill="FFFFFF" w:themeFill="background1"/>
            <w:tcMar>
              <w:top w:w="70" w:type="dxa"/>
              <w:left w:w="150" w:type="dxa"/>
              <w:bottom w:w="70" w:type="dxa"/>
              <w:right w:w="150" w:type="dxa"/>
            </w:tcMar>
          </w:tcPr>
          <w:p w14:paraId="1CF77425" w14:textId="77777777" w:rsidR="006144C2" w:rsidRDefault="00000000">
            <w:pPr>
              <w:spacing w:after="60"/>
              <w:jc w:val="both"/>
            </w:pPr>
            <w:r>
              <w:rPr>
                <w:rFonts w:eastAsia="Times New Roman"/>
                <w:color w:val="000000"/>
                <w:sz w:val="28"/>
                <w:szCs w:val="28"/>
              </w:rPr>
              <w:t>Điều 10. Trình tự tiếp nhận, đánh giá và công nhận hiệu quả áp dụng và khả năng nhân rộng của sáng kiến</w:t>
            </w:r>
          </w:p>
          <w:p w14:paraId="028416D3" w14:textId="77777777" w:rsidR="006144C2" w:rsidRDefault="00000000">
            <w:pPr>
              <w:spacing w:after="60"/>
              <w:jc w:val="both"/>
            </w:pPr>
            <w:r>
              <w:rPr>
                <w:rFonts w:eastAsia="Times New Roman"/>
                <w:color w:val="000000"/>
                <w:sz w:val="28"/>
                <w:szCs w:val="28"/>
              </w:rPr>
              <w:t>Tiếp nhận; đánh giá và trình; quyết định, thông báo kết quả. Chủ tịch quyết định công nhận hoặc không công nhận.</w:t>
            </w:r>
          </w:p>
          <w:p w14:paraId="206C4F88" w14:textId="77777777" w:rsidR="006144C2" w:rsidRDefault="00000000">
            <w:pPr>
              <w:spacing w:after="60"/>
              <w:jc w:val="both"/>
            </w:pPr>
            <w:r>
              <w:rPr>
                <w:rFonts w:eastAsia="Times New Roman"/>
                <w:color w:val="000000"/>
                <w:sz w:val="28"/>
                <w:szCs w:val="28"/>
              </w:rPr>
              <w:t>Rà soát, đính chính, sửa đổi, hủy bỏ kết quả có thông báo, giải trình, xác minh.</w:t>
            </w:r>
          </w:p>
          <w:p w14:paraId="7633D4B2" w14:textId="77777777" w:rsidR="006144C2" w:rsidRDefault="00000000">
            <w:pPr>
              <w:spacing w:after="60"/>
              <w:jc w:val="both"/>
            </w:pPr>
            <w:r>
              <w:rPr>
                <w:rFonts w:eastAsia="Times New Roman"/>
                <w:color w:val="000000"/>
                <w:sz w:val="28"/>
                <w:szCs w:val="28"/>
              </w:rPr>
              <w:t>Tổng thời hạn 60 ngày liên tục từ hồ sơ hợp lệ; không chia ngày từng bước, chưa ấn định hạn bổ sung chung.</w:t>
            </w:r>
          </w:p>
        </w:tc>
        <w:tc>
          <w:tcPr>
            <w:tcW w:w="6746" w:type="dxa"/>
            <w:shd w:val="clear" w:color="auto" w:fill="FFFFFF" w:themeFill="background1"/>
            <w:tcMar>
              <w:top w:w="70" w:type="dxa"/>
              <w:left w:w="150" w:type="dxa"/>
              <w:bottom w:w="70" w:type="dxa"/>
              <w:right w:w="150" w:type="dxa"/>
            </w:tcMar>
          </w:tcPr>
          <w:p w14:paraId="5C2F6371" w14:textId="77777777" w:rsidR="006144C2" w:rsidRDefault="00000000">
            <w:pPr>
              <w:spacing w:after="60"/>
              <w:jc w:val="both"/>
            </w:pPr>
            <w:r>
              <w:rPr>
                <w:rFonts w:eastAsia="Times New Roman"/>
                <w:color w:val="000000"/>
                <w:sz w:val="28"/>
                <w:szCs w:val="28"/>
              </w:rPr>
              <w:t>Trình tự gồm tiếp nhận, đánh giá và trình, quyết định và thông báo. Thông báo bổ sung xác định Sở Khoa học và Công nghệ là nơi gửi, cơ quan đề nghị là nơi nhận; nêu đầy đủ nội dung, căn cứ, thời điểm hoàn thiện. Hồ sơ chưa đủ được theo dõi, không tự coi là rút. Chủ tịch quyết định cả công nhận và không công nhận sau đánh giá.</w:t>
            </w:r>
          </w:p>
          <w:p w14:paraId="3D739BAA" w14:textId="77777777" w:rsidR="006144C2" w:rsidRDefault="00000000">
            <w:pPr>
              <w:spacing w:after="60"/>
              <w:jc w:val="both"/>
            </w:pPr>
            <w:r>
              <w:rPr>
                <w:rFonts w:eastAsia="Times New Roman"/>
                <w:color w:val="000000"/>
                <w:sz w:val="28"/>
                <w:szCs w:val="28"/>
              </w:rPr>
              <w:t>Tổng thời hạn 60 ngày liên tục từ hồ sơ hợp lệ là phương án của địa phương. Dự thảo không chia ngày từng bước, không ấn định hạn bổ sung chung để cơ quan tổ chức theo khối lượng và tính chất hồ sơ. Phương án này cần ý kiến thẩm định đối với yêu cầu quy định rõ thời gian từng bước, từng cơ quan tại điểm g khoản 3 Điều 18 Thông tư số 26/2025/TT-BTP; không coi tổng hạn đã thay thế toàn bộ yêu cầu đó.</w:t>
            </w:r>
          </w:p>
          <w:p w14:paraId="17278AEC" w14:textId="77777777" w:rsidR="006144C2" w:rsidRDefault="00000000">
            <w:pPr>
              <w:spacing w:after="60"/>
              <w:jc w:val="both"/>
            </w:pPr>
            <w:r>
              <w:rPr>
                <w:rFonts w:eastAsia="Times New Roman"/>
                <w:color w:val="000000"/>
                <w:sz w:val="28"/>
                <w:szCs w:val="28"/>
              </w:rPr>
              <w:t>Nhánh rà soát kết quả công nhận quy định căn cứ, thông báo, giải trình, xác minh, quyết định và cập nhật. Đối tượng xử lý là kết quả hiệu quả áp dụng, khả năng nhân rộng trong thành phố, không tự hủy công nhận sáng kiến cơ sở hoặc danh hiệu thi đua.</w:t>
            </w:r>
          </w:p>
        </w:tc>
      </w:tr>
      <w:tr w:rsidR="006144C2" w14:paraId="7B4802F9" w14:textId="77777777" w:rsidTr="00C51476">
        <w:trPr>
          <w:jc w:val="center"/>
        </w:trPr>
        <w:tc>
          <w:tcPr>
            <w:tcW w:w="680" w:type="dxa"/>
            <w:shd w:val="clear" w:color="auto" w:fill="FFFFFF" w:themeFill="background1"/>
            <w:tcMar>
              <w:top w:w="70" w:type="dxa"/>
              <w:left w:w="50" w:type="dxa"/>
              <w:bottom w:w="70" w:type="dxa"/>
              <w:right w:w="50" w:type="dxa"/>
            </w:tcMar>
          </w:tcPr>
          <w:p w14:paraId="6364F0E8" w14:textId="77777777" w:rsidR="006144C2" w:rsidRDefault="00000000">
            <w:pPr>
              <w:spacing w:before="60" w:after="60"/>
            </w:pPr>
            <w:r>
              <w:rPr>
                <w:rFonts w:eastAsia="Times New Roman"/>
                <w:color w:val="000000"/>
                <w:sz w:val="28"/>
                <w:szCs w:val="28"/>
              </w:rPr>
              <w:lastRenderedPageBreak/>
              <w:t>11</w:t>
            </w:r>
          </w:p>
        </w:tc>
        <w:tc>
          <w:tcPr>
            <w:tcW w:w="3628" w:type="dxa"/>
            <w:shd w:val="clear" w:color="auto" w:fill="FFFFFF" w:themeFill="background1"/>
            <w:tcMar>
              <w:top w:w="70" w:type="dxa"/>
              <w:left w:w="150" w:type="dxa"/>
              <w:bottom w:w="70" w:type="dxa"/>
              <w:right w:w="150" w:type="dxa"/>
            </w:tcMar>
          </w:tcPr>
          <w:p w14:paraId="327AE25A" w14:textId="77777777" w:rsidR="006144C2" w:rsidRDefault="00000000">
            <w:pPr>
              <w:spacing w:after="60"/>
              <w:jc w:val="both"/>
            </w:pPr>
            <w:r>
              <w:rPr>
                <w:rFonts w:eastAsia="Times New Roman"/>
                <w:color w:val="000000"/>
                <w:sz w:val="28"/>
                <w:szCs w:val="28"/>
              </w:rPr>
              <w:t>Điều 16 Điều lệ Sáng kiến; Điều 2, khoản 1 Điều 3 và Điều 7 Thông tư số 03/2019/TT-BTC của Bộ trưởng Bộ Tài chính quy định về nguồn kinh phí, nội dung và mức chi từ ngân sách nhà nước để thực hiện hoạt động sáng kiến; pháp luật về ngân sách nhà nước và chế độ, tiêu chuẩn, định mức có thẩm quyền.</w:t>
            </w:r>
          </w:p>
        </w:tc>
        <w:tc>
          <w:tcPr>
            <w:tcW w:w="3515" w:type="dxa"/>
            <w:shd w:val="clear" w:color="auto" w:fill="FFFFFF" w:themeFill="background1"/>
            <w:tcMar>
              <w:top w:w="70" w:type="dxa"/>
              <w:left w:w="150" w:type="dxa"/>
              <w:bottom w:w="70" w:type="dxa"/>
              <w:right w:w="150" w:type="dxa"/>
            </w:tcMar>
          </w:tcPr>
          <w:p w14:paraId="54D1F4B1" w14:textId="77777777" w:rsidR="006144C2" w:rsidRDefault="00000000">
            <w:pPr>
              <w:spacing w:after="60"/>
              <w:jc w:val="both"/>
            </w:pPr>
            <w:r>
              <w:rPr>
                <w:rFonts w:eastAsia="Times New Roman"/>
                <w:color w:val="000000"/>
                <w:sz w:val="28"/>
                <w:szCs w:val="28"/>
              </w:rPr>
              <w:t>Điều 11. Kinh phí thực hiện</w:t>
            </w:r>
          </w:p>
          <w:p w14:paraId="6309421E" w14:textId="77777777" w:rsidR="006144C2" w:rsidRDefault="00000000">
            <w:pPr>
              <w:spacing w:after="60"/>
              <w:jc w:val="both"/>
            </w:pPr>
            <w:r>
              <w:rPr>
                <w:rFonts w:eastAsia="Times New Roman"/>
                <w:color w:val="000000"/>
                <w:sz w:val="28"/>
                <w:szCs w:val="28"/>
              </w:rPr>
              <w:t>Nguồn kinh phí theo phân cấp và các nguồn hợp pháp; lập dự toán, quản lý, sử dụng, quyết toán đúng chế độ, trong dự toán; không yêu cầu đóng góp để được xét.</w:t>
            </w:r>
          </w:p>
        </w:tc>
        <w:tc>
          <w:tcPr>
            <w:tcW w:w="6746" w:type="dxa"/>
            <w:shd w:val="clear" w:color="auto" w:fill="FFFFFF" w:themeFill="background1"/>
            <w:tcMar>
              <w:top w:w="70" w:type="dxa"/>
              <w:left w:w="150" w:type="dxa"/>
              <w:bottom w:w="70" w:type="dxa"/>
              <w:right w:w="150" w:type="dxa"/>
            </w:tcMar>
          </w:tcPr>
          <w:p w14:paraId="15A510F5" w14:textId="77777777" w:rsidR="006144C2" w:rsidRDefault="00000000">
            <w:pPr>
              <w:spacing w:after="60"/>
              <w:jc w:val="both"/>
            </w:pPr>
            <w:r>
              <w:rPr>
                <w:rFonts w:eastAsia="Times New Roman"/>
                <w:color w:val="000000"/>
                <w:sz w:val="28"/>
                <w:szCs w:val="28"/>
              </w:rPr>
              <w:t>Quy định nguồn kinh phí phù hợp loại hình cơ quan, đơn vị; dự toán, quản lý, sử dụng, quyết toán theo đúng chế độ và trong dự toán được giao. Không đặt mức chi, phí hoặc nghĩa vụ đóng góp để được xét công nhận.</w:t>
            </w:r>
          </w:p>
          <w:p w14:paraId="753A768D" w14:textId="77777777" w:rsidR="006144C2" w:rsidRDefault="00000000">
            <w:pPr>
              <w:spacing w:after="60"/>
              <w:jc w:val="both"/>
            </w:pPr>
            <w:r>
              <w:rPr>
                <w:rFonts w:eastAsia="Times New Roman"/>
                <w:color w:val="000000"/>
                <w:sz w:val="28"/>
                <w:szCs w:val="28"/>
              </w:rPr>
              <w:t>Việc lựa chọn định mức cho Hội đồng phải xác định đúng nhiệm vụ, đối tượng, phạm vi áp dụng; không suy rộng mức chi Hội đồng cơ sở hoặc Hội đồng khoa học, công nghệ sang mọi hoạt động theo Quy định.</w:t>
            </w:r>
          </w:p>
        </w:tc>
      </w:tr>
      <w:tr w:rsidR="006144C2" w14:paraId="79FDCB39" w14:textId="77777777" w:rsidTr="00C51476">
        <w:trPr>
          <w:jc w:val="center"/>
        </w:trPr>
        <w:tc>
          <w:tcPr>
            <w:tcW w:w="680" w:type="dxa"/>
            <w:shd w:val="clear" w:color="auto" w:fill="FFFFFF" w:themeFill="background1"/>
            <w:tcMar>
              <w:top w:w="70" w:type="dxa"/>
              <w:left w:w="50" w:type="dxa"/>
              <w:bottom w:w="70" w:type="dxa"/>
              <w:right w:w="50" w:type="dxa"/>
            </w:tcMar>
          </w:tcPr>
          <w:p w14:paraId="14A70831" w14:textId="77777777" w:rsidR="006144C2" w:rsidRDefault="00000000">
            <w:pPr>
              <w:spacing w:before="60" w:after="60"/>
            </w:pPr>
            <w:r>
              <w:rPr>
                <w:rFonts w:eastAsia="Times New Roman"/>
                <w:color w:val="000000"/>
                <w:sz w:val="28"/>
                <w:szCs w:val="28"/>
              </w:rPr>
              <w:t>12</w:t>
            </w:r>
          </w:p>
        </w:tc>
        <w:tc>
          <w:tcPr>
            <w:tcW w:w="3628" w:type="dxa"/>
            <w:shd w:val="clear" w:color="auto" w:fill="FFFFFF" w:themeFill="background1"/>
            <w:tcMar>
              <w:top w:w="70" w:type="dxa"/>
              <w:left w:w="150" w:type="dxa"/>
              <w:bottom w:w="70" w:type="dxa"/>
              <w:right w:w="150" w:type="dxa"/>
            </w:tcMar>
          </w:tcPr>
          <w:p w14:paraId="66F1EB7B" w14:textId="77777777" w:rsidR="006144C2" w:rsidRDefault="00000000">
            <w:pPr>
              <w:spacing w:after="60"/>
              <w:jc w:val="both"/>
            </w:pPr>
            <w:r>
              <w:rPr>
                <w:rFonts w:eastAsia="Times New Roman"/>
                <w:color w:val="000000"/>
                <w:sz w:val="28"/>
                <w:szCs w:val="28"/>
              </w:rPr>
              <w:t>Điều 14, Điều 15 Điều lệ Sáng kiến về phổ biến, khuyến khích và quản lý hoạt động sáng kiến; Điều 7 Thông tư số 03/2019/TT-BTC.</w:t>
            </w:r>
          </w:p>
          <w:p w14:paraId="5EE2F083" w14:textId="77777777" w:rsidR="006144C2" w:rsidRDefault="00000000">
            <w:pPr>
              <w:spacing w:after="60"/>
              <w:jc w:val="both"/>
            </w:pPr>
            <w:r>
              <w:rPr>
                <w:rFonts w:eastAsia="Times New Roman"/>
                <w:color w:val="000000"/>
                <w:sz w:val="28"/>
                <w:szCs w:val="28"/>
              </w:rPr>
              <w:t>Điều 59 Luật Ban hành văn bản quy phạm pháp luật số 64/2025/QH15 sau sửa đổi về tổ chức thi hành; khoản 2 Điều 9 Thông tư số 25/2026/TT-BNV về công nhận bằng văn bản của chủ thể có thẩm quyền.</w:t>
            </w:r>
          </w:p>
        </w:tc>
        <w:tc>
          <w:tcPr>
            <w:tcW w:w="3515" w:type="dxa"/>
            <w:shd w:val="clear" w:color="auto" w:fill="FFFFFF" w:themeFill="background1"/>
            <w:tcMar>
              <w:top w:w="70" w:type="dxa"/>
              <w:left w:w="150" w:type="dxa"/>
              <w:bottom w:w="70" w:type="dxa"/>
              <w:right w:w="150" w:type="dxa"/>
            </w:tcMar>
          </w:tcPr>
          <w:p w14:paraId="5F7ADEE6" w14:textId="77777777" w:rsidR="006144C2" w:rsidRDefault="00000000">
            <w:pPr>
              <w:spacing w:after="60"/>
              <w:jc w:val="both"/>
            </w:pPr>
            <w:r>
              <w:rPr>
                <w:rFonts w:eastAsia="Times New Roman"/>
                <w:color w:val="000000"/>
                <w:sz w:val="28"/>
                <w:szCs w:val="28"/>
              </w:rPr>
              <w:t>Điều 12. Trách nhiệm thực hiện</w:t>
            </w:r>
          </w:p>
          <w:p w14:paraId="4331C401" w14:textId="77777777" w:rsidR="006144C2" w:rsidRDefault="00000000">
            <w:pPr>
              <w:spacing w:after="60"/>
              <w:jc w:val="both"/>
            </w:pPr>
            <w:r>
              <w:rPr>
                <w:rFonts w:eastAsia="Times New Roman"/>
                <w:color w:val="000000"/>
                <w:sz w:val="28"/>
                <w:szCs w:val="28"/>
              </w:rPr>
              <w:t>Trách nhiệm của Sở Khoa học và Công nghệ; cơ quan, tổ chức, đơn vị, địa phương; Sở Nội vụ; Sở Tài chính; tác giả, đồng tác giả.</w:t>
            </w:r>
          </w:p>
        </w:tc>
        <w:tc>
          <w:tcPr>
            <w:tcW w:w="6746" w:type="dxa"/>
            <w:shd w:val="clear" w:color="auto" w:fill="FFFFFF" w:themeFill="background1"/>
            <w:tcMar>
              <w:top w:w="70" w:type="dxa"/>
              <w:left w:w="150" w:type="dxa"/>
              <w:bottom w:w="70" w:type="dxa"/>
              <w:right w:w="150" w:type="dxa"/>
            </w:tcMar>
          </w:tcPr>
          <w:p w14:paraId="07C5FE4A" w14:textId="77777777" w:rsidR="006144C2" w:rsidRDefault="00000000">
            <w:pPr>
              <w:spacing w:after="60"/>
              <w:jc w:val="both"/>
            </w:pPr>
            <w:r>
              <w:rPr>
                <w:rFonts w:eastAsia="Times New Roman"/>
                <w:color w:val="000000"/>
                <w:sz w:val="28"/>
                <w:szCs w:val="28"/>
              </w:rPr>
              <w:t>Phân công Sở Khoa học và Công nghệ tổ chức thực hiện, dữ liệu, công khai thủ tục; cơ quan, đơn vị lập hồ sơ, xác nhận, phối hợp và nhân rộng; Sở Nội vụ phối hợp sử dụng kết quả, kế hoạch thi đua; Sở Tài chính tham mưu kinh phí theo đề xuất và cân đối.</w:t>
            </w:r>
          </w:p>
          <w:p w14:paraId="67394236" w14:textId="77777777" w:rsidR="006144C2" w:rsidRDefault="00000000">
            <w:pPr>
              <w:spacing w:after="60"/>
              <w:jc w:val="both"/>
            </w:pPr>
            <w:r>
              <w:rPr>
                <w:rFonts w:eastAsia="Times New Roman"/>
                <w:color w:val="000000"/>
                <w:sz w:val="28"/>
                <w:szCs w:val="28"/>
              </w:rPr>
              <w:t>Không bắt buộc mọi cơ sở thành lập Hội đồng hoặc tổ chức hội thi, triển lãm hằng năm. Hướng dẫn không được đặt thêm điều kiện, hồ sơ. Tác giả chịu trách nhiệm kê khai kết quả đã có, cung cấp minh chứng và giải trình.</w:t>
            </w:r>
          </w:p>
        </w:tc>
      </w:tr>
      <w:tr w:rsidR="006144C2" w14:paraId="0DECBD4B" w14:textId="77777777" w:rsidTr="00C51476">
        <w:trPr>
          <w:jc w:val="center"/>
        </w:trPr>
        <w:tc>
          <w:tcPr>
            <w:tcW w:w="680" w:type="dxa"/>
            <w:shd w:val="clear" w:color="auto" w:fill="FFFFFF" w:themeFill="background1"/>
            <w:tcMar>
              <w:top w:w="70" w:type="dxa"/>
              <w:left w:w="50" w:type="dxa"/>
              <w:bottom w:w="70" w:type="dxa"/>
              <w:right w:w="50" w:type="dxa"/>
            </w:tcMar>
          </w:tcPr>
          <w:p w14:paraId="186A511B" w14:textId="77777777" w:rsidR="006144C2" w:rsidRDefault="00000000">
            <w:pPr>
              <w:spacing w:before="60" w:after="60"/>
            </w:pPr>
            <w:r>
              <w:rPr>
                <w:rFonts w:eastAsia="Times New Roman"/>
                <w:color w:val="000000"/>
                <w:sz w:val="28"/>
                <w:szCs w:val="28"/>
              </w:rPr>
              <w:lastRenderedPageBreak/>
              <w:t>13</w:t>
            </w:r>
          </w:p>
        </w:tc>
        <w:tc>
          <w:tcPr>
            <w:tcW w:w="3628" w:type="dxa"/>
            <w:shd w:val="clear" w:color="auto" w:fill="FFFFFF" w:themeFill="background1"/>
            <w:tcMar>
              <w:top w:w="70" w:type="dxa"/>
              <w:left w:w="150" w:type="dxa"/>
              <w:bottom w:w="70" w:type="dxa"/>
              <w:right w:w="150" w:type="dxa"/>
            </w:tcMar>
          </w:tcPr>
          <w:p w14:paraId="41B634FA" w14:textId="77777777" w:rsidR="006144C2" w:rsidRDefault="00000000">
            <w:pPr>
              <w:spacing w:after="60"/>
              <w:jc w:val="both"/>
            </w:pPr>
            <w:r>
              <w:rPr>
                <w:rFonts w:eastAsia="Times New Roman"/>
                <w:color w:val="000000"/>
                <w:sz w:val="28"/>
                <w:szCs w:val="28"/>
              </w:rPr>
              <w:t>Điều 10 Nghị quyết số 190/2025/QH15 quy định về xử lý một số vấn đề liên quan đến sắp xếp tổ chức bộ máy nhà nước.</w:t>
            </w:r>
          </w:p>
          <w:p w14:paraId="1AAE0862" w14:textId="77777777" w:rsidR="006144C2" w:rsidRDefault="00000000">
            <w:pPr>
              <w:spacing w:after="60"/>
              <w:jc w:val="both"/>
            </w:pPr>
            <w:r>
              <w:rPr>
                <w:rFonts w:eastAsia="Times New Roman"/>
                <w:color w:val="000000"/>
                <w:sz w:val="28"/>
                <w:szCs w:val="28"/>
              </w:rPr>
              <w:t>Khoản 4 Điều 4 Luật số 06/2026/QH16; khoản 1 Điều 63 Nghị định số 368/2026/NĐ-CP của Chính phủ quy định chi tiết một số điều và biện pháp để tổ chức, hướng dẫn thi hành Luật Thi đua, khen thưởng.</w:t>
            </w:r>
          </w:p>
          <w:p w14:paraId="21844742" w14:textId="77777777" w:rsidR="006144C2" w:rsidRDefault="00000000">
            <w:pPr>
              <w:spacing w:after="60"/>
              <w:jc w:val="both"/>
            </w:pPr>
            <w:r>
              <w:rPr>
                <w:rFonts w:eastAsia="Times New Roman"/>
                <w:color w:val="000000"/>
                <w:sz w:val="28"/>
                <w:szCs w:val="28"/>
              </w:rPr>
              <w:t>Điều 58, Điều 59 Luật Ban hành văn bản quy phạm pháp luật sau sửa đổi về áp dụng và tổ chức thi hành.</w:t>
            </w:r>
          </w:p>
        </w:tc>
        <w:tc>
          <w:tcPr>
            <w:tcW w:w="3515" w:type="dxa"/>
            <w:shd w:val="clear" w:color="auto" w:fill="FFFFFF" w:themeFill="background1"/>
            <w:tcMar>
              <w:top w:w="70" w:type="dxa"/>
              <w:left w:w="150" w:type="dxa"/>
              <w:bottom w:w="70" w:type="dxa"/>
              <w:right w:w="150" w:type="dxa"/>
            </w:tcMar>
          </w:tcPr>
          <w:p w14:paraId="5C14788C" w14:textId="77777777" w:rsidR="006144C2" w:rsidRDefault="00000000">
            <w:pPr>
              <w:spacing w:after="60"/>
              <w:jc w:val="both"/>
            </w:pPr>
            <w:r>
              <w:rPr>
                <w:rFonts w:eastAsia="Times New Roman"/>
                <w:color w:val="000000"/>
                <w:sz w:val="28"/>
                <w:szCs w:val="28"/>
              </w:rPr>
              <w:t>Điều 13. Điều khoản chuyển tiếp và tổ chức thi hành</w:t>
            </w:r>
          </w:p>
          <w:p w14:paraId="6AAE7688" w14:textId="77777777" w:rsidR="006144C2" w:rsidRDefault="00000000">
            <w:pPr>
              <w:spacing w:after="60"/>
              <w:jc w:val="both"/>
            </w:pPr>
            <w:r>
              <w:rPr>
                <w:rFonts w:eastAsia="Times New Roman"/>
                <w:color w:val="000000"/>
                <w:sz w:val="28"/>
                <w:szCs w:val="28"/>
              </w:rPr>
              <w:t>Kế thừa kết quả và hồ sơ hợp pháp; thời hạn chuyển tiếp không tính lại từ đầu. Hồ sơ quá hạn báo cáo phương án, thông báo ngày trả kết quả. Chuyển tiếp thi đua, khen thưởng dẫn riêng; áp dụng văn bản sửa đổi, thay thế và xử lý vướng mắc.</w:t>
            </w:r>
          </w:p>
        </w:tc>
        <w:tc>
          <w:tcPr>
            <w:tcW w:w="6746" w:type="dxa"/>
            <w:shd w:val="clear" w:color="auto" w:fill="FFFFFF" w:themeFill="background1"/>
            <w:tcMar>
              <w:top w:w="70" w:type="dxa"/>
              <w:left w:w="150" w:type="dxa"/>
              <w:bottom w:w="70" w:type="dxa"/>
              <w:right w:w="150" w:type="dxa"/>
            </w:tcMar>
          </w:tcPr>
          <w:p w14:paraId="18616C1A" w14:textId="77777777" w:rsidR="006144C2" w:rsidRDefault="00000000">
            <w:pPr>
              <w:spacing w:after="60"/>
              <w:jc w:val="both"/>
            </w:pPr>
            <w:r>
              <w:rPr>
                <w:rFonts w:eastAsia="Times New Roman"/>
                <w:color w:val="000000"/>
                <w:sz w:val="28"/>
                <w:szCs w:val="28"/>
              </w:rPr>
              <w:t>Kế thừa kết quả hợp pháp, không yêu cầu công nhận lại chỉ do đổi quy định hoặc sắp xếp tổ chức. Việc sử dụng phải đúng phạm vi, giá trị pháp lý, không tự nâng kết quả cơ sở thành thành phố.</w:t>
            </w:r>
          </w:p>
          <w:p w14:paraId="42062B27" w14:textId="77777777" w:rsidR="006144C2" w:rsidRDefault="00000000">
            <w:pPr>
              <w:spacing w:after="60"/>
              <w:jc w:val="both"/>
            </w:pPr>
            <w:r>
              <w:rPr>
                <w:rFonts w:eastAsia="Times New Roman"/>
                <w:color w:val="000000"/>
                <w:sz w:val="28"/>
                <w:szCs w:val="28"/>
              </w:rPr>
              <w:t>Hồ sơ đang giải quyết kế thừa tài liệu, bước xử lý phù hợp; chỉ bổ sung, điều chỉnh phần thiếu hoặc chưa phù hợp. Giữ thời hạn hợp pháp còn lại; hồ sơ chưa xác định thời hạn tính cả thời gian đã qua từ khi đủ hồ sơ, không khởi động lại 60 ngày. Hồ sơ quá hạn phải báo cáo phương án và thông báo ngày trả kết quả, không tự gia hạn chung.</w:t>
            </w:r>
          </w:p>
          <w:p w14:paraId="01B258A7" w14:textId="77777777" w:rsidR="006144C2" w:rsidRDefault="00000000">
            <w:pPr>
              <w:spacing w:after="60"/>
              <w:jc w:val="both"/>
            </w:pPr>
            <w:r>
              <w:rPr>
                <w:rFonts w:eastAsia="Times New Roman"/>
                <w:color w:val="000000"/>
                <w:sz w:val="28"/>
                <w:szCs w:val="28"/>
              </w:rPr>
              <w:t>Chuyển tiếp hồ sơ thi đua, khen thưởng được dẫn riêng theo luật, nghị định; không đồng nhất với mọi hồ sơ sáng kiến. Viện dẫn văn bản mới không thay trách nhiệm rà soát và sửa Quy định theo thẩm quyền.</w:t>
            </w:r>
          </w:p>
        </w:tc>
      </w:tr>
      <w:tr w:rsidR="006144C2" w14:paraId="64E14F71" w14:textId="77777777" w:rsidTr="00C51476">
        <w:trPr>
          <w:jc w:val="center"/>
        </w:trPr>
        <w:tc>
          <w:tcPr>
            <w:tcW w:w="680" w:type="dxa"/>
            <w:shd w:val="clear" w:color="auto" w:fill="FFFFFF" w:themeFill="background1"/>
            <w:tcMar>
              <w:top w:w="70" w:type="dxa"/>
              <w:left w:w="50" w:type="dxa"/>
              <w:bottom w:w="70" w:type="dxa"/>
              <w:right w:w="50" w:type="dxa"/>
            </w:tcMar>
          </w:tcPr>
          <w:p w14:paraId="31FFBE35" w14:textId="77777777" w:rsidR="006144C2" w:rsidRDefault="00000000">
            <w:pPr>
              <w:spacing w:after="60"/>
            </w:pPr>
            <w:r>
              <w:rPr>
                <w:rFonts w:eastAsia="Times New Roman"/>
                <w:color w:val="000000"/>
                <w:sz w:val="28"/>
                <w:szCs w:val="28"/>
              </w:rPr>
              <w:t>14</w:t>
            </w:r>
          </w:p>
        </w:tc>
        <w:tc>
          <w:tcPr>
            <w:tcW w:w="3628" w:type="dxa"/>
            <w:shd w:val="clear" w:color="auto" w:fill="FFFFFF" w:themeFill="background1"/>
            <w:tcMar>
              <w:top w:w="70" w:type="dxa"/>
              <w:left w:w="150" w:type="dxa"/>
              <w:bottom w:w="70" w:type="dxa"/>
              <w:right w:w="150" w:type="dxa"/>
            </w:tcMar>
          </w:tcPr>
          <w:p w14:paraId="3B30D24B" w14:textId="77777777" w:rsidR="006144C2" w:rsidRDefault="00000000">
            <w:pPr>
              <w:spacing w:after="60"/>
              <w:jc w:val="both"/>
            </w:pPr>
            <w:r>
              <w:rPr>
                <w:rFonts w:eastAsia="Times New Roman"/>
                <w:color w:val="000000"/>
                <w:sz w:val="28"/>
                <w:szCs w:val="28"/>
              </w:rPr>
              <w:t>Luật Ban hành văn bản quy phạm pháp luật số 64/2025/QH15 sau sửa đổi; Nghị định số 78/2025/NĐ-CP sau sửa đổi bởi Nghị định số 187/2025/NĐ-CP về thể thức, bố cục, hiệu lực văn bản.</w:t>
            </w:r>
          </w:p>
        </w:tc>
        <w:tc>
          <w:tcPr>
            <w:tcW w:w="3515" w:type="dxa"/>
            <w:shd w:val="clear" w:color="auto" w:fill="FFFFFF" w:themeFill="background1"/>
            <w:tcMar>
              <w:top w:w="70" w:type="dxa"/>
              <w:left w:w="150" w:type="dxa"/>
              <w:bottom w:w="70" w:type="dxa"/>
              <w:right w:w="150" w:type="dxa"/>
            </w:tcMar>
          </w:tcPr>
          <w:p w14:paraId="5B006C53" w14:textId="77777777" w:rsidR="006144C2" w:rsidRDefault="00000000">
            <w:pPr>
              <w:spacing w:after="60"/>
              <w:jc w:val="both"/>
            </w:pPr>
            <w:r>
              <w:rPr>
                <w:rFonts w:eastAsia="Times New Roman"/>
                <w:color w:val="000000"/>
                <w:sz w:val="28"/>
                <w:szCs w:val="28"/>
              </w:rPr>
              <w:t>Dự thảo Quyết định gồm 03 điều</w:t>
            </w:r>
          </w:p>
          <w:p w14:paraId="3A488744" w14:textId="77777777" w:rsidR="006144C2" w:rsidRDefault="00000000">
            <w:pPr>
              <w:spacing w:after="60"/>
              <w:jc w:val="both"/>
            </w:pPr>
            <w:r>
              <w:rPr>
                <w:rFonts w:eastAsia="Times New Roman"/>
                <w:color w:val="000000"/>
                <w:sz w:val="28"/>
                <w:szCs w:val="28"/>
              </w:rPr>
              <w:t>Điều 1 ban hành Quy định; Điều 2 hiệu lực; Điều 3 trách nhiệm thi hành.</w:t>
            </w:r>
          </w:p>
        </w:tc>
        <w:tc>
          <w:tcPr>
            <w:tcW w:w="6746" w:type="dxa"/>
            <w:shd w:val="clear" w:color="auto" w:fill="FFFFFF" w:themeFill="background1"/>
            <w:tcMar>
              <w:top w:w="70" w:type="dxa"/>
              <w:left w:w="150" w:type="dxa"/>
              <w:bottom w:w="70" w:type="dxa"/>
              <w:right w:w="150" w:type="dxa"/>
            </w:tcMar>
          </w:tcPr>
          <w:p w14:paraId="0B7A10C0" w14:textId="77777777" w:rsidR="006144C2" w:rsidRDefault="00000000">
            <w:pPr>
              <w:spacing w:after="60"/>
              <w:jc w:val="both"/>
            </w:pPr>
            <w:r>
              <w:rPr>
                <w:rFonts w:eastAsia="Times New Roman"/>
                <w:color w:val="000000"/>
                <w:sz w:val="28"/>
                <w:szCs w:val="28"/>
              </w:rPr>
              <w:t>Quyết định là hình thức ban hành Quy định kèm theo. Số, ngày ký, ngày hiệu lực được hoàn thiện theo thời điểm ban hành, không điền trước. Căn cứ cập nhật Nghị định số 368/2026/NĐ-CP, Thông tư số 25/2026/TT-BNV. Không đặt phân cấp thẩm quyền của Chủ tịch trong Quyết định của UBND.</w:t>
            </w:r>
          </w:p>
        </w:tc>
      </w:tr>
      <w:tr w:rsidR="006144C2" w14:paraId="3FA8D96F" w14:textId="77777777" w:rsidTr="00C51476">
        <w:trPr>
          <w:jc w:val="center"/>
        </w:trPr>
        <w:tc>
          <w:tcPr>
            <w:tcW w:w="680" w:type="dxa"/>
            <w:shd w:val="clear" w:color="auto" w:fill="FFFFFF" w:themeFill="background1"/>
            <w:tcMar>
              <w:top w:w="70" w:type="dxa"/>
              <w:left w:w="50" w:type="dxa"/>
              <w:bottom w:w="70" w:type="dxa"/>
              <w:right w:w="50" w:type="dxa"/>
            </w:tcMar>
          </w:tcPr>
          <w:p w14:paraId="32B19D02" w14:textId="77777777" w:rsidR="006144C2" w:rsidRDefault="00000000">
            <w:pPr>
              <w:spacing w:after="60"/>
            </w:pPr>
            <w:r>
              <w:rPr>
                <w:rFonts w:eastAsia="Times New Roman"/>
                <w:color w:val="000000"/>
                <w:sz w:val="28"/>
                <w:szCs w:val="28"/>
              </w:rPr>
              <w:lastRenderedPageBreak/>
              <w:t>15</w:t>
            </w:r>
          </w:p>
        </w:tc>
        <w:tc>
          <w:tcPr>
            <w:tcW w:w="3628" w:type="dxa"/>
            <w:shd w:val="clear" w:color="auto" w:fill="FFFFFF" w:themeFill="background1"/>
            <w:tcMar>
              <w:top w:w="70" w:type="dxa"/>
              <w:left w:w="150" w:type="dxa"/>
              <w:bottom w:w="70" w:type="dxa"/>
              <w:right w:w="150" w:type="dxa"/>
            </w:tcMar>
          </w:tcPr>
          <w:p w14:paraId="62E13256" w14:textId="77777777" w:rsidR="006144C2" w:rsidRDefault="00000000">
            <w:pPr>
              <w:spacing w:after="60"/>
              <w:jc w:val="both"/>
            </w:pPr>
            <w:r>
              <w:rPr>
                <w:rFonts w:eastAsia="Times New Roman"/>
                <w:color w:val="000000"/>
                <w:sz w:val="28"/>
                <w:szCs w:val="28"/>
              </w:rPr>
              <w:t>Điều 7, Điều 9, Điều 10 của dự thảo cụ thể hóa thẩm quyền quy định tại điểm d khoản 8 Điều 84 Luật Thi đua, khen thưởng; điểm i khoản 3 Điều 18 Thông tư số 26/2025/TT-BTP yêu cầu mẫu đơn, tờ khai rõ ràng, cần thiết, không thêm hồ sơ ngoài quy định.</w:t>
            </w:r>
          </w:p>
        </w:tc>
        <w:tc>
          <w:tcPr>
            <w:tcW w:w="3515" w:type="dxa"/>
            <w:shd w:val="clear" w:color="auto" w:fill="FFFFFF" w:themeFill="background1"/>
            <w:tcMar>
              <w:top w:w="70" w:type="dxa"/>
              <w:left w:w="150" w:type="dxa"/>
              <w:bottom w:w="70" w:type="dxa"/>
              <w:right w:w="150" w:type="dxa"/>
            </w:tcMar>
          </w:tcPr>
          <w:p w14:paraId="7454FA8F" w14:textId="1B5ED95F" w:rsidR="006144C2" w:rsidRDefault="00000000">
            <w:pPr>
              <w:spacing w:after="60"/>
              <w:jc w:val="both"/>
            </w:pPr>
            <w:r>
              <w:rPr>
                <w:rFonts w:eastAsia="Times New Roman"/>
                <w:color w:val="000000"/>
                <w:sz w:val="28"/>
                <w:szCs w:val="28"/>
              </w:rPr>
              <w:t>Phụ lục gồm 0</w:t>
            </w:r>
            <w:r w:rsidR="00A35C23">
              <w:rPr>
                <w:rFonts w:eastAsia="Times New Roman"/>
                <w:color w:val="000000"/>
                <w:sz w:val="28"/>
                <w:szCs w:val="28"/>
              </w:rPr>
              <w:t>3</w:t>
            </w:r>
            <w:r>
              <w:rPr>
                <w:rFonts w:eastAsia="Times New Roman"/>
                <w:color w:val="000000"/>
                <w:sz w:val="28"/>
                <w:szCs w:val="28"/>
              </w:rPr>
              <w:t xml:space="preserve"> biểu mẫu</w:t>
            </w:r>
          </w:p>
          <w:p w14:paraId="7B1D40AC" w14:textId="1657FABE" w:rsidR="006144C2" w:rsidRDefault="00000000">
            <w:pPr>
              <w:spacing w:after="60"/>
              <w:jc w:val="both"/>
            </w:pPr>
            <w:r>
              <w:rPr>
                <w:rFonts w:eastAsia="Times New Roman"/>
                <w:color w:val="000000"/>
                <w:sz w:val="28"/>
                <w:szCs w:val="28"/>
              </w:rPr>
              <w:t xml:space="preserve">Mẫu 01 văn bản đề nghị; Mẫu 02 đơn của tác giả; Mẫu 03 </w:t>
            </w:r>
            <w:r w:rsidR="00A35C23">
              <w:rPr>
                <w:rFonts w:eastAsia="Times New Roman"/>
                <w:color w:val="000000"/>
                <w:sz w:val="28"/>
                <w:szCs w:val="28"/>
              </w:rPr>
              <w:t>Bản mô tả sáng kiến</w:t>
            </w:r>
            <w:r>
              <w:rPr>
                <w:rFonts w:eastAsia="Times New Roman"/>
                <w:color w:val="000000"/>
                <w:sz w:val="28"/>
                <w:szCs w:val="28"/>
              </w:rPr>
              <w:t xml:space="preserve">; </w:t>
            </w:r>
          </w:p>
        </w:tc>
        <w:tc>
          <w:tcPr>
            <w:tcW w:w="6746" w:type="dxa"/>
            <w:shd w:val="clear" w:color="auto" w:fill="FFFFFF" w:themeFill="background1"/>
            <w:tcMar>
              <w:top w:w="70" w:type="dxa"/>
              <w:left w:w="150" w:type="dxa"/>
              <w:bottom w:w="70" w:type="dxa"/>
              <w:right w:w="150" w:type="dxa"/>
            </w:tcMar>
          </w:tcPr>
          <w:p w14:paraId="2C470916" w14:textId="77777777" w:rsidR="006144C2" w:rsidRDefault="00000000">
            <w:pPr>
              <w:spacing w:after="60"/>
              <w:jc w:val="both"/>
            </w:pPr>
            <w:r>
              <w:rPr>
                <w:rFonts w:eastAsia="Times New Roman"/>
                <w:color w:val="000000"/>
                <w:sz w:val="28"/>
                <w:szCs w:val="28"/>
              </w:rPr>
              <w:t>Mẫu 01 xác định đầu mối, danh sách; Mẫu 02 xác định yêu cầu, tác giả, kết quả đã có, thông tin chấp thuận nếu thuộc trường hợp luật định. Mẫu 03 trình bày giải pháp, hiệu quả, khả năng nhân rộng, minh chứng; không ấn định số trang.</w:t>
            </w:r>
          </w:p>
          <w:p w14:paraId="3C345B8C" w14:textId="20C5D28D" w:rsidR="006144C2" w:rsidRDefault="006144C2">
            <w:pPr>
              <w:spacing w:after="60"/>
              <w:jc w:val="both"/>
            </w:pPr>
          </w:p>
        </w:tc>
      </w:tr>
    </w:tbl>
    <w:p w14:paraId="4E26B18C" w14:textId="77777777" w:rsidR="00DF3DC8" w:rsidRDefault="00DF3DC8" w:rsidP="00DF3DC8">
      <w:pPr>
        <w:rPr>
          <w:b/>
          <w:bCs/>
          <w:sz w:val="28"/>
          <w:szCs w:val="28"/>
        </w:rPr>
      </w:pPr>
    </w:p>
    <w:p w14:paraId="3D7636C1" w14:textId="77777777" w:rsidR="005B4935" w:rsidRPr="005B4935" w:rsidRDefault="005B4935" w:rsidP="00DF3DC8">
      <w:pPr>
        <w:rPr>
          <w:b/>
          <w:bCs/>
          <w:sz w:val="28"/>
          <w:szCs w:val="28"/>
        </w:rPr>
      </w:pPr>
    </w:p>
    <w:sectPr w:rsidR="005B4935" w:rsidRPr="005B4935" w:rsidSect="00E540C9">
      <w:headerReference w:type="default" r:id="rId6"/>
      <w:pgSz w:w="16838" w:h="11906" w:orient="landscape" w:code="9"/>
      <w:pgMar w:top="1134" w:right="1134" w:bottom="85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B13CF" w14:textId="77777777" w:rsidR="001767E3" w:rsidRDefault="001767E3" w:rsidP="00E540C9">
      <w:r>
        <w:separator/>
      </w:r>
    </w:p>
  </w:endnote>
  <w:endnote w:type="continuationSeparator" w:id="0">
    <w:p w14:paraId="15F9E32C" w14:textId="77777777" w:rsidR="001767E3" w:rsidRDefault="001767E3" w:rsidP="00E54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94EAC" w14:textId="77777777" w:rsidR="001767E3" w:rsidRDefault="001767E3" w:rsidP="00E540C9">
      <w:r>
        <w:separator/>
      </w:r>
    </w:p>
  </w:footnote>
  <w:footnote w:type="continuationSeparator" w:id="0">
    <w:p w14:paraId="00FB29A8" w14:textId="77777777" w:rsidR="001767E3" w:rsidRDefault="001767E3" w:rsidP="00E54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7107124"/>
      <w:docPartObj>
        <w:docPartGallery w:val="Page Numbers (Top of Page)"/>
        <w:docPartUnique/>
      </w:docPartObj>
    </w:sdtPr>
    <w:sdtEndPr>
      <w:rPr>
        <w:noProof/>
      </w:rPr>
    </w:sdtEndPr>
    <w:sdtContent>
      <w:p w14:paraId="512E81B8" w14:textId="77777777" w:rsidR="00E540C9" w:rsidRDefault="00E540C9">
        <w:pPr>
          <w:pStyle w:val="Header"/>
        </w:pPr>
        <w:r>
          <w:fldChar w:fldCharType="begin"/>
        </w:r>
        <w:r>
          <w:instrText xml:space="preserve"> PAGE   \* MERGEFORMAT </w:instrText>
        </w:r>
        <w:r>
          <w:fldChar w:fldCharType="separate"/>
        </w:r>
        <w:r w:rsidR="00595679">
          <w:rPr>
            <w:noProof/>
          </w:rPr>
          <w:t>4</w:t>
        </w:r>
        <w:r>
          <w:rPr>
            <w:noProof/>
          </w:rPr>
          <w:fldChar w:fldCharType="end"/>
        </w:r>
      </w:p>
    </w:sdtContent>
  </w:sdt>
  <w:p w14:paraId="00334BB6" w14:textId="77777777" w:rsidR="00E540C9" w:rsidRDefault="00E540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DC8"/>
    <w:rsid w:val="0001563F"/>
    <w:rsid w:val="000457CB"/>
    <w:rsid w:val="00047BA3"/>
    <w:rsid w:val="00047D94"/>
    <w:rsid w:val="00050A0D"/>
    <w:rsid w:val="000A12E3"/>
    <w:rsid w:val="000B3F5A"/>
    <w:rsid w:val="001767E3"/>
    <w:rsid w:val="0018666E"/>
    <w:rsid w:val="001B2210"/>
    <w:rsid w:val="001E1B12"/>
    <w:rsid w:val="001E5EBA"/>
    <w:rsid w:val="002066B4"/>
    <w:rsid w:val="00220E2D"/>
    <w:rsid w:val="002471B1"/>
    <w:rsid w:val="002853AD"/>
    <w:rsid w:val="00290E9F"/>
    <w:rsid w:val="002920C1"/>
    <w:rsid w:val="00292516"/>
    <w:rsid w:val="002D0870"/>
    <w:rsid w:val="002E44FF"/>
    <w:rsid w:val="002F7C43"/>
    <w:rsid w:val="0030139F"/>
    <w:rsid w:val="00356C6C"/>
    <w:rsid w:val="003624E7"/>
    <w:rsid w:val="00462273"/>
    <w:rsid w:val="00481B8C"/>
    <w:rsid w:val="004B5639"/>
    <w:rsid w:val="004E5527"/>
    <w:rsid w:val="00553620"/>
    <w:rsid w:val="00583FB1"/>
    <w:rsid w:val="00595679"/>
    <w:rsid w:val="005B4935"/>
    <w:rsid w:val="005C3192"/>
    <w:rsid w:val="005D1167"/>
    <w:rsid w:val="005E2949"/>
    <w:rsid w:val="006016CF"/>
    <w:rsid w:val="006144C2"/>
    <w:rsid w:val="0061648E"/>
    <w:rsid w:val="00624C63"/>
    <w:rsid w:val="00643653"/>
    <w:rsid w:val="00673304"/>
    <w:rsid w:val="00762A5C"/>
    <w:rsid w:val="007B0758"/>
    <w:rsid w:val="007B396E"/>
    <w:rsid w:val="00806447"/>
    <w:rsid w:val="008244EF"/>
    <w:rsid w:val="008276D3"/>
    <w:rsid w:val="008553EA"/>
    <w:rsid w:val="00866A22"/>
    <w:rsid w:val="00877679"/>
    <w:rsid w:val="0089132F"/>
    <w:rsid w:val="008A35F2"/>
    <w:rsid w:val="008C708C"/>
    <w:rsid w:val="008C7E4D"/>
    <w:rsid w:val="0090757C"/>
    <w:rsid w:val="00945387"/>
    <w:rsid w:val="00955C21"/>
    <w:rsid w:val="0095647A"/>
    <w:rsid w:val="00966186"/>
    <w:rsid w:val="0097270D"/>
    <w:rsid w:val="009871DF"/>
    <w:rsid w:val="009B5E0E"/>
    <w:rsid w:val="009D6873"/>
    <w:rsid w:val="00A35C23"/>
    <w:rsid w:val="00A56F73"/>
    <w:rsid w:val="00A67B1D"/>
    <w:rsid w:val="00AA00C6"/>
    <w:rsid w:val="00AB41B8"/>
    <w:rsid w:val="00AB554C"/>
    <w:rsid w:val="00AD28AE"/>
    <w:rsid w:val="00AE39C8"/>
    <w:rsid w:val="00B41ED1"/>
    <w:rsid w:val="00B839FE"/>
    <w:rsid w:val="00BB76FC"/>
    <w:rsid w:val="00C33090"/>
    <w:rsid w:val="00C51476"/>
    <w:rsid w:val="00C81D43"/>
    <w:rsid w:val="00C87D02"/>
    <w:rsid w:val="00CC3EF9"/>
    <w:rsid w:val="00CD6634"/>
    <w:rsid w:val="00D07C93"/>
    <w:rsid w:val="00D13BA6"/>
    <w:rsid w:val="00D30DF9"/>
    <w:rsid w:val="00D844FB"/>
    <w:rsid w:val="00DA7991"/>
    <w:rsid w:val="00DF3DC8"/>
    <w:rsid w:val="00E42474"/>
    <w:rsid w:val="00E53B4F"/>
    <w:rsid w:val="00E540C9"/>
    <w:rsid w:val="00E574A7"/>
    <w:rsid w:val="00E636BD"/>
    <w:rsid w:val="00E81154"/>
    <w:rsid w:val="00EC2B27"/>
    <w:rsid w:val="00EF2D01"/>
    <w:rsid w:val="00FB17EC"/>
    <w:rsid w:val="00FF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AD571"/>
  <w15:chartTrackingRefBased/>
  <w15:docId w15:val="{751427B9-5785-4522-87E3-6A7B7BEE8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DC8"/>
    <w:pPr>
      <w:spacing w:after="0" w:line="240" w:lineRule="auto"/>
      <w:jc w:val="center"/>
    </w:pPr>
    <w:rPr>
      <w:rFonts w:ascii="Times New Roman" w:eastAsia="Calibri" w:hAnsi="Times New Roman" w:cs="Times New Roman"/>
      <w:szCs w:val="22"/>
      <w14:ligatures w14:val="none"/>
    </w:rPr>
  </w:style>
  <w:style w:type="paragraph" w:styleId="Heading1">
    <w:name w:val="heading 1"/>
    <w:basedOn w:val="Normal"/>
    <w:next w:val="Normal"/>
    <w:link w:val="Heading1Char"/>
    <w:uiPriority w:val="9"/>
    <w:qFormat/>
    <w:rsid w:val="00DF3D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3D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3D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3DC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3DC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3DC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DC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DC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DC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D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3D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3DC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3DC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3DC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3D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D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D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DC8"/>
    <w:rPr>
      <w:rFonts w:eastAsiaTheme="majorEastAsia" w:cstheme="majorBidi"/>
      <w:color w:val="272727" w:themeColor="text1" w:themeTint="D8"/>
    </w:rPr>
  </w:style>
  <w:style w:type="paragraph" w:styleId="Title">
    <w:name w:val="Title"/>
    <w:basedOn w:val="Normal"/>
    <w:next w:val="Normal"/>
    <w:link w:val="TitleChar"/>
    <w:uiPriority w:val="10"/>
    <w:qFormat/>
    <w:rsid w:val="00DF3DC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D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D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D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DC8"/>
    <w:pPr>
      <w:spacing w:before="160"/>
    </w:pPr>
    <w:rPr>
      <w:i/>
      <w:iCs/>
      <w:color w:val="404040" w:themeColor="text1" w:themeTint="BF"/>
    </w:rPr>
  </w:style>
  <w:style w:type="character" w:customStyle="1" w:styleId="QuoteChar">
    <w:name w:val="Quote Char"/>
    <w:basedOn w:val="DefaultParagraphFont"/>
    <w:link w:val="Quote"/>
    <w:uiPriority w:val="29"/>
    <w:rsid w:val="00DF3DC8"/>
    <w:rPr>
      <w:i/>
      <w:iCs/>
      <w:color w:val="404040" w:themeColor="text1" w:themeTint="BF"/>
    </w:rPr>
  </w:style>
  <w:style w:type="paragraph" w:styleId="ListParagraph">
    <w:name w:val="List Paragraph"/>
    <w:basedOn w:val="Normal"/>
    <w:uiPriority w:val="34"/>
    <w:qFormat/>
    <w:rsid w:val="00DF3DC8"/>
    <w:pPr>
      <w:ind w:left="720"/>
      <w:contextualSpacing/>
    </w:pPr>
  </w:style>
  <w:style w:type="character" w:styleId="IntenseEmphasis">
    <w:name w:val="Intense Emphasis"/>
    <w:basedOn w:val="DefaultParagraphFont"/>
    <w:uiPriority w:val="21"/>
    <w:qFormat/>
    <w:rsid w:val="00DF3DC8"/>
    <w:rPr>
      <w:i/>
      <w:iCs/>
      <w:color w:val="2F5496" w:themeColor="accent1" w:themeShade="BF"/>
    </w:rPr>
  </w:style>
  <w:style w:type="paragraph" w:styleId="IntenseQuote">
    <w:name w:val="Intense Quote"/>
    <w:basedOn w:val="Normal"/>
    <w:next w:val="Normal"/>
    <w:link w:val="IntenseQuoteChar"/>
    <w:uiPriority w:val="30"/>
    <w:qFormat/>
    <w:rsid w:val="00DF3DC8"/>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DF3DC8"/>
    <w:rPr>
      <w:i/>
      <w:iCs/>
      <w:color w:val="2F5496" w:themeColor="accent1" w:themeShade="BF"/>
    </w:rPr>
  </w:style>
  <w:style w:type="character" w:styleId="IntenseReference">
    <w:name w:val="Intense Reference"/>
    <w:basedOn w:val="DefaultParagraphFont"/>
    <w:uiPriority w:val="32"/>
    <w:qFormat/>
    <w:rsid w:val="00DF3DC8"/>
    <w:rPr>
      <w:b/>
      <w:bCs/>
      <w:smallCaps/>
      <w:color w:val="2F5496" w:themeColor="accent1" w:themeShade="BF"/>
      <w:spacing w:val="5"/>
    </w:rPr>
  </w:style>
  <w:style w:type="table" w:styleId="TableGrid">
    <w:name w:val="Table Grid"/>
    <w:basedOn w:val="TableNormal"/>
    <w:uiPriority w:val="39"/>
    <w:rsid w:val="00DF3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B4935"/>
    <w:pPr>
      <w:spacing w:before="100" w:beforeAutospacing="1" w:after="100" w:afterAutospacing="1"/>
      <w:jc w:val="left"/>
    </w:pPr>
    <w:rPr>
      <w:rFonts w:eastAsia="Times New Roman"/>
      <w:kern w:val="0"/>
      <w:szCs w:val="24"/>
    </w:rPr>
  </w:style>
  <w:style w:type="paragraph" w:styleId="Header">
    <w:name w:val="header"/>
    <w:basedOn w:val="Normal"/>
    <w:link w:val="HeaderChar"/>
    <w:uiPriority w:val="99"/>
    <w:unhideWhenUsed/>
    <w:rsid w:val="00E540C9"/>
    <w:pPr>
      <w:tabs>
        <w:tab w:val="center" w:pos="4680"/>
        <w:tab w:val="right" w:pos="9360"/>
      </w:tabs>
    </w:pPr>
  </w:style>
  <w:style w:type="character" w:customStyle="1" w:styleId="HeaderChar">
    <w:name w:val="Header Char"/>
    <w:basedOn w:val="DefaultParagraphFont"/>
    <w:link w:val="Header"/>
    <w:uiPriority w:val="99"/>
    <w:rsid w:val="00E540C9"/>
    <w:rPr>
      <w:rFonts w:ascii="Times New Roman" w:eastAsia="Calibri" w:hAnsi="Times New Roman" w:cs="Times New Roman"/>
      <w:szCs w:val="22"/>
      <w14:ligatures w14:val="none"/>
    </w:rPr>
  </w:style>
  <w:style w:type="paragraph" w:styleId="Footer">
    <w:name w:val="footer"/>
    <w:basedOn w:val="Normal"/>
    <w:link w:val="FooterChar"/>
    <w:uiPriority w:val="99"/>
    <w:unhideWhenUsed/>
    <w:rsid w:val="00E540C9"/>
    <w:pPr>
      <w:tabs>
        <w:tab w:val="center" w:pos="4680"/>
        <w:tab w:val="right" w:pos="9360"/>
      </w:tabs>
    </w:pPr>
  </w:style>
  <w:style w:type="character" w:customStyle="1" w:styleId="FooterChar">
    <w:name w:val="Footer Char"/>
    <w:basedOn w:val="DefaultParagraphFont"/>
    <w:link w:val="Footer"/>
    <w:uiPriority w:val="99"/>
    <w:rsid w:val="00E540C9"/>
    <w:rPr>
      <w:rFonts w:ascii="Times New Roman" w:eastAsia="Calibri" w:hAnsi="Times New Roman" w:cs="Times New Roman"/>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10</Pages>
  <Words>2557</Words>
  <Characters>14577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Hồ sơ thẩm định Quy định về xét công nhận hiệu quả áp dụng và khả năng nhân rộng của sáng kiến tại Hải Phòng</dc:subject>
  <dc:creator>hp.skhcn36</dc:creator>
  <cp:keywords/>
  <dc:description/>
  <cp:lastModifiedBy>Administrator</cp:lastModifiedBy>
  <cp:revision>39</cp:revision>
  <cp:lastPrinted>2026-03-12T04:20:00Z</cp:lastPrinted>
  <dcterms:created xsi:type="dcterms:W3CDTF">2026-03-11T08:29:00Z</dcterms:created>
  <dcterms:modified xsi:type="dcterms:W3CDTF">2026-10-05T04:48:00Z</dcterms:modified>
</cp:coreProperties>
</file>