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933" w:type="dxa"/>
        <w:jc w:val="center"/>
        <w:tblLook w:val="04A0" w:firstRow="1" w:lastRow="0" w:firstColumn="1" w:lastColumn="0" w:noHBand="0" w:noVBand="1"/>
      </w:tblPr>
      <w:tblGrid>
        <w:gridCol w:w="5902"/>
        <w:gridCol w:w="8031"/>
      </w:tblGrid>
      <w:tr w:rsidR="006E3AF9" w:rsidRPr="006E3AF9" w:rsidTr="00085E5E">
        <w:trPr>
          <w:trHeight w:val="863"/>
          <w:jc w:val="center"/>
        </w:trPr>
        <w:tc>
          <w:tcPr>
            <w:tcW w:w="5902" w:type="dxa"/>
            <w:shd w:val="clear" w:color="auto" w:fill="auto"/>
          </w:tcPr>
          <w:p w:rsidR="00085E5E" w:rsidRPr="006E3AF9" w:rsidRDefault="00085E5E" w:rsidP="00085E5E">
            <w:pPr>
              <w:jc w:val="center"/>
              <w:rPr>
                <w:bCs/>
              </w:rPr>
            </w:pPr>
            <w:r w:rsidRPr="006E3AF9">
              <w:rPr>
                <w:bCs/>
                <w:sz w:val="26"/>
              </w:rPr>
              <w:t xml:space="preserve">UBND </w:t>
            </w:r>
            <w:r w:rsidR="00671851">
              <w:rPr>
                <w:bCs/>
                <w:sz w:val="26"/>
              </w:rPr>
              <w:t>THÀNH PHỐ HẢI PHÒNG</w:t>
            </w:r>
          </w:p>
          <w:p w:rsidR="00085E5E" w:rsidRPr="006E3AF9" w:rsidRDefault="00085E5E" w:rsidP="00085E5E">
            <w:pPr>
              <w:jc w:val="center"/>
              <w:rPr>
                <w:b/>
                <w:bCs/>
                <w:spacing w:val="-4"/>
                <w:sz w:val="26"/>
                <w:szCs w:val="26"/>
              </w:rPr>
            </w:pPr>
            <w:r w:rsidRPr="006E3AF9">
              <w:rPr>
                <w:b/>
                <w:bCs/>
                <w:spacing w:val="-4"/>
                <w:sz w:val="26"/>
                <w:szCs w:val="26"/>
              </w:rPr>
              <w:t>SỞ KHOA HỌC VÀ CÔNG NGHỆ</w:t>
            </w:r>
          </w:p>
          <w:p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9264" behindDoc="0" locked="0" layoutInCell="1" allowOverlap="1" wp14:anchorId="6C08ED28" wp14:editId="2D7F08D3">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533C"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Y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"/>
                  </w:pict>
                </mc:Fallback>
              </mc:AlternateContent>
            </w:r>
          </w:p>
        </w:tc>
        <w:tc>
          <w:tcPr>
            <w:tcW w:w="8031" w:type="dxa"/>
            <w:shd w:val="clear" w:color="auto" w:fill="auto"/>
          </w:tcPr>
          <w:p w:rsidR="00085E5E" w:rsidRPr="006E3AF9" w:rsidRDefault="00085E5E" w:rsidP="00085E5E">
            <w:pPr>
              <w:jc w:val="center"/>
              <w:rPr>
                <w:b/>
                <w:bCs/>
                <w:spacing w:val="-2"/>
                <w:sz w:val="26"/>
              </w:rPr>
            </w:pPr>
            <w:r w:rsidRPr="006E3AF9">
              <w:rPr>
                <w:b/>
                <w:bCs/>
                <w:spacing w:val="-2"/>
                <w:sz w:val="26"/>
              </w:rPr>
              <w:t>CỘNG HÒA XÃ HỘI CHỦ NGHĨA VIỆT NAM</w:t>
            </w:r>
          </w:p>
          <w:p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rsidR="00085E5E" w:rsidRPr="006E3AF9" w:rsidRDefault="00085E5E" w:rsidP="00085E5E">
            <w:pPr>
              <w:jc w:val="center"/>
              <w:rPr>
                <w:bCs/>
                <w:i/>
              </w:rPr>
            </w:pPr>
            <w:r w:rsidRPr="006E3AF9">
              <w:rPr>
                <w:noProof/>
              </w:rPr>
              <mc:AlternateContent>
                <mc:Choice Requires="wps">
                  <w:drawing>
                    <wp:anchor distT="0" distB="0" distL="114300" distR="114300" simplePos="0" relativeHeight="251660288" behindDoc="0" locked="0" layoutInCell="1" allowOverlap="1" wp14:anchorId="7D8252B3" wp14:editId="0BABAB3F">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CBB4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94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TZPp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"/>
                  </w:pict>
                </mc:Fallback>
              </mc:AlternateContent>
            </w:r>
          </w:p>
        </w:tc>
      </w:tr>
      <w:tr w:rsidR="00085E5E" w:rsidRPr="006E3AF9" w:rsidTr="00085E5E">
        <w:trPr>
          <w:trHeight w:val="338"/>
          <w:jc w:val="center"/>
        </w:trPr>
        <w:tc>
          <w:tcPr>
            <w:tcW w:w="5902" w:type="dxa"/>
            <w:shd w:val="clear" w:color="auto" w:fill="auto"/>
            <w:vAlign w:val="center"/>
          </w:tcPr>
          <w:p w:rsidR="00085E5E" w:rsidRPr="006E3AF9" w:rsidRDefault="00085E5E" w:rsidP="00085E5E">
            <w:pPr>
              <w:jc w:val="center"/>
              <w:rPr>
                <w:sz w:val="26"/>
                <w:szCs w:val="26"/>
                <w:lang w:val="it-IT"/>
              </w:rPr>
            </w:pPr>
          </w:p>
        </w:tc>
        <w:tc>
          <w:tcPr>
            <w:tcW w:w="8031" w:type="dxa"/>
            <w:shd w:val="clear" w:color="auto" w:fill="auto"/>
            <w:vAlign w:val="center"/>
          </w:tcPr>
          <w:p w:rsidR="00085E5E" w:rsidRPr="006E3AF9" w:rsidRDefault="00671851" w:rsidP="00A92675">
            <w:pPr>
              <w:jc w:val="center"/>
              <w:rPr>
                <w:b/>
                <w:bCs/>
                <w:spacing w:val="-2"/>
                <w:szCs w:val="28"/>
              </w:rPr>
            </w:pPr>
            <w:r>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sidR="00A92675">
              <w:rPr>
                <w:bCs/>
                <w:i/>
                <w:szCs w:val="28"/>
              </w:rPr>
              <w:t>9</w:t>
            </w:r>
            <w:r w:rsidR="00085E5E" w:rsidRPr="006E3AF9">
              <w:rPr>
                <w:bCs/>
                <w:i/>
                <w:szCs w:val="28"/>
              </w:rPr>
              <w:t xml:space="preserve"> năm 2025</w:t>
            </w:r>
          </w:p>
        </w:tc>
      </w:tr>
    </w:tbl>
    <w:p w:rsidR="002314D9" w:rsidRPr="006E3AF9" w:rsidRDefault="002314D9" w:rsidP="00085E5E">
      <w:pPr>
        <w:jc w:val="center"/>
        <w:rPr>
          <w:b/>
        </w:rPr>
      </w:pPr>
    </w:p>
    <w:p w:rsidR="00085E5E" w:rsidRPr="006E3AF9" w:rsidRDefault="00085E5E" w:rsidP="00085E5E">
      <w:pPr>
        <w:jc w:val="center"/>
        <w:rPr>
          <w:b/>
        </w:rPr>
      </w:pPr>
      <w:r w:rsidRPr="006E3AF9">
        <w:rPr>
          <w:b/>
        </w:rPr>
        <w:t xml:space="preserve">BẢN SO </w:t>
      </w:r>
      <w:r w:rsidR="00770B93" w:rsidRPr="006E3AF9">
        <w:rPr>
          <w:b/>
        </w:rPr>
        <w:t>SÁNH</w:t>
      </w:r>
      <w:r w:rsidRPr="006E3AF9">
        <w:rPr>
          <w:b/>
        </w:rPr>
        <w:t>, THUYẾT MINH DỰ THẢO VĂN BẢN QUY PHẠM PHÁP LUẬT</w:t>
      </w:r>
    </w:p>
    <w:p w:rsidR="00D94913" w:rsidRPr="006E3AF9" w:rsidRDefault="00085E5E" w:rsidP="00085E5E">
      <w:pPr>
        <w:jc w:val="center"/>
        <w:rPr>
          <w:b/>
        </w:rPr>
      </w:pPr>
      <w:r w:rsidRPr="006E3AF9">
        <w:rPr>
          <w:b/>
        </w:rPr>
        <w:t>VỚI VĂN BẢN QUY PHẠM PHÁP LUẬT HIỆN HÀNH</w:t>
      </w:r>
    </w:p>
    <w:p w:rsidR="002314D9" w:rsidRPr="006E3AF9" w:rsidRDefault="002314D9" w:rsidP="00085E5E">
      <w:pPr>
        <w:jc w:val="center"/>
      </w:pPr>
    </w:p>
    <w:tbl>
      <w:tblPr>
        <w:tblStyle w:val="TableGrid"/>
        <w:tblW w:w="14709" w:type="dxa"/>
        <w:tblLook w:val="04A0" w:firstRow="1" w:lastRow="0" w:firstColumn="1" w:lastColumn="0" w:noHBand="0" w:noVBand="1"/>
      </w:tblPr>
      <w:tblGrid>
        <w:gridCol w:w="5211"/>
        <w:gridCol w:w="3797"/>
        <w:gridCol w:w="3433"/>
        <w:gridCol w:w="2268"/>
      </w:tblGrid>
      <w:tr w:rsidR="00B02F64" w:rsidRPr="00725240" w:rsidTr="00457FC4">
        <w:trPr>
          <w:tblHeader/>
        </w:trPr>
        <w:tc>
          <w:tcPr>
            <w:tcW w:w="5211" w:type="dxa"/>
            <w:vAlign w:val="center"/>
          </w:tcPr>
          <w:p w:rsidR="00B02F64" w:rsidRPr="00725240" w:rsidRDefault="00B02F64" w:rsidP="001B6244">
            <w:pPr>
              <w:jc w:val="center"/>
              <w:rPr>
                <w:b/>
                <w:sz w:val="24"/>
                <w:szCs w:val="24"/>
              </w:rPr>
            </w:pPr>
            <w:r w:rsidRPr="00725240">
              <w:rPr>
                <w:b/>
                <w:sz w:val="24"/>
                <w:szCs w:val="24"/>
              </w:rPr>
              <w:t>QUY PHẠM PHÁP LUẬT HIỆN HÀNH</w:t>
            </w:r>
          </w:p>
        </w:tc>
        <w:tc>
          <w:tcPr>
            <w:tcW w:w="3797" w:type="dxa"/>
            <w:vAlign w:val="center"/>
          </w:tcPr>
          <w:p w:rsidR="00B02F64" w:rsidRPr="00725240" w:rsidRDefault="00B02F64" w:rsidP="001B6244">
            <w:pPr>
              <w:jc w:val="center"/>
              <w:rPr>
                <w:b/>
                <w:sz w:val="24"/>
                <w:szCs w:val="24"/>
              </w:rPr>
            </w:pPr>
            <w:r w:rsidRPr="00725240">
              <w:rPr>
                <w:b/>
                <w:sz w:val="24"/>
                <w:szCs w:val="24"/>
              </w:rPr>
              <w:t>DỰ THẢO VĂN BẢN</w:t>
            </w:r>
          </w:p>
        </w:tc>
        <w:tc>
          <w:tcPr>
            <w:tcW w:w="3433" w:type="dxa"/>
            <w:vAlign w:val="center"/>
          </w:tcPr>
          <w:p w:rsidR="00B02F64" w:rsidRPr="00725240" w:rsidRDefault="00B02F64" w:rsidP="001B6244">
            <w:pPr>
              <w:jc w:val="center"/>
              <w:rPr>
                <w:b/>
                <w:sz w:val="24"/>
                <w:szCs w:val="24"/>
              </w:rPr>
            </w:pPr>
            <w:r w:rsidRPr="00725240">
              <w:rPr>
                <w:b/>
                <w:sz w:val="24"/>
                <w:szCs w:val="24"/>
              </w:rPr>
              <w:t>THUYẾT MINH</w:t>
            </w:r>
          </w:p>
        </w:tc>
        <w:tc>
          <w:tcPr>
            <w:tcW w:w="2268" w:type="dxa"/>
            <w:vAlign w:val="center"/>
          </w:tcPr>
          <w:p w:rsidR="00B02F64" w:rsidRPr="00725240" w:rsidRDefault="00B02F64" w:rsidP="001B6244">
            <w:pPr>
              <w:jc w:val="center"/>
              <w:rPr>
                <w:b/>
                <w:sz w:val="24"/>
                <w:szCs w:val="24"/>
              </w:rPr>
            </w:pPr>
            <w:r w:rsidRPr="00725240">
              <w:rPr>
                <w:b/>
                <w:sz w:val="24"/>
                <w:szCs w:val="24"/>
              </w:rPr>
              <w:t>SO SÁNH VỚI CÁC ĐỊA PHƯƠNG</w:t>
            </w:r>
          </w:p>
        </w:tc>
      </w:tr>
      <w:tr w:rsidR="00163C55" w:rsidRPr="00725240" w:rsidTr="00457FC4">
        <w:tc>
          <w:tcPr>
            <w:tcW w:w="5211" w:type="dxa"/>
          </w:tcPr>
          <w:p w:rsidR="001029CB" w:rsidRPr="001029CB" w:rsidRDefault="001029CB" w:rsidP="001029CB">
            <w:pPr>
              <w:pStyle w:val="NormalWeb"/>
              <w:shd w:val="clear" w:color="auto" w:fill="FFFFFF"/>
              <w:spacing w:before="0" w:beforeAutospacing="0" w:after="0" w:afterAutospacing="0"/>
              <w:ind w:firstLine="567"/>
              <w:jc w:val="both"/>
              <w:rPr>
                <w:rStyle w:val="Vnbnnidung4"/>
                <w:i w:val="0"/>
                <w:color w:val="000000"/>
                <w:sz w:val="28"/>
                <w:szCs w:val="28"/>
                <w:lang w:eastAsia="vi-VN"/>
              </w:rPr>
            </w:pPr>
            <w:r w:rsidRPr="001029CB">
              <w:rPr>
                <w:sz w:val="28"/>
                <w:szCs w:val="28"/>
              </w:rPr>
              <w:t>- Căn cứ tại</w:t>
            </w:r>
            <w:r w:rsidRPr="001029CB">
              <w:rPr>
                <w:i/>
                <w:sz w:val="28"/>
                <w:szCs w:val="28"/>
              </w:rPr>
              <w:t xml:space="preserve"> </w:t>
            </w:r>
            <w:r w:rsidRPr="001029CB">
              <w:rPr>
                <w:color w:val="000000"/>
                <w:sz w:val="28"/>
                <w:szCs w:val="28"/>
              </w:rPr>
              <w:t xml:space="preserve">điểm c khoản 6 Điều 7 </w:t>
            </w:r>
            <w:r w:rsidRPr="001029CB">
              <w:rPr>
                <w:color w:val="000000"/>
                <w:spacing w:val="-2"/>
                <w:sz w:val="28"/>
                <w:szCs w:val="28"/>
                <w:lang w:val="vi-VN"/>
              </w:rPr>
              <w:t xml:space="preserve">của </w:t>
            </w:r>
            <w:r w:rsidRPr="001029CB">
              <w:rPr>
                <w:rStyle w:val="Vnbnnidung4"/>
                <w:i w:val="0"/>
                <w:color w:val="000000"/>
                <w:sz w:val="28"/>
                <w:szCs w:val="28"/>
                <w:lang w:val="vi-VN" w:eastAsia="vi-VN"/>
              </w:rPr>
              <w:t xml:space="preserve">Nghị quyết số </w:t>
            </w:r>
            <w:r w:rsidRPr="001029CB">
              <w:rPr>
                <w:rStyle w:val="Vnbnnidung4"/>
                <w:i w:val="0"/>
                <w:color w:val="000000"/>
                <w:sz w:val="28"/>
                <w:szCs w:val="28"/>
                <w:lang w:eastAsia="vi-VN"/>
              </w:rPr>
              <w:t>22</w:t>
            </w:r>
            <w:r w:rsidRPr="001029CB">
              <w:rPr>
                <w:rStyle w:val="Vnbnnidung4"/>
                <w:i w:val="0"/>
                <w:color w:val="000000"/>
                <w:sz w:val="28"/>
                <w:szCs w:val="28"/>
                <w:lang w:val="vi-VN" w:eastAsia="vi-VN"/>
              </w:rPr>
              <w:t>6/202</w:t>
            </w:r>
            <w:r w:rsidRPr="001029CB">
              <w:rPr>
                <w:rStyle w:val="Vnbnnidung4"/>
                <w:i w:val="0"/>
                <w:color w:val="000000"/>
                <w:sz w:val="28"/>
                <w:szCs w:val="28"/>
                <w:lang w:eastAsia="vi-VN"/>
              </w:rPr>
              <w:t>5</w:t>
            </w:r>
            <w:r w:rsidRPr="001029CB">
              <w:rPr>
                <w:rStyle w:val="Vnbnnidung4"/>
                <w:i w:val="0"/>
                <w:color w:val="000000"/>
                <w:sz w:val="28"/>
                <w:szCs w:val="28"/>
                <w:lang w:val="vi-VN" w:eastAsia="vi-VN"/>
              </w:rPr>
              <w:t>/QH15</w:t>
            </w:r>
            <w:r w:rsidRPr="001029CB">
              <w:rPr>
                <w:rStyle w:val="Vnbnnidung4"/>
                <w:i w:val="0"/>
                <w:color w:val="000000"/>
                <w:sz w:val="28"/>
                <w:szCs w:val="28"/>
                <w:lang w:eastAsia="vi-VN"/>
              </w:rPr>
              <w:t xml:space="preserve"> </w:t>
            </w:r>
            <w:r w:rsidRPr="001029CB">
              <w:rPr>
                <w:color w:val="000000"/>
                <w:sz w:val="28"/>
                <w:szCs w:val="28"/>
              </w:rPr>
              <w:t>ngày 27 tháng 6 năm 2025 của Quốc hội về thí điểm một số cơ chế, chính sách đặc thù phát triển thành phố Hải Phòng,</w:t>
            </w:r>
            <w:r w:rsidRPr="001029CB">
              <w:rPr>
                <w:rStyle w:val="Vnbnnidung3"/>
                <w:i/>
                <w:color w:val="000000"/>
                <w:sz w:val="28"/>
                <w:lang w:eastAsia="vi-VN"/>
              </w:rPr>
              <w:t xml:space="preserve"> </w:t>
            </w:r>
            <w:r w:rsidRPr="001029CB">
              <w:rPr>
                <w:rStyle w:val="Vnbnnidung4"/>
                <w:i w:val="0"/>
                <w:color w:val="000000"/>
                <w:sz w:val="28"/>
                <w:szCs w:val="28"/>
                <w:lang w:eastAsia="vi-VN"/>
              </w:rPr>
              <w:t>quy định:</w:t>
            </w:r>
          </w:p>
          <w:p w:rsidR="001029CB" w:rsidRPr="001029CB" w:rsidRDefault="001029CB" w:rsidP="001029CB">
            <w:pPr>
              <w:spacing w:before="120" w:after="280" w:afterAutospacing="1"/>
              <w:ind w:firstLine="567"/>
              <w:rPr>
                <w:i/>
                <w:szCs w:val="28"/>
              </w:rPr>
            </w:pPr>
            <w:r w:rsidRPr="001029CB">
              <w:rPr>
                <w:i/>
                <w:szCs w:val="28"/>
              </w:rPr>
              <w:t>a) Miễn, giảm tiền thuê đất, thuê mặt nước;</w:t>
            </w:r>
          </w:p>
          <w:p w:rsidR="00163C55" w:rsidRDefault="001029CB" w:rsidP="001029CB">
            <w:pPr>
              <w:pStyle w:val="NormalWeb"/>
              <w:shd w:val="clear" w:color="auto" w:fill="FFFFFF"/>
              <w:spacing w:before="0" w:beforeAutospacing="0" w:after="0" w:afterAutospacing="0"/>
              <w:ind w:firstLine="567"/>
              <w:jc w:val="both"/>
              <w:rPr>
                <w:sz w:val="28"/>
                <w:szCs w:val="28"/>
              </w:rPr>
            </w:pPr>
            <w:r w:rsidRPr="001029CB">
              <w:rPr>
                <w:i/>
                <w:sz w:val="28"/>
                <w:szCs w:val="28"/>
              </w:rPr>
              <w:t>b) Được Nhà nước cho thuê đất không đấu giá quyền sử dụng đất, không đấu thầu lựa chọn nhà đầu tư thực hiện dự án có sử dụng đất;</w:t>
            </w:r>
          </w:p>
        </w:tc>
        <w:tc>
          <w:tcPr>
            <w:tcW w:w="3797" w:type="dxa"/>
          </w:tcPr>
          <w:p w:rsidR="00163C55" w:rsidRPr="00401E91" w:rsidRDefault="00163C55" w:rsidP="00163C55">
            <w:pPr>
              <w:spacing w:before="120" w:after="120" w:line="288" w:lineRule="auto"/>
              <w:ind w:firstLine="3"/>
              <w:rPr>
                <w:b/>
                <w:szCs w:val="28"/>
              </w:rPr>
            </w:pPr>
            <w:r w:rsidRPr="00401E91">
              <w:rPr>
                <w:b/>
                <w:szCs w:val="28"/>
              </w:rPr>
              <w:t xml:space="preserve">Điều 3. Tiêu chí </w:t>
            </w:r>
            <w:r>
              <w:rPr>
                <w:b/>
                <w:szCs w:val="28"/>
              </w:rPr>
              <w:t>áp dụng</w:t>
            </w:r>
          </w:p>
          <w:p w:rsidR="00163C55" w:rsidRDefault="00163C55" w:rsidP="00163C55">
            <w:pPr>
              <w:spacing w:before="120" w:after="120" w:line="288" w:lineRule="auto"/>
              <w:ind w:firstLine="3"/>
              <w:rPr>
                <w:szCs w:val="28"/>
              </w:rPr>
            </w:pPr>
            <w:r>
              <w:rPr>
                <w:szCs w:val="28"/>
              </w:rPr>
              <w:t xml:space="preserve">1. Doanh nghiệp khoa học và công nghệ </w:t>
            </w:r>
            <w:r w:rsidRPr="00AC18F2">
              <w:t>chấp hành các nghĩa vụ về thuế đối với Nhà nước</w:t>
            </w:r>
            <w:r w:rsidR="00770FEC">
              <w:t>;</w:t>
            </w:r>
          </w:p>
          <w:p w:rsidR="00163C55" w:rsidRDefault="00163C55" w:rsidP="00163C55">
            <w:pPr>
              <w:spacing w:before="120" w:after="120" w:line="288" w:lineRule="auto"/>
              <w:ind w:firstLine="3"/>
              <w:rPr>
                <w:szCs w:val="28"/>
              </w:rPr>
            </w:pPr>
            <w:r>
              <w:rPr>
                <w:szCs w:val="28"/>
              </w:rPr>
              <w:t>2. Doanh nghiệp thực hiện</w:t>
            </w:r>
            <w:r w:rsidRPr="00E232AD">
              <w:rPr>
                <w:szCs w:val="28"/>
              </w:rPr>
              <w:t xml:space="preserve"> dự án sản xuất, kinh doanh, dịch vụ khoa học và công nghệ</w:t>
            </w:r>
            <w:r>
              <w:rPr>
                <w:szCs w:val="28"/>
              </w:rPr>
              <w:t xml:space="preserve"> </w:t>
            </w:r>
            <w:r w:rsidRPr="004552B8">
              <w:rPr>
                <w:szCs w:val="28"/>
                <w:lang w:val="pt-BR"/>
              </w:rPr>
              <w:t>thuộc thẩm quyền quyết định chủ trương đầu tư của UBND thành phố Hải Phòng</w:t>
            </w:r>
            <w:r>
              <w:rPr>
                <w:szCs w:val="28"/>
              </w:rPr>
              <w:t>;</w:t>
            </w:r>
          </w:p>
          <w:p w:rsidR="00163C55" w:rsidRPr="00163C55" w:rsidRDefault="00163C55" w:rsidP="00890AA8">
            <w:pPr>
              <w:spacing w:before="120" w:after="120" w:line="288" w:lineRule="auto"/>
              <w:ind w:firstLine="3"/>
              <w:rPr>
                <w:szCs w:val="28"/>
              </w:rPr>
            </w:pPr>
            <w:r>
              <w:rPr>
                <w:szCs w:val="28"/>
              </w:rPr>
              <w:t xml:space="preserve">3. Doanh nghiệp </w:t>
            </w:r>
            <w:r w:rsidR="00890AA8">
              <w:rPr>
                <w:szCs w:val="28"/>
              </w:rPr>
              <w:t>có</w:t>
            </w:r>
            <w:r>
              <w:rPr>
                <w:szCs w:val="28"/>
              </w:rPr>
              <w:t xml:space="preserve"> </w:t>
            </w:r>
            <w:r w:rsidRPr="00E232AD">
              <w:rPr>
                <w:szCs w:val="28"/>
              </w:rPr>
              <w:t>sản phẩm, hàng hóa từ kết quả nghiên cứu khoa học và phát triển công nghệ</w:t>
            </w:r>
            <w:r>
              <w:rPr>
                <w:szCs w:val="28"/>
              </w:rPr>
              <w:t>.</w:t>
            </w:r>
          </w:p>
        </w:tc>
        <w:tc>
          <w:tcPr>
            <w:tcW w:w="3433" w:type="dxa"/>
          </w:tcPr>
          <w:p w:rsidR="001029CB" w:rsidRDefault="00163C55" w:rsidP="00163C55">
            <w:pPr>
              <w:pStyle w:val="BodyTextIndent"/>
              <w:widowControl w:val="0"/>
              <w:tabs>
                <w:tab w:val="left" w:pos="540"/>
                <w:tab w:val="left" w:pos="567"/>
                <w:tab w:val="left" w:pos="709"/>
              </w:tabs>
              <w:spacing w:before="120" w:line="360" w:lineRule="exact"/>
              <w:ind w:left="0" w:firstLine="567"/>
              <w:rPr>
                <w:color w:val="000000"/>
                <w:szCs w:val="28"/>
              </w:rPr>
            </w:pPr>
            <w:r>
              <w:rPr>
                <w:color w:val="000000"/>
                <w:szCs w:val="28"/>
              </w:rPr>
              <w:t>Các tiêu chí nhằm thu hút các doanh nghiệp khoa học và công nghệ trên cả nước đầu tư</w:t>
            </w:r>
            <w:r w:rsidR="001029CB">
              <w:rPr>
                <w:color w:val="000000"/>
                <w:szCs w:val="28"/>
              </w:rPr>
              <w:t xml:space="preserve"> các kết quả nghiên cứu khoa học và phát triển công nghệ</w:t>
            </w:r>
            <w:r>
              <w:rPr>
                <w:color w:val="000000"/>
                <w:szCs w:val="28"/>
              </w:rPr>
              <w:t xml:space="preserve"> về thành phố Hải Phòng</w:t>
            </w:r>
            <w:r w:rsidR="001029CB">
              <w:rPr>
                <w:color w:val="000000"/>
                <w:szCs w:val="28"/>
              </w:rPr>
              <w:t xml:space="preserve">, </w:t>
            </w:r>
          </w:p>
          <w:p w:rsidR="00163C55" w:rsidRPr="00163C55" w:rsidRDefault="001029CB" w:rsidP="00163C55">
            <w:pPr>
              <w:pStyle w:val="BodyTextIndent"/>
              <w:widowControl w:val="0"/>
              <w:tabs>
                <w:tab w:val="left" w:pos="540"/>
                <w:tab w:val="left" w:pos="567"/>
                <w:tab w:val="left" w:pos="709"/>
              </w:tabs>
              <w:spacing w:before="120" w:line="360" w:lineRule="exact"/>
              <w:ind w:left="0" w:firstLine="567"/>
              <w:rPr>
                <w:color w:val="000000"/>
                <w:szCs w:val="28"/>
              </w:rPr>
            </w:pPr>
            <w:r>
              <w:rPr>
                <w:color w:val="000000"/>
                <w:szCs w:val="28"/>
              </w:rPr>
              <w:t>Các tiêu chí phục vụ mục đích để các doanh nghiệp đóng góp</w:t>
            </w:r>
            <w:r w:rsidR="00163C55">
              <w:rPr>
                <w:color w:val="000000"/>
                <w:szCs w:val="28"/>
              </w:rPr>
              <w:t xml:space="preserve"> cho nền khoa học công nghệ và đổi mới sáng tạo của Thành phố và đồng thời t</w:t>
            </w:r>
            <w:r w:rsidR="00163C55" w:rsidRPr="00E26348">
              <w:rPr>
                <w:color w:val="000000"/>
                <w:szCs w:val="28"/>
              </w:rPr>
              <w:t>húc đẩy sự phát triển doanh nghiệp khoa học và công nghệ dự</w:t>
            </w:r>
            <w:r w:rsidR="00163C55">
              <w:rPr>
                <w:color w:val="000000"/>
                <w:szCs w:val="28"/>
              </w:rPr>
              <w:t>a</w:t>
            </w:r>
            <w:r w:rsidR="00163C55" w:rsidRPr="00E26348">
              <w:rPr>
                <w:color w:val="000000"/>
                <w:szCs w:val="28"/>
              </w:rPr>
              <w:t xml:space="preserve"> trên nền tảng khoa học, </w:t>
            </w:r>
            <w:r w:rsidR="00163C55" w:rsidRPr="00E26348">
              <w:rPr>
                <w:color w:val="000000"/>
                <w:szCs w:val="28"/>
              </w:rPr>
              <w:lastRenderedPageBreak/>
              <w:t>công nghệ và đổi mới sáng tạo góp phần thúc đẩy tăng trưởng kinh tế Hải Phòng nhanh và bền vữ</w:t>
            </w:r>
            <w:r w:rsidR="00163C55">
              <w:rPr>
                <w:color w:val="000000"/>
                <w:szCs w:val="28"/>
              </w:rPr>
              <w:t>ng.</w:t>
            </w:r>
          </w:p>
        </w:tc>
        <w:tc>
          <w:tcPr>
            <w:tcW w:w="2268" w:type="dxa"/>
            <w:vAlign w:val="center"/>
          </w:tcPr>
          <w:p w:rsidR="00163C55" w:rsidRPr="00CD2F68" w:rsidRDefault="00163C55" w:rsidP="00CD2F68">
            <w:pPr>
              <w:jc w:val="center"/>
              <w:rPr>
                <w:sz w:val="26"/>
                <w:szCs w:val="24"/>
              </w:rPr>
            </w:pPr>
            <w:r>
              <w:rPr>
                <w:sz w:val="26"/>
                <w:szCs w:val="24"/>
              </w:rPr>
              <w:lastRenderedPageBreak/>
              <w:t>Chư</w:t>
            </w:r>
            <w:bookmarkStart w:id="0" w:name="_GoBack"/>
            <w:bookmarkEnd w:id="0"/>
            <w:r>
              <w:rPr>
                <w:sz w:val="26"/>
                <w:szCs w:val="24"/>
              </w:rPr>
              <w:t>a có</w:t>
            </w:r>
          </w:p>
        </w:tc>
      </w:tr>
      <w:tr w:rsidR="00E66514" w:rsidRPr="00725240" w:rsidTr="00457FC4">
        <w:tc>
          <w:tcPr>
            <w:tcW w:w="5211" w:type="dxa"/>
          </w:tcPr>
          <w:p w:rsidR="001029CB" w:rsidRPr="00654DEA" w:rsidRDefault="001029CB" w:rsidP="00457FC4">
            <w:pPr>
              <w:spacing w:before="120" w:after="120"/>
              <w:ind w:firstLine="284"/>
              <w:rPr>
                <w:szCs w:val="28"/>
              </w:rPr>
            </w:pPr>
            <w:r w:rsidRPr="00654DEA">
              <w:rPr>
                <w:szCs w:val="28"/>
              </w:rPr>
              <w:lastRenderedPageBreak/>
              <w:t>- Mức ưu đãi miễn áp dụ</w:t>
            </w:r>
            <w:r w:rsidR="00457FC4">
              <w:rPr>
                <w:szCs w:val="28"/>
              </w:rPr>
              <w:t xml:space="preserve">ng theo </w:t>
            </w:r>
            <w:r w:rsidRPr="00654DEA">
              <w:rPr>
                <w:szCs w:val="28"/>
              </w:rPr>
              <w:t xml:space="preserve"> khoản 3 Điều 39 của Nghị định số 103/2024/NĐ-CP ngày 30 tháng 7 năm 2024</w:t>
            </w:r>
            <w:r>
              <w:rPr>
                <w:szCs w:val="28"/>
              </w:rPr>
              <w:t>.</w:t>
            </w:r>
          </w:p>
          <w:p w:rsidR="00E66514" w:rsidRDefault="001029CB" w:rsidP="00457FC4">
            <w:pPr>
              <w:spacing w:before="120" w:after="120"/>
              <w:ind w:firstLine="284"/>
              <w:rPr>
                <w:szCs w:val="28"/>
              </w:rPr>
            </w:pPr>
            <w:r w:rsidRPr="00654DEA">
              <w:rPr>
                <w:szCs w:val="28"/>
              </w:rPr>
              <w:t>- Mức ưu đãi giảm áp dụng theo áp dụng theo  điểm b khoản 1 Điều 40 của Nghị định số 103/2024/NĐ-CP ngày 30 tháng 7 năm 2024</w:t>
            </w:r>
            <w:r>
              <w:rPr>
                <w:szCs w:val="28"/>
              </w:rPr>
              <w:t>.</w:t>
            </w:r>
          </w:p>
          <w:p w:rsidR="001029CB" w:rsidRPr="001029CB" w:rsidRDefault="001029CB" w:rsidP="00457FC4">
            <w:pPr>
              <w:pStyle w:val="NormalWeb"/>
              <w:shd w:val="clear" w:color="auto" w:fill="FFFFFF"/>
              <w:spacing w:before="120" w:beforeAutospacing="0" w:after="120" w:afterAutospacing="0"/>
              <w:ind w:firstLine="284"/>
              <w:jc w:val="both"/>
              <w:rPr>
                <w:i/>
              </w:rPr>
            </w:pPr>
            <w:r w:rsidRPr="001029CB">
              <w:rPr>
                <w:sz w:val="28"/>
                <w:szCs w:val="28"/>
              </w:rPr>
              <w:t>- Căn cứ tại</w:t>
            </w:r>
            <w:r w:rsidRPr="001029CB">
              <w:rPr>
                <w:i/>
                <w:sz w:val="28"/>
                <w:szCs w:val="28"/>
              </w:rPr>
              <w:t xml:space="preserve"> </w:t>
            </w:r>
            <w:r w:rsidRPr="001029CB">
              <w:rPr>
                <w:color w:val="000000"/>
                <w:sz w:val="28"/>
                <w:szCs w:val="28"/>
              </w:rPr>
              <w:t xml:space="preserve">khoản </w:t>
            </w:r>
            <w:r>
              <w:rPr>
                <w:color w:val="000000"/>
                <w:sz w:val="28"/>
                <w:szCs w:val="28"/>
              </w:rPr>
              <w:t>7</w:t>
            </w:r>
            <w:r w:rsidRPr="001029CB">
              <w:rPr>
                <w:color w:val="000000"/>
                <w:sz w:val="28"/>
                <w:szCs w:val="28"/>
              </w:rPr>
              <w:t xml:space="preserve"> Điều 7 </w:t>
            </w:r>
            <w:r w:rsidRPr="001029CB">
              <w:rPr>
                <w:color w:val="000000"/>
                <w:spacing w:val="-2"/>
                <w:sz w:val="28"/>
                <w:szCs w:val="28"/>
                <w:lang w:val="vi-VN"/>
              </w:rPr>
              <w:t xml:space="preserve">của </w:t>
            </w:r>
            <w:r w:rsidRPr="001029CB">
              <w:rPr>
                <w:rStyle w:val="Vnbnnidung4"/>
                <w:i w:val="0"/>
                <w:color w:val="000000"/>
                <w:sz w:val="28"/>
                <w:szCs w:val="28"/>
                <w:lang w:val="vi-VN" w:eastAsia="vi-VN"/>
              </w:rPr>
              <w:t xml:space="preserve">Nghị quyết số </w:t>
            </w:r>
            <w:r w:rsidRPr="001029CB">
              <w:rPr>
                <w:rStyle w:val="Vnbnnidung4"/>
                <w:i w:val="0"/>
                <w:color w:val="000000"/>
                <w:sz w:val="28"/>
                <w:szCs w:val="28"/>
                <w:lang w:eastAsia="vi-VN"/>
              </w:rPr>
              <w:t>22</w:t>
            </w:r>
            <w:r w:rsidRPr="001029CB">
              <w:rPr>
                <w:rStyle w:val="Vnbnnidung4"/>
                <w:i w:val="0"/>
                <w:color w:val="000000"/>
                <w:sz w:val="28"/>
                <w:szCs w:val="28"/>
                <w:lang w:val="vi-VN" w:eastAsia="vi-VN"/>
              </w:rPr>
              <w:t>6/202</w:t>
            </w:r>
            <w:r w:rsidRPr="001029CB">
              <w:rPr>
                <w:rStyle w:val="Vnbnnidung4"/>
                <w:i w:val="0"/>
                <w:color w:val="000000"/>
                <w:sz w:val="28"/>
                <w:szCs w:val="28"/>
                <w:lang w:eastAsia="vi-VN"/>
              </w:rPr>
              <w:t>5</w:t>
            </w:r>
            <w:r w:rsidRPr="001029CB">
              <w:rPr>
                <w:rStyle w:val="Vnbnnidung4"/>
                <w:i w:val="0"/>
                <w:color w:val="000000"/>
                <w:sz w:val="28"/>
                <w:szCs w:val="28"/>
                <w:lang w:val="vi-VN" w:eastAsia="vi-VN"/>
              </w:rPr>
              <w:t>/QH15</w:t>
            </w:r>
            <w:r w:rsidRPr="001029CB">
              <w:rPr>
                <w:rStyle w:val="Vnbnnidung4"/>
                <w:i w:val="0"/>
                <w:color w:val="000000"/>
                <w:sz w:val="28"/>
                <w:szCs w:val="28"/>
                <w:lang w:eastAsia="vi-VN"/>
              </w:rPr>
              <w:t xml:space="preserve"> </w:t>
            </w:r>
            <w:r w:rsidRPr="001029CB">
              <w:rPr>
                <w:color w:val="000000"/>
                <w:sz w:val="28"/>
                <w:szCs w:val="28"/>
              </w:rPr>
              <w:t>ngày 27 tháng 6 năm 2025 của Quốc hội về thí điểm một số cơ chế, chính sách đặc thù phát triển thành phố Hải Phòng,</w:t>
            </w:r>
            <w:r w:rsidRPr="001029CB">
              <w:rPr>
                <w:rStyle w:val="Vnbnnidung3"/>
                <w:i/>
                <w:color w:val="000000"/>
                <w:sz w:val="28"/>
                <w:lang w:eastAsia="vi-VN"/>
              </w:rPr>
              <w:t xml:space="preserve"> </w:t>
            </w:r>
            <w:r w:rsidRPr="001029CB">
              <w:rPr>
                <w:rStyle w:val="Vnbnnidung4"/>
                <w:i w:val="0"/>
                <w:color w:val="000000"/>
                <w:sz w:val="28"/>
                <w:szCs w:val="28"/>
                <w:lang w:eastAsia="vi-VN"/>
              </w:rPr>
              <w:t>quy định:</w:t>
            </w:r>
            <w:r>
              <w:rPr>
                <w:rStyle w:val="Vnbnnidung4"/>
                <w:i w:val="0"/>
                <w:color w:val="000000"/>
                <w:sz w:val="28"/>
                <w:szCs w:val="28"/>
                <w:lang w:eastAsia="vi-VN"/>
              </w:rPr>
              <w:t xml:space="preserve"> </w:t>
            </w:r>
            <w:r w:rsidRPr="001029CB">
              <w:rPr>
                <w:i/>
                <w:sz w:val="28"/>
                <w:szCs w:val="28"/>
              </w:rPr>
              <w:t xml:space="preserve">Doanh nghiệp thực hiện dự án đầu tư mới, dự án đầu tư mở rộng ứng dụng công nghệ cao thuộc Danh mục công nghệ cao được ưu tiên đầu tư phát triển theo quy định của pháp luật về công nghệ cao trên địa bàn Thành phố được hưởng thuế suất thuế thu nhập doanh nghiệp 10% trong 20 năm, miễn thuế 04 năm và giảm 50% thuế 09 năm tiếp theo đối với thu nhập của doanh nghiệp từ việc thực </w:t>
            </w:r>
            <w:r w:rsidRPr="001029CB">
              <w:rPr>
                <w:i/>
                <w:sz w:val="28"/>
                <w:szCs w:val="28"/>
              </w:rPr>
              <w:lastRenderedPageBreak/>
              <w:t>hiện các dự án quy định tại khoản này.</w:t>
            </w:r>
          </w:p>
        </w:tc>
        <w:tc>
          <w:tcPr>
            <w:tcW w:w="3797" w:type="dxa"/>
          </w:tcPr>
          <w:p w:rsidR="00E66514" w:rsidRDefault="00E66514" w:rsidP="00E66514">
            <w:pPr>
              <w:spacing w:before="120" w:after="120" w:line="288" w:lineRule="auto"/>
              <w:ind w:firstLine="3"/>
              <w:rPr>
                <w:b/>
                <w:szCs w:val="28"/>
              </w:rPr>
            </w:pPr>
            <w:r w:rsidRPr="00E520F8">
              <w:rPr>
                <w:b/>
                <w:szCs w:val="28"/>
              </w:rPr>
              <w:lastRenderedPageBreak/>
              <w:t xml:space="preserve">Điều </w:t>
            </w:r>
            <w:r>
              <w:rPr>
                <w:b/>
                <w:szCs w:val="28"/>
              </w:rPr>
              <w:t>4</w:t>
            </w:r>
            <w:r w:rsidRPr="00E520F8">
              <w:rPr>
                <w:b/>
                <w:szCs w:val="28"/>
              </w:rPr>
              <w:t xml:space="preserve">. </w:t>
            </w:r>
            <w:r>
              <w:rPr>
                <w:b/>
                <w:szCs w:val="28"/>
              </w:rPr>
              <w:t>Nội dung và mức ưu đãi</w:t>
            </w:r>
          </w:p>
          <w:p w:rsidR="00E66514" w:rsidRPr="00A803BB" w:rsidRDefault="00E66514" w:rsidP="00E66514">
            <w:pPr>
              <w:spacing w:before="120" w:after="120" w:line="288" w:lineRule="auto"/>
              <w:ind w:firstLine="3"/>
              <w:rPr>
                <w:szCs w:val="28"/>
              </w:rPr>
            </w:pPr>
            <w:r w:rsidRPr="00A803BB">
              <w:rPr>
                <w:szCs w:val="28"/>
              </w:rPr>
              <w:t>1. Miễn, giảm tiền thuê đất, thuê mặt nước</w:t>
            </w:r>
          </w:p>
          <w:p w:rsidR="00E66514" w:rsidRPr="00671851" w:rsidRDefault="00652993" w:rsidP="00457FC4">
            <w:pPr>
              <w:shd w:val="clear" w:color="auto" w:fill="FFFFFF"/>
              <w:spacing w:before="120" w:after="120" w:line="288" w:lineRule="auto"/>
              <w:ind w:firstLine="567"/>
              <w:rPr>
                <w:noProof/>
                <w:szCs w:val="28"/>
              </w:rPr>
            </w:pPr>
            <w:r>
              <w:rPr>
                <w:noProof/>
                <w:szCs w:val="28"/>
              </w:rPr>
              <w:t>Doanh nghiệp thực hiện d</w:t>
            </w:r>
            <w:r w:rsidRPr="008B5B5E">
              <w:rPr>
                <w:noProof/>
                <w:szCs w:val="28"/>
              </w:rPr>
              <w:t>ự án</w:t>
            </w:r>
            <w:r>
              <w:rPr>
                <w:noProof/>
                <w:szCs w:val="28"/>
              </w:rPr>
              <w:t xml:space="preserve"> đầu tư</w:t>
            </w:r>
            <w:r w:rsidRPr="008B5B5E">
              <w:rPr>
                <w:noProof/>
                <w:szCs w:val="28"/>
              </w:rPr>
              <w:t xml:space="preserve"> sản xuất, kinh doanh sản phẩm, dịch vụ khoa học và công nghệ từ kết quả nghiên cứu khoa học và phát triển công nghệ được miễn tiền thuê đất</w:t>
            </w:r>
            <w:r w:rsidR="00993A27">
              <w:rPr>
                <w:noProof/>
                <w:szCs w:val="28"/>
              </w:rPr>
              <w:t>, thuê mặt nước</w:t>
            </w:r>
            <w:r w:rsidRPr="008B5B5E">
              <w:rPr>
                <w:noProof/>
                <w:szCs w:val="28"/>
              </w:rPr>
              <w:t xml:space="preserve"> </w:t>
            </w:r>
            <w:r w:rsidR="00457FC4">
              <w:rPr>
                <w:noProof/>
                <w:szCs w:val="28"/>
              </w:rPr>
              <w:t>15</w:t>
            </w:r>
            <w:r>
              <w:rPr>
                <w:noProof/>
                <w:szCs w:val="28"/>
              </w:rPr>
              <w:t xml:space="preserve"> năm</w:t>
            </w:r>
            <w:r>
              <w:rPr>
                <w:szCs w:val="28"/>
              </w:rPr>
              <w:t xml:space="preserve"> và giảm 50% tiền thuê đất</w:t>
            </w:r>
            <w:r w:rsidR="00993A27">
              <w:rPr>
                <w:szCs w:val="28"/>
              </w:rPr>
              <w:t>, thuê mặt nước</w:t>
            </w:r>
            <w:r>
              <w:rPr>
                <w:szCs w:val="28"/>
              </w:rPr>
              <w:t xml:space="preserve"> hằng năm trong 09 năm tiếp theo.</w:t>
            </w:r>
          </w:p>
        </w:tc>
        <w:tc>
          <w:tcPr>
            <w:tcW w:w="3433" w:type="dxa"/>
          </w:tcPr>
          <w:p w:rsidR="005E52B9" w:rsidRDefault="005E52B9" w:rsidP="001029CB">
            <w:pPr>
              <w:ind w:firstLine="632"/>
              <w:rPr>
                <w:szCs w:val="28"/>
              </w:rPr>
            </w:pPr>
            <w:r>
              <w:rPr>
                <w:szCs w:val="28"/>
              </w:rPr>
              <w:t xml:space="preserve">Thành phố Hải Phòng áp dụng nội dung và mức ưu đãi </w:t>
            </w:r>
            <w:r w:rsidR="001029CB">
              <w:rPr>
                <w:szCs w:val="28"/>
              </w:rPr>
              <w:t>vượt trội hơn và đặc thù hơn so với các dự án đầu tư thông thường và theo quy định hiện hành.</w:t>
            </w:r>
          </w:p>
          <w:p w:rsidR="00E66514" w:rsidRPr="00725240" w:rsidRDefault="00E66514" w:rsidP="00654DEA">
            <w:pPr>
              <w:rPr>
                <w:sz w:val="24"/>
                <w:szCs w:val="24"/>
              </w:rPr>
            </w:pPr>
            <w:r>
              <w:rPr>
                <w:sz w:val="24"/>
                <w:szCs w:val="24"/>
              </w:rPr>
              <w:t xml:space="preserve"> </w:t>
            </w:r>
          </w:p>
        </w:tc>
        <w:tc>
          <w:tcPr>
            <w:tcW w:w="2268" w:type="dxa"/>
            <w:vAlign w:val="center"/>
          </w:tcPr>
          <w:p w:rsidR="00E66514" w:rsidRPr="00725240" w:rsidRDefault="00E66514" w:rsidP="00CD2F68">
            <w:pPr>
              <w:jc w:val="center"/>
              <w:rPr>
                <w:sz w:val="24"/>
                <w:szCs w:val="24"/>
              </w:rPr>
            </w:pPr>
            <w:r w:rsidRPr="00CD2F68">
              <w:rPr>
                <w:sz w:val="26"/>
                <w:szCs w:val="24"/>
              </w:rPr>
              <w:t>Chưa có</w:t>
            </w:r>
          </w:p>
        </w:tc>
      </w:tr>
      <w:tr w:rsidR="00E66514" w:rsidRPr="00725240" w:rsidTr="00457FC4">
        <w:tc>
          <w:tcPr>
            <w:tcW w:w="5211" w:type="dxa"/>
          </w:tcPr>
          <w:p w:rsidR="00E66514" w:rsidRPr="00E66514" w:rsidRDefault="00E66514" w:rsidP="00CD2F68">
            <w:pPr>
              <w:ind w:firstLine="567"/>
              <w:rPr>
                <w:bCs/>
                <w:color w:val="000000"/>
                <w:szCs w:val="28"/>
                <w:shd w:val="clear" w:color="auto" w:fill="FFFFFF"/>
              </w:rPr>
            </w:pPr>
            <w:r w:rsidRPr="00E66514">
              <w:rPr>
                <w:szCs w:val="28"/>
              </w:rPr>
              <w:lastRenderedPageBreak/>
              <w:t>- Điều số 124 của Luật Đất đai (</w:t>
            </w:r>
            <w:bookmarkStart w:id="1" w:name="dieu_124"/>
            <w:r w:rsidRPr="00E66514">
              <w:rPr>
                <w:bCs/>
                <w:color w:val="000000"/>
                <w:szCs w:val="28"/>
                <w:shd w:val="clear" w:color="auto" w:fill="FFFFFF"/>
              </w:rPr>
              <w:t>Các trường hợp giao đất, cho thuê đất không đấu giá quyền sử dụng đất, không đấu thầu lựa chọn nhà đầu tư thực hiện dự án có sử dụng đất</w:t>
            </w:r>
            <w:bookmarkEnd w:id="1"/>
            <w:r w:rsidRPr="00E66514">
              <w:rPr>
                <w:bCs/>
                <w:color w:val="000000"/>
                <w:szCs w:val="28"/>
                <w:shd w:val="clear" w:color="auto" w:fill="FFFFFF"/>
              </w:rPr>
              <w:t>)</w:t>
            </w:r>
            <w:r>
              <w:rPr>
                <w:bCs/>
                <w:color w:val="000000"/>
                <w:szCs w:val="28"/>
                <w:shd w:val="clear" w:color="auto" w:fill="FFFFFF"/>
              </w:rPr>
              <w:t>;</w:t>
            </w:r>
          </w:p>
          <w:p w:rsidR="00E66514" w:rsidRDefault="00E66514" w:rsidP="00CD2F68">
            <w:pPr>
              <w:ind w:firstLine="567"/>
              <w:rPr>
                <w:bCs/>
                <w:color w:val="000000"/>
                <w:szCs w:val="28"/>
                <w:shd w:val="clear" w:color="auto" w:fill="FFFFFF"/>
              </w:rPr>
            </w:pPr>
            <w:r w:rsidRPr="00E66514">
              <w:rPr>
                <w:bCs/>
                <w:color w:val="000000"/>
                <w:szCs w:val="28"/>
                <w:shd w:val="clear" w:color="auto" w:fill="FFFFFF"/>
              </w:rPr>
              <w:t xml:space="preserve">- Điều 228 của Luật Đất đai có quy đinh </w:t>
            </w:r>
            <w:bookmarkStart w:id="2" w:name="dieu_228"/>
            <w:r w:rsidRPr="00E66514">
              <w:rPr>
                <w:bCs/>
                <w:color w:val="000000"/>
                <w:szCs w:val="28"/>
                <w:shd w:val="clear" w:color="auto" w:fill="FFFFFF"/>
              </w:rPr>
              <w:t>Trình tự, thủ tục giao đất, cho thuê đất đối với trường hợp giao đất, cho thuê đất không đấu giá quyền sử dụng đất, không đấu thầu lựa chọn nhà đầu tư thực hiện dự án có sử dụng đất và trường hợp giao đất, cho thuê đất thông qua đấu thầu lựa chọn nhà đầu tư thực hiện dự án có sử dụng đất</w:t>
            </w:r>
            <w:bookmarkEnd w:id="2"/>
            <w:r>
              <w:rPr>
                <w:bCs/>
                <w:color w:val="000000"/>
                <w:szCs w:val="28"/>
                <w:shd w:val="clear" w:color="auto" w:fill="FFFFFF"/>
              </w:rPr>
              <w:t>.</w:t>
            </w:r>
          </w:p>
          <w:p w:rsidR="00D46F78" w:rsidRPr="00E66514" w:rsidRDefault="00D46F78" w:rsidP="00CD2F68">
            <w:pPr>
              <w:ind w:firstLine="567"/>
              <w:rPr>
                <w:bCs/>
                <w:color w:val="000000"/>
                <w:szCs w:val="28"/>
                <w:shd w:val="clear" w:color="auto" w:fill="FFFFFF"/>
              </w:rPr>
            </w:pPr>
            <w:r>
              <w:rPr>
                <w:bCs/>
                <w:color w:val="000000"/>
                <w:szCs w:val="28"/>
                <w:shd w:val="clear" w:color="auto" w:fill="FFFFFF"/>
              </w:rPr>
              <w:t xml:space="preserve">- Điều 10 của Luật Đấu thầu quy định ưu đãi trong lựa chọn nhà thầu, nhà đầu tư </w:t>
            </w:r>
          </w:p>
        </w:tc>
        <w:tc>
          <w:tcPr>
            <w:tcW w:w="3797" w:type="dxa"/>
          </w:tcPr>
          <w:p w:rsidR="00E66514" w:rsidRDefault="00E66514" w:rsidP="00E66514">
            <w:pPr>
              <w:spacing w:before="120" w:after="120" w:line="288" w:lineRule="auto"/>
              <w:ind w:firstLine="3"/>
              <w:rPr>
                <w:szCs w:val="28"/>
              </w:rPr>
            </w:pPr>
            <w:r w:rsidRPr="00A803BB">
              <w:rPr>
                <w:szCs w:val="28"/>
              </w:rPr>
              <w:t>2. Ưu đãi quyền sử dụng đấ</w:t>
            </w:r>
            <w:r>
              <w:rPr>
                <w:szCs w:val="28"/>
              </w:rPr>
              <w:t>t</w:t>
            </w:r>
          </w:p>
          <w:p w:rsidR="00E66514" w:rsidRDefault="00E66514" w:rsidP="00E66514">
            <w:pPr>
              <w:spacing w:before="120" w:after="120" w:line="288" w:lineRule="auto"/>
              <w:ind w:firstLine="3"/>
              <w:rPr>
                <w:szCs w:val="28"/>
              </w:rPr>
            </w:pPr>
            <w:r>
              <w:rPr>
                <w:szCs w:val="28"/>
              </w:rPr>
              <w:t xml:space="preserve">a) </w:t>
            </w:r>
            <w:r w:rsidRPr="00CC798D">
              <w:rPr>
                <w:szCs w:val="28"/>
              </w:rPr>
              <w:t xml:space="preserve">Doanh nghiệp thực hiện dự án sản xuất, kinh doanh, dịch vụ khoa học và công nghệ được </w:t>
            </w:r>
            <w:r>
              <w:rPr>
                <w:szCs w:val="28"/>
              </w:rPr>
              <w:t>UBND Thành phố</w:t>
            </w:r>
            <w:r w:rsidRPr="00CC798D">
              <w:rPr>
                <w:szCs w:val="28"/>
              </w:rPr>
              <w:t xml:space="preserve"> cho thuê đất không đấu giá quyền sử dụng đất, không đấu thầu lựa chọn nhà đầu tư thực hiện dự án có sử dụng đất.</w:t>
            </w:r>
          </w:p>
          <w:p w:rsidR="00E66514" w:rsidRPr="00725240" w:rsidRDefault="00E66514" w:rsidP="00E66514">
            <w:pPr>
              <w:pStyle w:val="BodyText"/>
              <w:tabs>
                <w:tab w:val="left" w:pos="993"/>
              </w:tabs>
              <w:spacing w:after="0" w:line="240" w:lineRule="auto"/>
              <w:ind w:firstLine="3"/>
              <w:rPr>
                <w:sz w:val="24"/>
                <w:szCs w:val="24"/>
              </w:rPr>
            </w:pPr>
            <w:r>
              <w:rPr>
                <w:noProof/>
                <w:szCs w:val="28"/>
              </w:rPr>
              <w:t>b)</w:t>
            </w:r>
            <w:r w:rsidRPr="00DB2812">
              <w:rPr>
                <w:noProof/>
                <w:szCs w:val="28"/>
              </w:rPr>
              <w:t xml:space="preserve"> Doanh nghiệp khoa học và công nghệ là nhà thầu được hưởng các ưu đãi trong lựa chọn nhà thầu theo quy định tại Điều 10 của Luật </w:t>
            </w:r>
            <w:r>
              <w:rPr>
                <w:noProof/>
                <w:szCs w:val="28"/>
              </w:rPr>
              <w:t>Đ</w:t>
            </w:r>
            <w:r w:rsidRPr="00DB2812">
              <w:rPr>
                <w:noProof/>
                <w:szCs w:val="28"/>
              </w:rPr>
              <w:t>ấu thầ</w:t>
            </w:r>
            <w:r>
              <w:rPr>
                <w:noProof/>
                <w:szCs w:val="28"/>
              </w:rPr>
              <w:t>u.</w:t>
            </w:r>
          </w:p>
        </w:tc>
        <w:tc>
          <w:tcPr>
            <w:tcW w:w="3433" w:type="dxa"/>
          </w:tcPr>
          <w:p w:rsidR="00E66514" w:rsidRPr="00E66514" w:rsidRDefault="00E66514" w:rsidP="00D46F78">
            <w:pPr>
              <w:ind w:firstLine="490"/>
              <w:rPr>
                <w:szCs w:val="28"/>
              </w:rPr>
            </w:pPr>
            <w:r>
              <w:rPr>
                <w:szCs w:val="28"/>
              </w:rPr>
              <w:t xml:space="preserve">Thành phố Hải Phòng xây dựng đặc thù cho doanh nghiệp khoa học và công nghệ được hưởng các ưu đãi mà đã được quy định tại Luật Đất Đai và Luật Đấu thầu </w:t>
            </w:r>
            <w:r w:rsidR="00D46F78">
              <w:rPr>
                <w:szCs w:val="28"/>
              </w:rPr>
              <w:t xml:space="preserve">cụ thể: </w:t>
            </w:r>
          </w:p>
        </w:tc>
        <w:tc>
          <w:tcPr>
            <w:tcW w:w="2268" w:type="dxa"/>
            <w:vAlign w:val="center"/>
          </w:tcPr>
          <w:p w:rsidR="00E66514" w:rsidRPr="00725240" w:rsidRDefault="005E52B9" w:rsidP="00CD2F68">
            <w:pPr>
              <w:jc w:val="center"/>
              <w:rPr>
                <w:sz w:val="24"/>
                <w:szCs w:val="24"/>
              </w:rPr>
            </w:pPr>
            <w:r w:rsidRPr="00CD2F68">
              <w:rPr>
                <w:sz w:val="26"/>
                <w:szCs w:val="24"/>
              </w:rPr>
              <w:t>Chưa có</w:t>
            </w:r>
          </w:p>
        </w:tc>
      </w:tr>
    </w:tbl>
    <w:p w:rsidR="00CB5AB0" w:rsidRPr="006E3AF9" w:rsidRDefault="00CB5AB0"/>
    <w:sectPr w:rsidR="00CB5AB0" w:rsidRPr="006E3AF9" w:rsidSect="0043449C">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089" w:rsidRDefault="00690089" w:rsidP="0043449C">
      <w:r>
        <w:separator/>
      </w:r>
    </w:p>
  </w:endnote>
  <w:endnote w:type="continuationSeparator" w:id="0">
    <w:p w:rsidR="00690089" w:rsidRDefault="00690089"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089" w:rsidRDefault="00690089" w:rsidP="0043449C">
      <w:r>
        <w:separator/>
      </w:r>
    </w:p>
  </w:footnote>
  <w:footnote w:type="continuationSeparator" w:id="0">
    <w:p w:rsidR="00690089" w:rsidRDefault="00690089" w:rsidP="00434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841455"/>
      <w:docPartObj>
        <w:docPartGallery w:val="Page Numbers (Top of Page)"/>
        <w:docPartUnique/>
      </w:docPartObj>
    </w:sdtPr>
    <w:sdtEndPr>
      <w:rPr>
        <w:noProof/>
      </w:rPr>
    </w:sdtEndPr>
    <w:sdtContent>
      <w:p w:rsidR="00167C97" w:rsidRDefault="00167C97" w:rsidP="0043449C">
        <w:pPr>
          <w:pStyle w:val="Header"/>
          <w:jc w:val="center"/>
        </w:pPr>
        <w:r>
          <w:fldChar w:fldCharType="begin"/>
        </w:r>
        <w:r>
          <w:instrText xml:space="preserve"> PAGE   \* MERGEFORMAT </w:instrText>
        </w:r>
        <w:r>
          <w:fldChar w:fldCharType="separate"/>
        </w:r>
        <w:r w:rsidR="00457FC4">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nsid w:val="047A5F95"/>
    <w:multiLevelType w:val="hybridMultilevel"/>
    <w:tmpl w:val="2B6295CE"/>
    <w:lvl w:ilvl="0" w:tplc="88C4272E">
      <w:start w:val="1"/>
      <w:numFmt w:val="decimal"/>
      <w:lvlText w:val="%1."/>
      <w:lvlJc w:val="left"/>
      <w:pPr>
        <w:ind w:left="104" w:hanging="254"/>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7155D"/>
    <w:multiLevelType w:val="hybridMultilevel"/>
    <w:tmpl w:val="7AF8E63A"/>
    <w:lvl w:ilvl="0" w:tplc="C374E03E">
      <w:start w:val="1"/>
      <w:numFmt w:val="lowerLetter"/>
      <w:lvlText w:val="%1)"/>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5">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6">
    <w:nsid w:val="1A5F5DE1"/>
    <w:multiLevelType w:val="hybridMultilevel"/>
    <w:tmpl w:val="A01CFA2A"/>
    <w:lvl w:ilvl="0" w:tplc="C5282E98">
      <w:start w:val="6"/>
      <w:numFmt w:val="decimal"/>
      <w:lvlText w:val="%1."/>
      <w:lvlJc w:val="left"/>
      <w:pPr>
        <w:ind w:left="104" w:hanging="272"/>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7">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8">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9">
    <w:nsid w:val="327B4522"/>
    <w:multiLevelType w:val="hybridMultilevel"/>
    <w:tmpl w:val="D8A6D044"/>
    <w:lvl w:ilvl="0" w:tplc="53902BC4">
      <w:start w:val="1"/>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0">
    <w:nsid w:val="3E101A8F"/>
    <w:multiLevelType w:val="hybridMultilevel"/>
    <w:tmpl w:val="2C340A6E"/>
    <w:lvl w:ilvl="0" w:tplc="65B653E0">
      <w:start w:val="2"/>
      <w:numFmt w:val="decimal"/>
      <w:lvlText w:val="%1."/>
      <w:lvlJc w:val="left"/>
      <w:pPr>
        <w:ind w:left="332" w:hanging="229"/>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1">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2">
    <w:nsid w:val="4BD43964"/>
    <w:multiLevelType w:val="hybridMultilevel"/>
    <w:tmpl w:val="D05A8FE0"/>
    <w:lvl w:ilvl="0" w:tplc="03120DD6">
      <w:start w:val="1"/>
      <w:numFmt w:val="decimal"/>
      <w:lvlText w:val="%1."/>
      <w:lvlJc w:val="left"/>
      <w:pPr>
        <w:ind w:left="104" w:hanging="245"/>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3">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4">
    <w:nsid w:val="4F50638A"/>
    <w:multiLevelType w:val="hybridMultilevel"/>
    <w:tmpl w:val="C7CEE4CE"/>
    <w:lvl w:ilvl="0" w:tplc="656C5E12">
      <w:start w:val="1"/>
      <w:numFmt w:val="decimal"/>
      <w:lvlText w:val="%1."/>
      <w:lvlJc w:val="left"/>
      <w:pPr>
        <w:ind w:left="104" w:hanging="251"/>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5">
    <w:nsid w:val="4F7D2BB0"/>
    <w:multiLevelType w:val="hybridMultilevel"/>
    <w:tmpl w:val="55D8BCE8"/>
    <w:lvl w:ilvl="0" w:tplc="C848251C">
      <w:start w:val="2"/>
      <w:numFmt w:val="lowerLetter"/>
      <w:lvlText w:val="%1)"/>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6">
    <w:nsid w:val="53923C46"/>
    <w:multiLevelType w:val="hybridMultilevel"/>
    <w:tmpl w:val="1C462C02"/>
    <w:lvl w:ilvl="0" w:tplc="9244B66A">
      <w:start w:val="1"/>
      <w:numFmt w:val="lowerLetter"/>
      <w:lvlText w:val="%1)"/>
      <w:lvlJc w:val="left"/>
      <w:pPr>
        <w:ind w:left="683" w:hanging="257"/>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17">
    <w:nsid w:val="5EE135E9"/>
    <w:multiLevelType w:val="hybridMultilevel"/>
    <w:tmpl w:val="BD1452B0"/>
    <w:lvl w:ilvl="0" w:tplc="C1848A58">
      <w:start w:val="2"/>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18">
    <w:nsid w:val="648F1111"/>
    <w:multiLevelType w:val="hybridMultilevel"/>
    <w:tmpl w:val="C73E5226"/>
    <w:lvl w:ilvl="0" w:tplc="0D20092A">
      <w:start w:val="2"/>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19">
    <w:nsid w:val="6E465073"/>
    <w:multiLevelType w:val="hybridMultilevel"/>
    <w:tmpl w:val="1FBCBB1E"/>
    <w:lvl w:ilvl="0" w:tplc="E2B4C130">
      <w:start w:val="1"/>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1">
    <w:nsid w:val="740B217F"/>
    <w:multiLevelType w:val="hybridMultilevel"/>
    <w:tmpl w:val="9412FF58"/>
    <w:lvl w:ilvl="0" w:tplc="6268A674">
      <w:start w:val="4"/>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2">
    <w:nsid w:val="7508143C"/>
    <w:multiLevelType w:val="hybridMultilevel"/>
    <w:tmpl w:val="F4DEA562"/>
    <w:lvl w:ilvl="0" w:tplc="41C49266">
      <w:start w:val="1"/>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3">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24">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abstractNumId w:val="24"/>
  </w:num>
  <w:num w:numId="2">
    <w:abstractNumId w:val="10"/>
  </w:num>
  <w:num w:numId="3">
    <w:abstractNumId w:val="19"/>
  </w:num>
  <w:num w:numId="4">
    <w:abstractNumId w:val="15"/>
  </w:num>
  <w:num w:numId="5">
    <w:abstractNumId w:val="22"/>
  </w:num>
  <w:num w:numId="6">
    <w:abstractNumId w:val="16"/>
  </w:num>
  <w:num w:numId="7">
    <w:abstractNumId w:val="12"/>
  </w:num>
  <w:num w:numId="8">
    <w:abstractNumId w:val="18"/>
  </w:num>
  <w:num w:numId="9">
    <w:abstractNumId w:val="11"/>
  </w:num>
  <w:num w:numId="10">
    <w:abstractNumId w:val="17"/>
  </w:num>
  <w:num w:numId="11">
    <w:abstractNumId w:val="4"/>
  </w:num>
  <w:num w:numId="12">
    <w:abstractNumId w:val="1"/>
  </w:num>
  <w:num w:numId="13">
    <w:abstractNumId w:val="7"/>
  </w:num>
  <w:num w:numId="14">
    <w:abstractNumId w:val="21"/>
  </w:num>
  <w:num w:numId="15">
    <w:abstractNumId w:val="9"/>
  </w:num>
  <w:num w:numId="16">
    <w:abstractNumId w:val="6"/>
  </w:num>
  <w:num w:numId="17">
    <w:abstractNumId w:val="2"/>
  </w:num>
  <w:num w:numId="18">
    <w:abstractNumId w:val="14"/>
  </w:num>
  <w:num w:numId="19">
    <w:abstractNumId w:val="3"/>
  </w:num>
  <w:num w:numId="20">
    <w:abstractNumId w:val="13"/>
  </w:num>
  <w:num w:numId="21">
    <w:abstractNumId w:val="20"/>
  </w:num>
  <w:num w:numId="22">
    <w:abstractNumId w:val="0"/>
  </w:num>
  <w:num w:numId="23">
    <w:abstractNumId w:val="5"/>
  </w:num>
  <w:num w:numId="24">
    <w:abstractNumId w:val="8"/>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886"/>
    <w:rsid w:val="000058F2"/>
    <w:rsid w:val="000130E3"/>
    <w:rsid w:val="000255EC"/>
    <w:rsid w:val="0003376F"/>
    <w:rsid w:val="0004495B"/>
    <w:rsid w:val="000577D8"/>
    <w:rsid w:val="00063314"/>
    <w:rsid w:val="00064435"/>
    <w:rsid w:val="0007249B"/>
    <w:rsid w:val="0008452F"/>
    <w:rsid w:val="00085E5E"/>
    <w:rsid w:val="000C4669"/>
    <w:rsid w:val="000D597A"/>
    <w:rsid w:val="000E68BB"/>
    <w:rsid w:val="000E69D7"/>
    <w:rsid w:val="001029CB"/>
    <w:rsid w:val="00104D30"/>
    <w:rsid w:val="00115015"/>
    <w:rsid w:val="001207D1"/>
    <w:rsid w:val="00124F9D"/>
    <w:rsid w:val="001412B3"/>
    <w:rsid w:val="00142E6E"/>
    <w:rsid w:val="00151B72"/>
    <w:rsid w:val="00151DBA"/>
    <w:rsid w:val="001574BA"/>
    <w:rsid w:val="00161276"/>
    <w:rsid w:val="00163C55"/>
    <w:rsid w:val="00167C97"/>
    <w:rsid w:val="0017205E"/>
    <w:rsid w:val="001A5228"/>
    <w:rsid w:val="001A6153"/>
    <w:rsid w:val="001B6244"/>
    <w:rsid w:val="001B644E"/>
    <w:rsid w:val="001C4EF3"/>
    <w:rsid w:val="001C5000"/>
    <w:rsid w:val="001C7BE2"/>
    <w:rsid w:val="001D03BF"/>
    <w:rsid w:val="001D23CA"/>
    <w:rsid w:val="001E728F"/>
    <w:rsid w:val="00200408"/>
    <w:rsid w:val="002146EF"/>
    <w:rsid w:val="00214CF0"/>
    <w:rsid w:val="00231055"/>
    <w:rsid w:val="002314D9"/>
    <w:rsid w:val="00236969"/>
    <w:rsid w:val="00241D6E"/>
    <w:rsid w:val="002471FD"/>
    <w:rsid w:val="00252066"/>
    <w:rsid w:val="002535B6"/>
    <w:rsid w:val="00262332"/>
    <w:rsid w:val="00265AEA"/>
    <w:rsid w:val="00270C4D"/>
    <w:rsid w:val="00280114"/>
    <w:rsid w:val="002A56D7"/>
    <w:rsid w:val="002B5A8F"/>
    <w:rsid w:val="002F1CE3"/>
    <w:rsid w:val="00306EED"/>
    <w:rsid w:val="00314435"/>
    <w:rsid w:val="00315434"/>
    <w:rsid w:val="003243E7"/>
    <w:rsid w:val="00331A69"/>
    <w:rsid w:val="003626C2"/>
    <w:rsid w:val="0039485E"/>
    <w:rsid w:val="003A3C9E"/>
    <w:rsid w:val="003C1121"/>
    <w:rsid w:val="003E4C9F"/>
    <w:rsid w:val="003E54CD"/>
    <w:rsid w:val="003F0672"/>
    <w:rsid w:val="004022E1"/>
    <w:rsid w:val="00402943"/>
    <w:rsid w:val="00412B3C"/>
    <w:rsid w:val="0043449C"/>
    <w:rsid w:val="00444C2E"/>
    <w:rsid w:val="0044610E"/>
    <w:rsid w:val="00453625"/>
    <w:rsid w:val="00455325"/>
    <w:rsid w:val="00457B49"/>
    <w:rsid w:val="00457C74"/>
    <w:rsid w:val="00457F92"/>
    <w:rsid w:val="00457FC4"/>
    <w:rsid w:val="0046300E"/>
    <w:rsid w:val="004636E6"/>
    <w:rsid w:val="004675D2"/>
    <w:rsid w:val="0047016E"/>
    <w:rsid w:val="004777B0"/>
    <w:rsid w:val="004917B7"/>
    <w:rsid w:val="004B1F8B"/>
    <w:rsid w:val="004B3938"/>
    <w:rsid w:val="004C530B"/>
    <w:rsid w:val="004E21F7"/>
    <w:rsid w:val="004E3586"/>
    <w:rsid w:val="004E520E"/>
    <w:rsid w:val="004E79A6"/>
    <w:rsid w:val="004F6AAF"/>
    <w:rsid w:val="0050753B"/>
    <w:rsid w:val="00512455"/>
    <w:rsid w:val="00523F80"/>
    <w:rsid w:val="005260C3"/>
    <w:rsid w:val="00527CD9"/>
    <w:rsid w:val="005354E1"/>
    <w:rsid w:val="00535808"/>
    <w:rsid w:val="005640DC"/>
    <w:rsid w:val="005672CA"/>
    <w:rsid w:val="005C149C"/>
    <w:rsid w:val="005C29AC"/>
    <w:rsid w:val="005D7ADA"/>
    <w:rsid w:val="005E52B9"/>
    <w:rsid w:val="005E6646"/>
    <w:rsid w:val="005E7067"/>
    <w:rsid w:val="005F2359"/>
    <w:rsid w:val="00602A5E"/>
    <w:rsid w:val="00604E67"/>
    <w:rsid w:val="006404BC"/>
    <w:rsid w:val="00652993"/>
    <w:rsid w:val="00654DEA"/>
    <w:rsid w:val="00670390"/>
    <w:rsid w:val="00671851"/>
    <w:rsid w:val="00681008"/>
    <w:rsid w:val="00690089"/>
    <w:rsid w:val="006A0EFC"/>
    <w:rsid w:val="006B4F3F"/>
    <w:rsid w:val="006C147F"/>
    <w:rsid w:val="006D448F"/>
    <w:rsid w:val="006E3AF9"/>
    <w:rsid w:val="00702427"/>
    <w:rsid w:val="00702D2B"/>
    <w:rsid w:val="00725240"/>
    <w:rsid w:val="00747020"/>
    <w:rsid w:val="007502A7"/>
    <w:rsid w:val="007539CD"/>
    <w:rsid w:val="00753FDD"/>
    <w:rsid w:val="00757C04"/>
    <w:rsid w:val="00770B93"/>
    <w:rsid w:val="00770FEC"/>
    <w:rsid w:val="00777217"/>
    <w:rsid w:val="00786CD1"/>
    <w:rsid w:val="00793558"/>
    <w:rsid w:val="007A0E3A"/>
    <w:rsid w:val="007A746E"/>
    <w:rsid w:val="007B11BA"/>
    <w:rsid w:val="007B1829"/>
    <w:rsid w:val="007B1DC0"/>
    <w:rsid w:val="007B68B3"/>
    <w:rsid w:val="007B74FE"/>
    <w:rsid w:val="007C1455"/>
    <w:rsid w:val="007D330E"/>
    <w:rsid w:val="007E4C7E"/>
    <w:rsid w:val="007F24B6"/>
    <w:rsid w:val="007F6F25"/>
    <w:rsid w:val="00805BAA"/>
    <w:rsid w:val="0081237A"/>
    <w:rsid w:val="008219A6"/>
    <w:rsid w:val="008227DF"/>
    <w:rsid w:val="00842134"/>
    <w:rsid w:val="00846178"/>
    <w:rsid w:val="00861032"/>
    <w:rsid w:val="00865923"/>
    <w:rsid w:val="00866800"/>
    <w:rsid w:val="008800EB"/>
    <w:rsid w:val="00881D7C"/>
    <w:rsid w:val="00883F5F"/>
    <w:rsid w:val="0088540C"/>
    <w:rsid w:val="00890AA8"/>
    <w:rsid w:val="008C048D"/>
    <w:rsid w:val="008D0C21"/>
    <w:rsid w:val="008D69D8"/>
    <w:rsid w:val="008E02B0"/>
    <w:rsid w:val="008E4FE5"/>
    <w:rsid w:val="008F230E"/>
    <w:rsid w:val="00900873"/>
    <w:rsid w:val="00905651"/>
    <w:rsid w:val="00921947"/>
    <w:rsid w:val="009278FB"/>
    <w:rsid w:val="00937CDD"/>
    <w:rsid w:val="00947036"/>
    <w:rsid w:val="00950786"/>
    <w:rsid w:val="00952D0F"/>
    <w:rsid w:val="009600BB"/>
    <w:rsid w:val="00963DA1"/>
    <w:rsid w:val="00964DA5"/>
    <w:rsid w:val="009756FC"/>
    <w:rsid w:val="009829E8"/>
    <w:rsid w:val="00987BE5"/>
    <w:rsid w:val="00990CB1"/>
    <w:rsid w:val="00991348"/>
    <w:rsid w:val="00993A27"/>
    <w:rsid w:val="009B61DB"/>
    <w:rsid w:val="009C27A7"/>
    <w:rsid w:val="009C2E14"/>
    <w:rsid w:val="009E0BF4"/>
    <w:rsid w:val="009F16CF"/>
    <w:rsid w:val="00A01116"/>
    <w:rsid w:val="00A02636"/>
    <w:rsid w:val="00A3398D"/>
    <w:rsid w:val="00A36819"/>
    <w:rsid w:val="00A47A80"/>
    <w:rsid w:val="00A47D1D"/>
    <w:rsid w:val="00A54D2D"/>
    <w:rsid w:val="00A5710C"/>
    <w:rsid w:val="00A70055"/>
    <w:rsid w:val="00A92675"/>
    <w:rsid w:val="00A937F2"/>
    <w:rsid w:val="00A96E7F"/>
    <w:rsid w:val="00AB42FD"/>
    <w:rsid w:val="00AC0886"/>
    <w:rsid w:val="00AF2EAB"/>
    <w:rsid w:val="00B02F64"/>
    <w:rsid w:val="00B10FA7"/>
    <w:rsid w:val="00B16345"/>
    <w:rsid w:val="00B23C37"/>
    <w:rsid w:val="00B363C4"/>
    <w:rsid w:val="00B40C3D"/>
    <w:rsid w:val="00B41A2F"/>
    <w:rsid w:val="00B57602"/>
    <w:rsid w:val="00B627E1"/>
    <w:rsid w:val="00B72D76"/>
    <w:rsid w:val="00B83B78"/>
    <w:rsid w:val="00B83EC0"/>
    <w:rsid w:val="00B90DC7"/>
    <w:rsid w:val="00B91D86"/>
    <w:rsid w:val="00B9642E"/>
    <w:rsid w:val="00BA1C66"/>
    <w:rsid w:val="00BA5C70"/>
    <w:rsid w:val="00BA7D92"/>
    <w:rsid w:val="00BB6DCC"/>
    <w:rsid w:val="00BC05C3"/>
    <w:rsid w:val="00BC14D9"/>
    <w:rsid w:val="00BD3AB6"/>
    <w:rsid w:val="00C22C0B"/>
    <w:rsid w:val="00C34A54"/>
    <w:rsid w:val="00C501F6"/>
    <w:rsid w:val="00C5718D"/>
    <w:rsid w:val="00C6394D"/>
    <w:rsid w:val="00CA297C"/>
    <w:rsid w:val="00CA2D68"/>
    <w:rsid w:val="00CB03D3"/>
    <w:rsid w:val="00CB5AB0"/>
    <w:rsid w:val="00CD2AD7"/>
    <w:rsid w:val="00CD2D4E"/>
    <w:rsid w:val="00CD2F68"/>
    <w:rsid w:val="00CD3229"/>
    <w:rsid w:val="00CF2148"/>
    <w:rsid w:val="00D03E98"/>
    <w:rsid w:val="00D066AB"/>
    <w:rsid w:val="00D12908"/>
    <w:rsid w:val="00D26D99"/>
    <w:rsid w:val="00D46F78"/>
    <w:rsid w:val="00D75DC8"/>
    <w:rsid w:val="00D94913"/>
    <w:rsid w:val="00DA4C11"/>
    <w:rsid w:val="00DA6FC4"/>
    <w:rsid w:val="00DC73CB"/>
    <w:rsid w:val="00E00E60"/>
    <w:rsid w:val="00E125FF"/>
    <w:rsid w:val="00E23363"/>
    <w:rsid w:val="00E37D22"/>
    <w:rsid w:val="00E447C2"/>
    <w:rsid w:val="00E455EC"/>
    <w:rsid w:val="00E66514"/>
    <w:rsid w:val="00E7462B"/>
    <w:rsid w:val="00E844F0"/>
    <w:rsid w:val="00EA7089"/>
    <w:rsid w:val="00EB6FDD"/>
    <w:rsid w:val="00EC60A9"/>
    <w:rsid w:val="00ED26A9"/>
    <w:rsid w:val="00ED3A65"/>
    <w:rsid w:val="00ED4456"/>
    <w:rsid w:val="00EF1D96"/>
    <w:rsid w:val="00EF6F43"/>
    <w:rsid w:val="00F10893"/>
    <w:rsid w:val="00F23330"/>
    <w:rsid w:val="00F25903"/>
    <w:rsid w:val="00F264AB"/>
    <w:rsid w:val="00F31F0C"/>
    <w:rsid w:val="00F42AA2"/>
    <w:rsid w:val="00F81D3E"/>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51CEF-7D89-4E48-B7E8-E9DEDF3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basedOn w:val="Normal"/>
    <w:uiPriority w:val="1"/>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 w:type="character" w:customStyle="1" w:styleId="Vnbnnidung4">
    <w:name w:val="Văn bản nội dung (4)_"/>
    <w:link w:val="Vnbnnidung40"/>
    <w:uiPriority w:val="99"/>
    <w:rsid w:val="00671851"/>
    <w:rPr>
      <w:i/>
      <w:iCs/>
      <w:sz w:val="26"/>
      <w:szCs w:val="26"/>
      <w:shd w:val="clear" w:color="auto" w:fill="FFFFFF"/>
    </w:rPr>
  </w:style>
  <w:style w:type="paragraph" w:customStyle="1" w:styleId="Vnbnnidung40">
    <w:name w:val="Văn bản nội dung (4)"/>
    <w:basedOn w:val="Normal"/>
    <w:link w:val="Vnbnnidung4"/>
    <w:uiPriority w:val="99"/>
    <w:rsid w:val="00671851"/>
    <w:pPr>
      <w:widowControl w:val="0"/>
      <w:shd w:val="clear" w:color="auto" w:fill="FFFFFF"/>
      <w:spacing w:before="360" w:after="720" w:line="240" w:lineRule="atLeast"/>
    </w:pPr>
    <w:rPr>
      <w:rFonts w:eastAsiaTheme="minorHAnsi" w:cstheme="minorBidi"/>
      <w:i/>
      <w:iCs/>
      <w:sz w:val="26"/>
      <w:szCs w:val="26"/>
    </w:rPr>
  </w:style>
  <w:style w:type="character" w:customStyle="1" w:styleId="Vnbnnidung3">
    <w:name w:val="Văn bản nội dung (3)_"/>
    <w:link w:val="Vnbnnidung30"/>
    <w:rsid w:val="00671851"/>
    <w:rPr>
      <w:szCs w:val="28"/>
      <w:shd w:val="clear" w:color="auto" w:fill="FFFFFF"/>
    </w:rPr>
  </w:style>
  <w:style w:type="paragraph" w:customStyle="1" w:styleId="Vnbnnidung30">
    <w:name w:val="Văn bản nội dung (3)"/>
    <w:basedOn w:val="Normal"/>
    <w:link w:val="Vnbnnidung3"/>
    <w:rsid w:val="00671851"/>
    <w:pPr>
      <w:widowControl w:val="0"/>
      <w:shd w:val="clear" w:color="auto" w:fill="FFFFFF"/>
      <w:spacing w:after="240" w:line="302" w:lineRule="exact"/>
      <w:jc w:val="center"/>
    </w:pPr>
    <w:rPr>
      <w:rFonts w:eastAsiaTheme="minorHAnsi" w:cstheme="minorBidi"/>
      <w:szCs w:val="28"/>
    </w:rPr>
  </w:style>
  <w:style w:type="paragraph" w:styleId="BodyTextIndent">
    <w:name w:val="Body Text Indent"/>
    <w:basedOn w:val="Normal"/>
    <w:link w:val="BodyTextIndentChar"/>
    <w:uiPriority w:val="99"/>
    <w:unhideWhenUsed/>
    <w:rsid w:val="00163C55"/>
    <w:pPr>
      <w:spacing w:after="120"/>
      <w:ind w:left="360"/>
    </w:pPr>
  </w:style>
  <w:style w:type="character" w:customStyle="1" w:styleId="BodyTextIndentChar">
    <w:name w:val="Body Text Indent Char"/>
    <w:basedOn w:val="DefaultParagraphFont"/>
    <w:link w:val="BodyTextIndent"/>
    <w:uiPriority w:val="99"/>
    <w:rsid w:val="00163C5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0DA9-047F-47EB-84D4-E804E3B6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cp:lastModifiedBy>
  <cp:revision>23</cp:revision>
  <cp:lastPrinted>2025-08-18T08:48:00Z</cp:lastPrinted>
  <dcterms:created xsi:type="dcterms:W3CDTF">2025-09-08T04:03:00Z</dcterms:created>
  <dcterms:modified xsi:type="dcterms:W3CDTF">2025-09-25T06:53:00Z</dcterms:modified>
</cp:coreProperties>
</file>