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AAD0" w14:textId="77777777" w:rsidR="00C71332" w:rsidRPr="00C71332" w:rsidRDefault="00C71332" w:rsidP="00C71332">
      <w:pPr>
        <w:pStyle w:val="Heading1"/>
        <w:spacing w:before="120" w:after="120"/>
        <w:ind w:firstLine="720"/>
        <w:rPr>
          <w:rFonts w:ascii="Times New Roman" w:hAnsi="Times New Roman" w:cs="Times New Roman"/>
          <w:b/>
          <w:bCs/>
          <w:color w:val="auto"/>
          <w:sz w:val="28"/>
          <w:szCs w:val="28"/>
        </w:rPr>
      </w:pPr>
      <w:r w:rsidRPr="00C71332">
        <w:rPr>
          <w:rFonts w:ascii="Times New Roman" w:hAnsi="Times New Roman" w:cs="Times New Roman"/>
          <w:b/>
          <w:bCs/>
          <w:color w:val="auto"/>
          <w:sz w:val="28"/>
          <w:szCs w:val="28"/>
        </w:rPr>
        <w:t>III. LĨNH VỰC BÁO CHÍ</w:t>
      </w:r>
    </w:p>
    <w:p w14:paraId="5145A156" w14:textId="77777777" w:rsidR="00C71332" w:rsidRPr="00C71332" w:rsidRDefault="00C71332" w:rsidP="00C71332">
      <w:pPr>
        <w:pStyle w:val="Heading1"/>
        <w:spacing w:before="120"/>
        <w:ind w:firstLine="720"/>
        <w:rPr>
          <w:rFonts w:ascii="Times New Roman" w:hAnsi="Times New Roman" w:cs="Times New Roman"/>
          <w:b/>
          <w:bCs/>
          <w:color w:val="auto"/>
          <w:sz w:val="28"/>
          <w:szCs w:val="28"/>
        </w:rPr>
      </w:pPr>
      <w:r w:rsidRPr="00C71332">
        <w:rPr>
          <w:rFonts w:ascii="Times New Roman" w:hAnsi="Times New Roman" w:cs="Times New Roman"/>
          <w:b/>
          <w:bCs/>
          <w:color w:val="auto"/>
          <w:sz w:val="28"/>
          <w:szCs w:val="28"/>
        </w:rPr>
        <w:t>3. Văn bản chấp thuận thay đổi nội dung ghi trong giấy phép xuất bản bản tin (1.009386).</w:t>
      </w:r>
    </w:p>
    <w:p w14:paraId="774B4DC9" w14:textId="77777777" w:rsidR="00C71332" w:rsidRPr="00C71332" w:rsidRDefault="00C71332" w:rsidP="00C71332">
      <w:pPr>
        <w:spacing w:before="120" w:after="120" w:line="276" w:lineRule="auto"/>
        <w:ind w:firstLine="720"/>
        <w:rPr>
          <w:b/>
          <w:i/>
          <w:sz w:val="28"/>
          <w:szCs w:val="28"/>
          <w:bdr w:val="none" w:sz="0" w:space="0" w:color="auto" w:frame="1"/>
          <w:lang w:val="vi"/>
        </w:rPr>
      </w:pPr>
      <w:r w:rsidRPr="00C71332">
        <w:rPr>
          <w:b/>
          <w:i/>
          <w:sz w:val="28"/>
          <w:szCs w:val="28"/>
          <w:bdr w:val="none" w:sz="0" w:space="0" w:color="auto" w:frame="1"/>
          <w:lang w:val="vi"/>
        </w:rPr>
        <w:t>* Trình tự thực hiện:</w:t>
      </w:r>
    </w:p>
    <w:p w14:paraId="1EF4074A" w14:textId="77777777" w:rsidR="00C71332" w:rsidRPr="00C71332" w:rsidRDefault="00C71332" w:rsidP="00C71332">
      <w:pPr>
        <w:spacing w:after="120"/>
        <w:ind w:firstLine="720"/>
        <w:jc w:val="both"/>
        <w:rPr>
          <w:rFonts w:eastAsia="Calibri"/>
          <w:i/>
          <w:iCs/>
          <w:sz w:val="28"/>
          <w:szCs w:val="28"/>
          <w:bdr w:val="none" w:sz="0" w:space="0" w:color="auto" w:frame="1"/>
          <w:lang w:val="vi"/>
        </w:rPr>
      </w:pPr>
      <w:r w:rsidRPr="00C71332">
        <w:rPr>
          <w:rFonts w:eastAsia="Calibri"/>
          <w:i/>
          <w:iCs/>
          <w:sz w:val="28"/>
          <w:szCs w:val="28"/>
          <w:bdr w:val="none" w:sz="0" w:space="0" w:color="auto" w:frame="1"/>
          <w:lang w:val="vi"/>
        </w:rPr>
        <w:t>- Trường hợp thay đổi nội dung ghi trong giấy phép xuất bản bản tin, cơ quan, tổ chức gửi văn bản đề nghị đến Sở Văn hóa, Thể thao và Du lịch.</w:t>
      </w:r>
    </w:p>
    <w:p w14:paraId="12C871AF" w14:textId="77777777" w:rsidR="00C71332" w:rsidRPr="00C71332" w:rsidRDefault="00C71332" w:rsidP="00C71332">
      <w:pPr>
        <w:spacing w:after="120"/>
        <w:ind w:firstLine="720"/>
        <w:jc w:val="both"/>
        <w:rPr>
          <w:rFonts w:eastAsia="Calibri"/>
          <w:sz w:val="28"/>
          <w:szCs w:val="28"/>
          <w:bdr w:val="none" w:sz="0" w:space="0" w:color="auto" w:frame="1"/>
          <w:lang w:val="vi"/>
        </w:rPr>
      </w:pPr>
      <w:r w:rsidRPr="00C71332">
        <w:rPr>
          <w:rFonts w:eastAsia="Calibri"/>
          <w:sz w:val="28"/>
          <w:szCs w:val="28"/>
          <w:bdr w:val="none" w:sz="0" w:space="0" w:color="auto" w:frame="1"/>
          <w:lang w:val="vi"/>
        </w:rPr>
        <w:t>- Trong thời hạn 7,5 ngày kể từ ngày nhận đủ hồ sơ hợp lệ, Sở Văn hóa, Thể thao và Du lịch có trách nhiệm xem xét giải quyết việc chấp thuận bằng văn bản; trường hợp không chấp thuận phải thông báo bằng văn bản và nêu rõ lý do.</w:t>
      </w:r>
    </w:p>
    <w:p w14:paraId="2EBE0B36" w14:textId="77777777" w:rsidR="00C71332" w:rsidRPr="00C71332" w:rsidRDefault="00C71332" w:rsidP="00C71332">
      <w:pPr>
        <w:spacing w:before="80" w:after="80"/>
        <w:ind w:firstLine="720"/>
        <w:jc w:val="both"/>
        <w:rPr>
          <w:b/>
          <w:i/>
          <w:sz w:val="28"/>
          <w:szCs w:val="28"/>
          <w:lang w:val="vi"/>
        </w:rPr>
      </w:pPr>
      <w:r w:rsidRPr="00C71332">
        <w:rPr>
          <w:b/>
          <w:i/>
          <w:sz w:val="28"/>
          <w:szCs w:val="28"/>
          <w:lang w:val="vi"/>
        </w:rPr>
        <w:t>* Cách thức thực hiện:</w:t>
      </w:r>
      <w:r w:rsidRPr="00C71332">
        <w:rPr>
          <w:sz w:val="28"/>
          <w:szCs w:val="28"/>
          <w:lang w:val="vi"/>
        </w:rPr>
        <w:t xml:space="preserve"> </w:t>
      </w:r>
      <w:r w:rsidRPr="00C71332">
        <w:rPr>
          <w:sz w:val="28"/>
          <w:lang w:val="vi"/>
        </w:rPr>
        <w:t>Nộp hồ sơ trực tiếp hoặc trực tuyến trên Cổng Dịch vụ công quốc gia; gửi qua dịch vụ bưu chính đến Trung tâm hành chính công (TTPVHCC) thành phố hoặc TTPVHCC xã, phường, đặc khu.</w:t>
      </w:r>
      <w:r w:rsidRPr="00C71332">
        <w:rPr>
          <w:b/>
          <w:i/>
          <w:sz w:val="28"/>
          <w:szCs w:val="28"/>
          <w:lang w:val="vi"/>
        </w:rPr>
        <w:tab/>
      </w:r>
    </w:p>
    <w:p w14:paraId="4BC0D8C7" w14:textId="77777777" w:rsidR="00C71332" w:rsidRPr="00C71332" w:rsidRDefault="00C71332" w:rsidP="00C71332">
      <w:pPr>
        <w:spacing w:before="80" w:after="80"/>
        <w:ind w:firstLine="720"/>
        <w:jc w:val="both"/>
        <w:rPr>
          <w:b/>
          <w:i/>
          <w:sz w:val="28"/>
          <w:szCs w:val="28"/>
          <w:lang w:val="vi"/>
        </w:rPr>
      </w:pPr>
      <w:r w:rsidRPr="00C71332">
        <w:rPr>
          <w:b/>
          <w:i/>
          <w:sz w:val="28"/>
          <w:szCs w:val="28"/>
          <w:lang w:val="vi"/>
        </w:rPr>
        <w:t>* Thành phần, số lượng hồ sơ:</w:t>
      </w:r>
    </w:p>
    <w:p w14:paraId="4049330B" w14:textId="77777777" w:rsidR="00C71332" w:rsidRPr="00C71332" w:rsidRDefault="00C71332" w:rsidP="00C71332">
      <w:pPr>
        <w:tabs>
          <w:tab w:val="left" w:pos="709"/>
        </w:tabs>
        <w:spacing w:before="120" w:after="120"/>
        <w:ind w:firstLine="540"/>
        <w:jc w:val="both"/>
        <w:rPr>
          <w:sz w:val="28"/>
          <w:szCs w:val="28"/>
          <w:lang w:val="nl-NL"/>
        </w:rPr>
      </w:pPr>
      <w:r w:rsidRPr="00C71332">
        <w:rPr>
          <w:sz w:val="28"/>
          <w:szCs w:val="28"/>
          <w:lang w:val="nl-NL"/>
        </w:rPr>
        <w:tab/>
        <w:t xml:space="preserve">- Thành phần hồ sơ: </w:t>
      </w:r>
    </w:p>
    <w:p w14:paraId="53380449" w14:textId="77777777" w:rsidR="00C71332" w:rsidRPr="00C71332" w:rsidRDefault="00C71332" w:rsidP="00C71332">
      <w:pPr>
        <w:spacing w:before="80" w:after="80"/>
        <w:ind w:firstLine="720"/>
        <w:jc w:val="both"/>
        <w:rPr>
          <w:sz w:val="28"/>
          <w:lang w:val="nl-NL"/>
        </w:rPr>
      </w:pPr>
      <w:r w:rsidRPr="00C71332">
        <w:rPr>
          <w:sz w:val="28"/>
          <w:lang w:val="nl-NL"/>
        </w:rPr>
        <w:t>(1) Văn bản đề nghị thay đổi của cơ quan, tổ chức;</w:t>
      </w:r>
    </w:p>
    <w:p w14:paraId="270955D0" w14:textId="77777777" w:rsidR="00C71332" w:rsidRPr="00C71332" w:rsidRDefault="00C71332" w:rsidP="00C71332">
      <w:pPr>
        <w:spacing w:before="80" w:after="80"/>
        <w:ind w:firstLine="720"/>
        <w:jc w:val="both"/>
        <w:rPr>
          <w:sz w:val="28"/>
          <w:lang w:val="nl-NL"/>
        </w:rPr>
      </w:pPr>
      <w:r w:rsidRPr="00C71332">
        <w:rPr>
          <w:sz w:val="28"/>
          <w:lang w:val="nl-NL"/>
        </w:rPr>
        <w:t>(2) Sơ yếu lý lịch của người chịu trách nhiệm xuất bản bản tin đối với trường hợp thay đổi người chịu trách nhiệm xuất bản bản tin;</w:t>
      </w:r>
    </w:p>
    <w:p w14:paraId="2C2DD89E" w14:textId="77777777" w:rsidR="00C71332" w:rsidRPr="00C71332" w:rsidRDefault="00C71332" w:rsidP="00C71332">
      <w:pPr>
        <w:spacing w:before="80" w:after="80"/>
        <w:ind w:firstLine="720"/>
        <w:jc w:val="both"/>
        <w:rPr>
          <w:sz w:val="28"/>
          <w:lang w:val="nl-NL"/>
        </w:rPr>
      </w:pPr>
      <w:r w:rsidRPr="00C71332">
        <w:rPr>
          <w:sz w:val="28"/>
          <w:lang w:val="nl-NL"/>
        </w:rPr>
        <w:t>(3) Mẫu trình bày tên gọi bản tin có xác nhận của cơ quan, tổ chức đề nghị cấp giấy phép và bản dịch tiếng Việt được công chứng đối với trường hợp thay đổi tên gọi bản tin thể hiện bằng tiếng nước ngoài.</w:t>
      </w:r>
    </w:p>
    <w:p w14:paraId="75DBE6E2" w14:textId="77777777" w:rsidR="00C71332" w:rsidRPr="00C71332" w:rsidRDefault="00C71332" w:rsidP="00C71332">
      <w:pPr>
        <w:spacing w:before="120" w:after="120"/>
        <w:jc w:val="both"/>
        <w:rPr>
          <w:sz w:val="28"/>
          <w:szCs w:val="28"/>
          <w:lang w:val="nl-NL"/>
        </w:rPr>
      </w:pPr>
      <w:r w:rsidRPr="00C71332">
        <w:rPr>
          <w:sz w:val="28"/>
          <w:szCs w:val="28"/>
          <w:lang w:val="nl-NL"/>
        </w:rPr>
        <w:tab/>
        <w:t>- Số lượng hồ sơ: 01 (bộ).</w:t>
      </w:r>
    </w:p>
    <w:p w14:paraId="103562DE" w14:textId="77777777" w:rsidR="00C71332" w:rsidRPr="00C71332" w:rsidRDefault="00C71332" w:rsidP="00C71332">
      <w:pPr>
        <w:pStyle w:val="ListParagraph"/>
        <w:tabs>
          <w:tab w:val="left" w:pos="993"/>
        </w:tabs>
        <w:spacing w:before="120" w:after="120"/>
        <w:ind w:left="709"/>
        <w:contextualSpacing w:val="0"/>
        <w:jc w:val="both"/>
        <w:rPr>
          <w:rFonts w:ascii="Times New Roman" w:hAnsi="Times New Roman" w:cs="Times New Roman"/>
          <w:sz w:val="28"/>
          <w:szCs w:val="28"/>
          <w:bdr w:val="none" w:sz="0" w:space="0" w:color="auto" w:frame="1"/>
          <w:lang w:val="nl-NL"/>
        </w:rPr>
      </w:pPr>
      <w:r w:rsidRPr="00C71332">
        <w:rPr>
          <w:rFonts w:ascii="Times New Roman" w:hAnsi="Times New Roman" w:cs="Times New Roman"/>
          <w:b/>
          <w:i/>
          <w:sz w:val="28"/>
          <w:szCs w:val="28"/>
          <w:bdr w:val="none" w:sz="0" w:space="0" w:color="auto" w:frame="1"/>
          <w:lang w:val="nl-NL"/>
        </w:rPr>
        <w:t>* Thời hạn giải quyết:</w:t>
      </w:r>
      <w:r w:rsidRPr="00C71332">
        <w:rPr>
          <w:rFonts w:ascii="Times New Roman" w:hAnsi="Times New Roman" w:cs="Times New Roman"/>
          <w:sz w:val="28"/>
          <w:szCs w:val="28"/>
          <w:bdr w:val="none" w:sz="0" w:space="0" w:color="auto" w:frame="1"/>
          <w:lang w:val="nl-NL"/>
        </w:rPr>
        <w:t xml:space="preserve"> 7,5 ngày kể từ ngày nhận đủ hồ sơ hợp lệ.</w:t>
      </w:r>
    </w:p>
    <w:p w14:paraId="6B1E8E60" w14:textId="77777777" w:rsidR="00C71332" w:rsidRPr="00C71332" w:rsidRDefault="00C71332" w:rsidP="00C71332">
      <w:pPr>
        <w:pStyle w:val="ListParagraph"/>
        <w:tabs>
          <w:tab w:val="left" w:pos="993"/>
        </w:tabs>
        <w:spacing w:before="120" w:after="120"/>
        <w:ind w:left="0" w:firstLine="709"/>
        <w:contextualSpacing w:val="0"/>
        <w:jc w:val="both"/>
        <w:rPr>
          <w:rFonts w:ascii="Times New Roman" w:hAnsi="Times New Roman" w:cs="Times New Roman"/>
          <w:sz w:val="28"/>
          <w:szCs w:val="28"/>
          <w:bdr w:val="none" w:sz="0" w:space="0" w:color="auto" w:frame="1"/>
          <w:lang w:val="nl-NL"/>
        </w:rPr>
      </w:pPr>
      <w:r w:rsidRPr="00C71332">
        <w:rPr>
          <w:rFonts w:ascii="Times New Roman" w:hAnsi="Times New Roman" w:cs="Times New Roman"/>
          <w:b/>
          <w:i/>
          <w:sz w:val="28"/>
          <w:szCs w:val="28"/>
          <w:bdr w:val="none" w:sz="0" w:space="0" w:color="auto" w:frame="1"/>
          <w:lang w:val="nl-NL"/>
        </w:rPr>
        <w:t>* Đối tượng thực hiện TTHC:</w:t>
      </w:r>
      <w:r w:rsidRPr="00C71332">
        <w:rPr>
          <w:rFonts w:ascii="Times New Roman" w:hAnsi="Times New Roman" w:cs="Times New Roman"/>
          <w:sz w:val="28"/>
          <w:szCs w:val="28"/>
          <w:bdr w:val="none" w:sz="0" w:space="0" w:color="auto" w:frame="1"/>
          <w:lang w:val="nl-NL"/>
        </w:rPr>
        <w:t xml:space="preserve"> Cơ quan, tổ chức.</w:t>
      </w:r>
    </w:p>
    <w:p w14:paraId="0E48EDC4" w14:textId="77777777" w:rsidR="00C71332" w:rsidRPr="00C71332" w:rsidRDefault="00C71332" w:rsidP="00C71332">
      <w:pPr>
        <w:pStyle w:val="ListParagraph"/>
        <w:tabs>
          <w:tab w:val="left" w:pos="993"/>
        </w:tabs>
        <w:spacing w:before="120" w:after="120"/>
        <w:ind w:left="709"/>
        <w:contextualSpacing w:val="0"/>
        <w:jc w:val="both"/>
        <w:rPr>
          <w:rFonts w:ascii="Times New Roman" w:hAnsi="Times New Roman" w:cs="Times New Roman"/>
          <w:b/>
          <w:i/>
          <w:sz w:val="28"/>
          <w:szCs w:val="28"/>
          <w:bdr w:val="none" w:sz="0" w:space="0" w:color="auto" w:frame="1"/>
          <w:lang w:val="nl-NL"/>
        </w:rPr>
      </w:pPr>
      <w:r w:rsidRPr="00C71332">
        <w:rPr>
          <w:rFonts w:ascii="Times New Roman" w:hAnsi="Times New Roman" w:cs="Times New Roman"/>
          <w:b/>
          <w:i/>
          <w:sz w:val="28"/>
          <w:szCs w:val="28"/>
          <w:bdr w:val="none" w:sz="0" w:space="0" w:color="auto" w:frame="1"/>
          <w:lang w:val="nl-NL"/>
        </w:rPr>
        <w:t>* Cơ quan thực hiện TTHC:</w:t>
      </w:r>
    </w:p>
    <w:p w14:paraId="1ED63978" w14:textId="77777777" w:rsidR="00C71332" w:rsidRPr="00C71332" w:rsidRDefault="00C71332" w:rsidP="00C71332">
      <w:pPr>
        <w:tabs>
          <w:tab w:val="left" w:pos="993"/>
        </w:tabs>
        <w:spacing w:before="120" w:after="120"/>
        <w:ind w:firstLine="709"/>
        <w:jc w:val="both"/>
        <w:rPr>
          <w:sz w:val="28"/>
          <w:szCs w:val="28"/>
          <w:bdr w:val="none" w:sz="0" w:space="0" w:color="auto" w:frame="1"/>
          <w:lang w:val="nl-NL"/>
        </w:rPr>
      </w:pPr>
      <w:r w:rsidRPr="00C71332">
        <w:rPr>
          <w:sz w:val="28"/>
          <w:szCs w:val="28"/>
          <w:shd w:val="clear" w:color="auto" w:fill="FFFFFF"/>
          <w:lang w:val="nl-NL"/>
        </w:rPr>
        <w:t xml:space="preserve">- Cơ quan có thẩm quyền quyết định: </w:t>
      </w:r>
      <w:r w:rsidRPr="00C71332">
        <w:rPr>
          <w:sz w:val="28"/>
          <w:szCs w:val="28"/>
          <w:lang w:val="nl-NL"/>
        </w:rPr>
        <w:t>Sở Văn hóa, Thể thao và Du lịch</w:t>
      </w:r>
    </w:p>
    <w:p w14:paraId="1B676C17" w14:textId="77777777" w:rsidR="00C71332" w:rsidRPr="00C71332" w:rsidRDefault="00C71332" w:rsidP="00C71332">
      <w:pPr>
        <w:spacing w:before="120" w:after="120"/>
        <w:ind w:firstLine="709"/>
        <w:jc w:val="both"/>
        <w:rPr>
          <w:spacing w:val="-2"/>
          <w:sz w:val="28"/>
          <w:szCs w:val="28"/>
          <w:shd w:val="clear" w:color="auto" w:fill="FFFFFF"/>
          <w:lang w:val="nl-NL"/>
        </w:rPr>
      </w:pPr>
      <w:r w:rsidRPr="00C71332">
        <w:rPr>
          <w:spacing w:val="-2"/>
          <w:sz w:val="28"/>
          <w:szCs w:val="28"/>
          <w:shd w:val="clear" w:color="auto" w:fill="FFFFFF"/>
          <w:lang w:val="nl-NL"/>
        </w:rPr>
        <w:t xml:space="preserve">- Cơ quan trực tiếp thực hiện TTHC: </w:t>
      </w:r>
      <w:r w:rsidRPr="00C71332">
        <w:rPr>
          <w:sz w:val="28"/>
          <w:szCs w:val="28"/>
          <w:lang w:val="nl-NL"/>
        </w:rPr>
        <w:t>Sở Văn hóa, Thể thao và Du lịch</w:t>
      </w:r>
    </w:p>
    <w:p w14:paraId="69AA6A5F" w14:textId="77777777" w:rsidR="00C71332" w:rsidRPr="00C71332" w:rsidRDefault="00C71332" w:rsidP="00C71332">
      <w:pPr>
        <w:spacing w:before="120" w:after="120"/>
        <w:ind w:firstLine="709"/>
        <w:jc w:val="both"/>
        <w:rPr>
          <w:b/>
          <w:i/>
          <w:sz w:val="28"/>
          <w:szCs w:val="28"/>
          <w:shd w:val="clear" w:color="auto" w:fill="FFFFFF"/>
          <w:lang w:val="nl-NL"/>
        </w:rPr>
      </w:pPr>
      <w:r w:rsidRPr="00C71332">
        <w:rPr>
          <w:b/>
          <w:i/>
          <w:sz w:val="28"/>
          <w:szCs w:val="28"/>
          <w:shd w:val="clear" w:color="auto" w:fill="FFFFFF"/>
          <w:lang w:val="nl-NL"/>
        </w:rPr>
        <w:t xml:space="preserve">* Mẫu đơn, tờ khai: </w:t>
      </w:r>
      <w:r w:rsidRPr="00C71332">
        <w:rPr>
          <w:sz w:val="28"/>
          <w:lang w:val="nl-NL"/>
        </w:rPr>
        <w:t>Không quy định.</w:t>
      </w:r>
    </w:p>
    <w:p w14:paraId="49BFAB4F" w14:textId="77777777" w:rsidR="00C71332" w:rsidRPr="00C71332" w:rsidRDefault="00C71332" w:rsidP="00C71332">
      <w:pPr>
        <w:spacing w:before="120" w:after="120"/>
        <w:ind w:firstLine="709"/>
        <w:jc w:val="both"/>
        <w:rPr>
          <w:sz w:val="28"/>
          <w:szCs w:val="28"/>
          <w:bdr w:val="none" w:sz="0" w:space="0" w:color="auto" w:frame="1"/>
          <w:lang w:val="nl-NL"/>
        </w:rPr>
      </w:pPr>
      <w:r w:rsidRPr="00C71332">
        <w:rPr>
          <w:b/>
          <w:i/>
          <w:sz w:val="28"/>
          <w:szCs w:val="28"/>
          <w:shd w:val="clear" w:color="auto" w:fill="FFFFFF"/>
          <w:lang w:val="nl-NL"/>
        </w:rPr>
        <w:t xml:space="preserve">* </w:t>
      </w:r>
      <w:r w:rsidRPr="00C71332">
        <w:rPr>
          <w:b/>
          <w:i/>
          <w:sz w:val="28"/>
          <w:szCs w:val="28"/>
          <w:bdr w:val="none" w:sz="0" w:space="0" w:color="auto" w:frame="1"/>
          <w:lang w:val="nl-NL"/>
        </w:rPr>
        <w:t>Kết quả thực hiện TTHC:</w:t>
      </w:r>
      <w:r w:rsidRPr="00C71332">
        <w:rPr>
          <w:sz w:val="28"/>
          <w:szCs w:val="28"/>
          <w:bdr w:val="none" w:sz="0" w:space="0" w:color="auto" w:frame="1"/>
          <w:lang w:val="nl-NL"/>
        </w:rPr>
        <w:t xml:space="preserve"> </w:t>
      </w:r>
      <w:r w:rsidRPr="00C71332">
        <w:rPr>
          <w:sz w:val="28"/>
          <w:lang w:val="nl-NL"/>
        </w:rPr>
        <w:t>Văn bản chấp thuận.</w:t>
      </w:r>
    </w:p>
    <w:p w14:paraId="591BC5A6" w14:textId="77777777" w:rsidR="00C71332" w:rsidRPr="00C71332" w:rsidRDefault="00C71332" w:rsidP="00C71332">
      <w:pPr>
        <w:tabs>
          <w:tab w:val="left" w:pos="993"/>
        </w:tabs>
        <w:spacing w:before="120" w:after="120"/>
        <w:ind w:left="709"/>
        <w:jc w:val="both"/>
        <w:rPr>
          <w:sz w:val="28"/>
          <w:szCs w:val="28"/>
          <w:bdr w:val="none" w:sz="0" w:space="0" w:color="auto" w:frame="1"/>
          <w:lang w:val="nl-NL"/>
        </w:rPr>
      </w:pPr>
      <w:r w:rsidRPr="00C71332">
        <w:rPr>
          <w:b/>
          <w:i/>
          <w:sz w:val="28"/>
          <w:szCs w:val="28"/>
          <w:bdr w:val="none" w:sz="0" w:space="0" w:color="auto" w:frame="1"/>
          <w:lang w:val="nl-NL"/>
        </w:rPr>
        <w:t>* Phí, lệ phí:</w:t>
      </w:r>
      <w:r w:rsidRPr="00C71332">
        <w:rPr>
          <w:sz w:val="28"/>
          <w:szCs w:val="28"/>
          <w:bdr w:val="none" w:sz="0" w:space="0" w:color="auto" w:frame="1"/>
          <w:lang w:val="nl-NL"/>
        </w:rPr>
        <w:t xml:space="preserve"> Không quy định.</w:t>
      </w:r>
    </w:p>
    <w:p w14:paraId="197A43E1" w14:textId="77777777" w:rsidR="00C71332" w:rsidRPr="00C71332" w:rsidRDefault="00C71332" w:rsidP="00C71332">
      <w:pPr>
        <w:spacing w:before="120" w:after="120"/>
        <w:ind w:firstLine="709"/>
        <w:jc w:val="both"/>
        <w:rPr>
          <w:sz w:val="28"/>
          <w:szCs w:val="28"/>
          <w:bdr w:val="none" w:sz="0" w:space="0" w:color="auto" w:frame="1"/>
          <w:lang w:val="nl-NL"/>
        </w:rPr>
      </w:pPr>
      <w:r w:rsidRPr="00C71332">
        <w:rPr>
          <w:b/>
          <w:i/>
          <w:sz w:val="28"/>
          <w:szCs w:val="28"/>
          <w:bdr w:val="none" w:sz="0" w:space="0" w:color="auto" w:frame="1"/>
          <w:lang w:val="nl-NL"/>
        </w:rPr>
        <w:t>* Yêu cầu, điều kiện:</w:t>
      </w:r>
      <w:r w:rsidRPr="00C71332">
        <w:rPr>
          <w:sz w:val="28"/>
          <w:szCs w:val="28"/>
          <w:bdr w:val="none" w:sz="0" w:space="0" w:color="auto" w:frame="1"/>
          <w:lang w:val="nl-NL"/>
        </w:rPr>
        <w:t xml:space="preserve"> Không quy định.</w:t>
      </w:r>
    </w:p>
    <w:p w14:paraId="028AC8A9" w14:textId="77777777" w:rsidR="00C71332" w:rsidRPr="00C71332" w:rsidRDefault="00C71332" w:rsidP="00C71332">
      <w:pPr>
        <w:tabs>
          <w:tab w:val="left" w:pos="993"/>
        </w:tabs>
        <w:spacing w:before="120" w:after="120"/>
        <w:ind w:left="709"/>
        <w:jc w:val="both"/>
        <w:rPr>
          <w:b/>
          <w:i/>
          <w:sz w:val="28"/>
          <w:szCs w:val="28"/>
          <w:bdr w:val="none" w:sz="0" w:space="0" w:color="auto" w:frame="1"/>
          <w:lang w:val="nl-NL"/>
        </w:rPr>
      </w:pPr>
      <w:r w:rsidRPr="00C71332">
        <w:rPr>
          <w:b/>
          <w:i/>
          <w:sz w:val="28"/>
          <w:szCs w:val="28"/>
          <w:bdr w:val="none" w:sz="0" w:space="0" w:color="auto" w:frame="1"/>
          <w:lang w:val="nl-NL"/>
        </w:rPr>
        <w:t>* Căn cứ pháp lý của TTHC:</w:t>
      </w:r>
    </w:p>
    <w:p w14:paraId="2140BE88" w14:textId="77777777" w:rsidR="00C71332" w:rsidRPr="00C71332" w:rsidRDefault="00C71332" w:rsidP="00C71332">
      <w:pPr>
        <w:spacing w:before="80" w:after="80"/>
        <w:jc w:val="both"/>
        <w:rPr>
          <w:sz w:val="28"/>
          <w:lang w:val="nl-NL"/>
        </w:rPr>
      </w:pPr>
      <w:r w:rsidRPr="00C71332">
        <w:rPr>
          <w:sz w:val="28"/>
          <w:szCs w:val="28"/>
          <w:bdr w:val="none" w:sz="0" w:space="0" w:color="auto" w:frame="1"/>
          <w:lang w:val="nl-NL"/>
        </w:rPr>
        <w:lastRenderedPageBreak/>
        <w:tab/>
      </w:r>
      <w:r w:rsidRPr="00C71332">
        <w:rPr>
          <w:sz w:val="28"/>
          <w:lang w:val="nl-NL"/>
        </w:rPr>
        <w:t xml:space="preserve">- </w:t>
      </w:r>
      <w:r w:rsidRPr="00C71332">
        <w:rPr>
          <w:sz w:val="28"/>
          <w:szCs w:val="28"/>
          <w:shd w:val="clear" w:color="auto" w:fill="FFFFFF"/>
          <w:lang w:val="nl-NL"/>
        </w:rPr>
        <w:t>Luật Báo chí số 126/2025/QH15 ngày 10 tháng 12 năm 2025.</w:t>
      </w:r>
    </w:p>
    <w:p w14:paraId="4BDA37A8" w14:textId="77777777" w:rsidR="00C71332" w:rsidRPr="00C71332" w:rsidRDefault="00C71332" w:rsidP="00C71332">
      <w:pPr>
        <w:spacing w:before="80" w:after="80"/>
        <w:ind w:firstLine="720"/>
        <w:jc w:val="both"/>
        <w:rPr>
          <w:sz w:val="28"/>
          <w:lang w:val="nl-NL"/>
        </w:rPr>
      </w:pPr>
      <w:r w:rsidRPr="00C71332">
        <w:rPr>
          <w:sz w:val="28"/>
          <w:lang w:val="nl-NL"/>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0D96071E" w14:textId="77777777" w:rsidR="00C71332" w:rsidRPr="00C71332" w:rsidRDefault="00C71332" w:rsidP="00C71332">
      <w:pPr>
        <w:spacing w:before="120" w:line="252" w:lineRule="auto"/>
        <w:ind w:firstLine="720"/>
        <w:jc w:val="both"/>
        <w:rPr>
          <w:rFonts w:eastAsia="Calibri"/>
          <w:i/>
          <w:iCs/>
          <w:sz w:val="28"/>
          <w:szCs w:val="26"/>
          <w:lang w:val="vi-VN"/>
        </w:rPr>
      </w:pPr>
      <w:r w:rsidRPr="00C71332">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4F9BD0A1" w14:textId="77777777" w:rsidR="00C71332" w:rsidRPr="00C71332" w:rsidRDefault="00C71332" w:rsidP="00C71332">
      <w:pPr>
        <w:ind w:firstLine="720"/>
        <w:rPr>
          <w:lang w:val="nl-NL"/>
        </w:rPr>
      </w:pPr>
    </w:p>
    <w:p w14:paraId="1B8E0CF5" w14:textId="3CBB1856" w:rsidR="00273510" w:rsidRPr="00C71332" w:rsidRDefault="00C71332" w:rsidP="00C71332">
      <w:pPr>
        <w:spacing w:before="60" w:after="60"/>
        <w:ind w:firstLine="709"/>
        <w:jc w:val="both"/>
      </w:pPr>
      <w:r w:rsidRPr="00C71332">
        <w:rPr>
          <w:i/>
          <w:iCs/>
          <w:sz w:val="28"/>
          <w:lang w:val="vi"/>
        </w:rPr>
        <w:t>Phần chữ thường, in nghiêng là nội dung được sửa đổi, bổ sung</w:t>
      </w:r>
    </w:p>
    <w:sectPr w:rsidR="00273510" w:rsidRPr="00C713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32"/>
    <w:rsid w:val="00181C29"/>
    <w:rsid w:val="00273510"/>
    <w:rsid w:val="00275F9A"/>
    <w:rsid w:val="00BE5B7B"/>
    <w:rsid w:val="00C71332"/>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EA4B"/>
  <w15:chartTrackingRefBased/>
  <w15:docId w15:val="{BF1146EA-386C-4242-83FC-46C264F1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33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7133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133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133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133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7133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7133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7133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7133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7133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3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3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3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3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3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332"/>
    <w:rPr>
      <w:rFonts w:eastAsiaTheme="majorEastAsia" w:cstheme="majorBidi"/>
      <w:color w:val="272727" w:themeColor="text1" w:themeTint="D8"/>
    </w:rPr>
  </w:style>
  <w:style w:type="paragraph" w:styleId="Title">
    <w:name w:val="Title"/>
    <w:basedOn w:val="Normal"/>
    <w:next w:val="Normal"/>
    <w:link w:val="TitleChar"/>
    <w:uiPriority w:val="10"/>
    <w:qFormat/>
    <w:rsid w:val="00C713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1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3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1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33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71332"/>
    <w:rPr>
      <w:i/>
      <w:iCs/>
      <w:color w:val="404040" w:themeColor="text1" w:themeTint="BF"/>
    </w:rPr>
  </w:style>
  <w:style w:type="paragraph" w:styleId="ListParagraph">
    <w:name w:val="List Paragraph"/>
    <w:basedOn w:val="Normal"/>
    <w:uiPriority w:val="34"/>
    <w:qFormat/>
    <w:rsid w:val="00C7133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71332"/>
    <w:rPr>
      <w:i/>
      <w:iCs/>
      <w:color w:val="2F5496" w:themeColor="accent1" w:themeShade="BF"/>
    </w:rPr>
  </w:style>
  <w:style w:type="paragraph" w:styleId="IntenseQuote">
    <w:name w:val="Intense Quote"/>
    <w:basedOn w:val="Normal"/>
    <w:next w:val="Normal"/>
    <w:link w:val="IntenseQuoteChar"/>
    <w:uiPriority w:val="30"/>
    <w:qFormat/>
    <w:rsid w:val="00C7133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71332"/>
    <w:rPr>
      <w:i/>
      <w:iCs/>
      <w:color w:val="2F5496" w:themeColor="accent1" w:themeShade="BF"/>
    </w:rPr>
  </w:style>
  <w:style w:type="character" w:styleId="IntenseReference">
    <w:name w:val="Intense Reference"/>
    <w:basedOn w:val="DefaultParagraphFont"/>
    <w:uiPriority w:val="32"/>
    <w:qFormat/>
    <w:rsid w:val="00C713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2026-06-04T02:56:00Z</dcterms:created>
  <dcterms:modified xsi:type="dcterms:W3CDTF">2026-06-04T03:04:00Z</dcterms:modified>
</cp:coreProperties>
</file>