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4C" w:rsidRPr="00B3604C" w:rsidRDefault="00B3604C" w:rsidP="00173BEA">
      <w:pPr>
        <w:spacing w:after="0" w:line="36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 xml:space="preserve">QUY ĐỊNH </w:t>
      </w:r>
    </w:p>
    <w:p w:rsidR="00B3604C" w:rsidRPr="00B3604C" w:rsidRDefault="00B3604C" w:rsidP="00173BEA">
      <w:pPr>
        <w:spacing w:after="0" w:line="36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 xml:space="preserve">CÁCH THỨC, TIÊU CHÍ ĐÁNH GIÁ, THANG BẢNG ĐIỂM </w:t>
      </w:r>
    </w:p>
    <w:p w:rsidR="00B3604C" w:rsidRPr="00B3604C" w:rsidRDefault="00B3604C" w:rsidP="00173BEA">
      <w:pPr>
        <w:spacing w:after="0" w:line="36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HỒ SƠ LỰA CHỌN LUẬT SƯ</w:t>
      </w:r>
    </w:p>
    <w:p w:rsidR="00B3604C" w:rsidRPr="00B3604C" w:rsidRDefault="00173BEA" w:rsidP="00B3604C">
      <w:pPr>
        <w:spacing w:after="0" w:line="400" w:lineRule="exact"/>
        <w:ind w:firstLine="720"/>
        <w:jc w:val="center"/>
        <w:rPr>
          <w:rFonts w:ascii="Times New Roman" w:eastAsia="Times New Roman" w:hAnsi="Times New Roman" w:cs="Times New Roman"/>
          <w:i/>
          <w:iCs/>
          <w:sz w:val="28"/>
          <w:szCs w:val="28"/>
          <w:lang w:val="nl-NL"/>
        </w:rPr>
      </w:pPr>
      <w:r>
        <w:rPr>
          <w:rFonts w:ascii="Times New Roman" w:eastAsia="Times New Roman" w:hAnsi="Times New Roman" w:cs="Times New Roman"/>
          <w:i/>
          <w:iCs/>
          <w:sz w:val="28"/>
          <w:szCs w:val="28"/>
          <w:lang w:val="nl-NL"/>
        </w:rPr>
        <w:t>(</w:t>
      </w:r>
      <w:r w:rsidR="00B3604C" w:rsidRPr="00B3604C">
        <w:rPr>
          <w:rFonts w:ascii="Times New Roman" w:eastAsia="Times New Roman" w:hAnsi="Times New Roman" w:cs="Times New Roman"/>
          <w:i/>
          <w:iCs/>
          <w:sz w:val="28"/>
          <w:szCs w:val="28"/>
          <w:lang w:val="nl-NL"/>
        </w:rPr>
        <w:t>Ban hành kèm theo Quyết định số</w:t>
      </w:r>
      <w:r w:rsidR="006D5D19">
        <w:rPr>
          <w:rFonts w:ascii="Times New Roman" w:eastAsia="Times New Roman" w:hAnsi="Times New Roman" w:cs="Times New Roman"/>
          <w:i/>
          <w:iCs/>
          <w:sz w:val="28"/>
          <w:szCs w:val="28"/>
          <w:lang w:val="nl-NL"/>
        </w:rPr>
        <w:t xml:space="preserve"> 232</w:t>
      </w:r>
      <w:r w:rsidR="00B3604C" w:rsidRPr="00B3604C">
        <w:rPr>
          <w:rFonts w:ascii="Times New Roman" w:eastAsia="Times New Roman" w:hAnsi="Times New Roman" w:cs="Times New Roman"/>
          <w:i/>
          <w:iCs/>
          <w:sz w:val="28"/>
          <w:szCs w:val="28"/>
          <w:lang w:val="nl-NL"/>
        </w:rPr>
        <w:t xml:space="preserve">/QĐ-TGPL ngày </w:t>
      </w:r>
      <w:r w:rsidR="006D5D19">
        <w:rPr>
          <w:rFonts w:ascii="Times New Roman" w:eastAsia="Times New Roman" w:hAnsi="Times New Roman" w:cs="Times New Roman"/>
          <w:i/>
          <w:iCs/>
          <w:sz w:val="28"/>
          <w:szCs w:val="28"/>
          <w:lang w:val="nl-NL"/>
        </w:rPr>
        <w:t xml:space="preserve">08 </w:t>
      </w:r>
      <w:r w:rsidR="00B3604C" w:rsidRPr="00B3604C">
        <w:rPr>
          <w:rFonts w:ascii="Times New Roman" w:eastAsia="Times New Roman" w:hAnsi="Times New Roman" w:cs="Times New Roman"/>
          <w:i/>
          <w:iCs/>
          <w:sz w:val="28"/>
          <w:szCs w:val="28"/>
          <w:lang w:val="nl-NL"/>
        </w:rPr>
        <w:t xml:space="preserve"> tháng</w:t>
      </w:r>
      <w:r w:rsidR="006D5D19">
        <w:rPr>
          <w:rFonts w:ascii="Times New Roman" w:eastAsia="Times New Roman" w:hAnsi="Times New Roman" w:cs="Times New Roman"/>
          <w:i/>
          <w:iCs/>
          <w:sz w:val="28"/>
          <w:szCs w:val="28"/>
          <w:lang w:val="nl-NL"/>
        </w:rPr>
        <w:t xml:space="preserve"> 4</w:t>
      </w:r>
      <w:r w:rsidR="00B3604C" w:rsidRPr="00B3604C">
        <w:rPr>
          <w:rFonts w:ascii="Times New Roman" w:eastAsia="Times New Roman" w:hAnsi="Times New Roman" w:cs="Times New Roman"/>
          <w:i/>
          <w:iCs/>
          <w:sz w:val="28"/>
          <w:szCs w:val="28"/>
          <w:lang w:val="nl-NL"/>
        </w:rPr>
        <w:t xml:space="preserve"> năm 2026 của Trung tâm Trợ giúp pháp lỷ Nhà nước thành phố Hải Phòng)</w:t>
      </w:r>
    </w:p>
    <w:p w:rsidR="00B3604C" w:rsidRPr="00B3604C" w:rsidRDefault="00B3604C" w:rsidP="00B3604C">
      <w:pPr>
        <w:spacing w:after="0" w:line="400" w:lineRule="exact"/>
        <w:ind w:firstLine="720"/>
        <w:jc w:val="center"/>
        <w:rPr>
          <w:rFonts w:ascii="Times New Roman" w:eastAsia="Times New Roman" w:hAnsi="Times New Roman" w:cs="Times New Roman"/>
          <w:i/>
          <w:iCs/>
          <w:sz w:val="28"/>
          <w:szCs w:val="28"/>
          <w:lang w:val="nl-NL"/>
        </w:rPr>
      </w:pPr>
      <w:r>
        <w:rPr>
          <w:rFonts w:ascii="Times New Roman" w:eastAsia="Times New Roman" w:hAnsi="Times New Roman" w:cs="Times New Roman"/>
          <w:i/>
          <w:iCs/>
          <w:noProof/>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2143226</wp:posOffset>
                </wp:positionH>
                <wp:positionV relativeFrom="paragraph">
                  <wp:posOffset>71755</wp:posOffset>
                </wp:positionV>
                <wp:extent cx="1635125" cy="14605"/>
                <wp:effectExtent l="0" t="0" r="22225"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512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5.65pt" to="29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"/>
            </w:pict>
          </mc:Fallback>
        </mc:AlternateConten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b/>
          <w:bCs/>
          <w:sz w:val="28"/>
          <w:szCs w:val="28"/>
          <w:lang w:val="nl-NL"/>
        </w:rPr>
        <w:t>1. Cách thức đánh giá hồ sơ lựa chọn luật sư:</w:t>
      </w:r>
      <w:bookmarkStart w:id="0" w:name="_GoBack"/>
      <w:bookmarkEnd w:id="0"/>
      <w:r w:rsidRPr="00B3604C">
        <w:rPr>
          <w:rFonts w:ascii="Times New Roman" w:eastAsia="Times New Roman" w:hAnsi="Times New Roman" w:cs="Times New Roman"/>
          <w:sz w:val="28"/>
          <w:szCs w:val="28"/>
          <w:lang w:val="nl-NL"/>
        </w:rPr>
        <w:t xml:space="preserve"> </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 xml:space="preserve">Việc đánh giá được tiến hành qua 02 bước, bao gồm: </w:t>
      </w:r>
    </w:p>
    <w:p w:rsidR="00B3604C" w:rsidRPr="00B3604C" w:rsidRDefault="00B3604C" w:rsidP="00B3604C">
      <w:pPr>
        <w:spacing w:after="0" w:line="400" w:lineRule="exact"/>
        <w:ind w:firstLine="720"/>
        <w:jc w:val="both"/>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 xml:space="preserve">Bước 1: Đánh giá tính hợp lệ của hồ sơ. </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Tổ đánh giá hồ sơ lựa chọn Luật sư (gọi tắt là Tổ đánh giá Luật sư) sử dụng tiêu chí đạt hoặc không đạt để đánh giá.</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 Hồ sơ đạt yêu cầu: Các hồ sơ nộp đầy đủ thành phần hồ sơ và đúng thời hạn theo Thông báo số</w:t>
      </w:r>
      <w:r w:rsidR="00897ED2">
        <w:rPr>
          <w:rFonts w:ascii="Times New Roman" w:eastAsia="Times New Roman" w:hAnsi="Times New Roman" w:cs="Times New Roman"/>
          <w:sz w:val="28"/>
          <w:szCs w:val="28"/>
          <w:lang w:val="nl-NL"/>
        </w:rPr>
        <w:t xml:space="preserve"> </w:t>
      </w:r>
      <w:r w:rsidR="002431A3">
        <w:rPr>
          <w:rFonts w:ascii="Times New Roman" w:eastAsia="Times New Roman" w:hAnsi="Times New Roman" w:cs="Times New Roman"/>
          <w:sz w:val="28"/>
          <w:szCs w:val="28"/>
          <w:lang w:val="nl-NL"/>
        </w:rPr>
        <w:t xml:space="preserve">84/TB-TGPL </w:t>
      </w:r>
      <w:r w:rsidRPr="00B3604C">
        <w:rPr>
          <w:rFonts w:ascii="Times New Roman" w:eastAsia="Times New Roman" w:hAnsi="Times New Roman" w:cs="Times New Roman"/>
          <w:sz w:val="28"/>
          <w:szCs w:val="28"/>
          <w:lang w:val="nl-NL"/>
        </w:rPr>
        <w:t xml:space="preserve">ngày </w:t>
      </w:r>
      <w:r w:rsidR="006D5D19">
        <w:rPr>
          <w:rFonts w:ascii="Times New Roman" w:eastAsia="Times New Roman" w:hAnsi="Times New Roman" w:cs="Times New Roman"/>
          <w:sz w:val="28"/>
          <w:szCs w:val="28"/>
          <w:lang w:val="nl-NL"/>
        </w:rPr>
        <w:t xml:space="preserve">08 </w:t>
      </w:r>
      <w:r w:rsidRPr="00B3604C">
        <w:rPr>
          <w:rFonts w:ascii="Times New Roman" w:eastAsia="Times New Roman" w:hAnsi="Times New Roman" w:cs="Times New Roman"/>
          <w:sz w:val="28"/>
          <w:szCs w:val="28"/>
          <w:lang w:val="nl-NL"/>
        </w:rPr>
        <w:t>tháng</w:t>
      </w:r>
      <w:r w:rsidR="006D5D19">
        <w:rPr>
          <w:rFonts w:ascii="Times New Roman" w:eastAsia="Times New Roman" w:hAnsi="Times New Roman" w:cs="Times New Roman"/>
          <w:sz w:val="28"/>
          <w:szCs w:val="28"/>
          <w:lang w:val="nl-NL"/>
        </w:rPr>
        <w:t xml:space="preserve"> 4 </w:t>
      </w:r>
      <w:r w:rsidRPr="00B3604C">
        <w:rPr>
          <w:rFonts w:ascii="Times New Roman" w:eastAsia="Times New Roman" w:hAnsi="Times New Roman" w:cs="Times New Roman"/>
          <w:sz w:val="28"/>
          <w:szCs w:val="28"/>
          <w:lang w:val="nl-NL"/>
        </w:rPr>
        <w:t>năm</w:t>
      </w:r>
      <w:r w:rsidR="00897ED2">
        <w:rPr>
          <w:rFonts w:ascii="Times New Roman" w:eastAsia="Times New Roman" w:hAnsi="Times New Roman" w:cs="Times New Roman"/>
          <w:sz w:val="28"/>
          <w:szCs w:val="28"/>
          <w:lang w:val="nl-NL"/>
        </w:rPr>
        <w:t xml:space="preserve"> 2026</w:t>
      </w:r>
      <w:r w:rsidRPr="00B3604C">
        <w:rPr>
          <w:rFonts w:ascii="Times New Roman" w:eastAsia="Times New Roman" w:hAnsi="Times New Roman" w:cs="Times New Roman"/>
          <w:sz w:val="28"/>
          <w:szCs w:val="28"/>
          <w:lang w:val="nl-NL"/>
        </w:rPr>
        <w:t xml:space="preserve"> của Trung tâm Trợ giúp pháp lý nhà nước thành phố Hải Phòng.</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 Hồ sơ không đạt yêu cầu: Các hồ sơ nộp không đầy đủ thành phần hồ sơ hoặc không đúng thời hạn theo Thông báo số</w:t>
      </w:r>
      <w:r w:rsidR="002431A3">
        <w:rPr>
          <w:rFonts w:ascii="Times New Roman" w:eastAsia="Times New Roman" w:hAnsi="Times New Roman" w:cs="Times New Roman"/>
          <w:sz w:val="28"/>
          <w:szCs w:val="28"/>
          <w:lang w:val="nl-NL"/>
        </w:rPr>
        <w:t xml:space="preserve"> 84/TB-TGPL</w:t>
      </w:r>
      <w:r w:rsidR="006D5D19">
        <w:rPr>
          <w:rFonts w:ascii="Times New Roman" w:eastAsia="Times New Roman" w:hAnsi="Times New Roman" w:cs="Times New Roman"/>
          <w:sz w:val="28"/>
          <w:szCs w:val="28"/>
          <w:lang w:val="nl-NL"/>
        </w:rPr>
        <w:t xml:space="preserve"> </w:t>
      </w:r>
      <w:r w:rsidRPr="00B3604C">
        <w:rPr>
          <w:rFonts w:ascii="Times New Roman" w:eastAsia="Times New Roman" w:hAnsi="Times New Roman" w:cs="Times New Roman"/>
          <w:sz w:val="28"/>
          <w:szCs w:val="28"/>
          <w:lang w:val="nl-NL"/>
        </w:rPr>
        <w:t xml:space="preserve">ngày </w:t>
      </w:r>
      <w:r w:rsidR="006D5D19">
        <w:rPr>
          <w:rFonts w:ascii="Times New Roman" w:eastAsia="Times New Roman" w:hAnsi="Times New Roman" w:cs="Times New Roman"/>
          <w:sz w:val="28"/>
          <w:szCs w:val="28"/>
          <w:lang w:val="nl-NL"/>
        </w:rPr>
        <w:t>08</w:t>
      </w:r>
      <w:r w:rsidRPr="00B3604C">
        <w:rPr>
          <w:rFonts w:ascii="Times New Roman" w:eastAsia="Times New Roman" w:hAnsi="Times New Roman" w:cs="Times New Roman"/>
          <w:sz w:val="28"/>
          <w:szCs w:val="28"/>
          <w:lang w:val="nl-NL"/>
        </w:rPr>
        <w:t xml:space="preserve"> tháng </w:t>
      </w:r>
      <w:r w:rsidR="006D5D19">
        <w:rPr>
          <w:rFonts w:ascii="Times New Roman" w:eastAsia="Times New Roman" w:hAnsi="Times New Roman" w:cs="Times New Roman"/>
          <w:sz w:val="28"/>
          <w:szCs w:val="28"/>
          <w:lang w:val="nl-NL"/>
        </w:rPr>
        <w:t>4</w:t>
      </w:r>
      <w:r w:rsidRPr="00B3604C">
        <w:rPr>
          <w:rFonts w:ascii="Times New Roman" w:eastAsia="Times New Roman" w:hAnsi="Times New Roman" w:cs="Times New Roman"/>
          <w:sz w:val="28"/>
          <w:szCs w:val="28"/>
          <w:lang w:val="nl-NL"/>
        </w:rPr>
        <w:t xml:space="preserve"> năm</w:t>
      </w:r>
      <w:r w:rsidR="00897ED2">
        <w:rPr>
          <w:rFonts w:ascii="Times New Roman" w:eastAsia="Times New Roman" w:hAnsi="Times New Roman" w:cs="Times New Roman"/>
          <w:sz w:val="28"/>
          <w:szCs w:val="28"/>
          <w:lang w:val="nl-NL"/>
        </w:rPr>
        <w:t xml:space="preserve"> 2026</w:t>
      </w:r>
      <w:r w:rsidRPr="00B3604C">
        <w:rPr>
          <w:rFonts w:ascii="Times New Roman" w:eastAsia="Times New Roman" w:hAnsi="Times New Roman" w:cs="Times New Roman"/>
          <w:sz w:val="28"/>
          <w:szCs w:val="28"/>
          <w:lang w:val="nl-NL"/>
        </w:rPr>
        <w:t xml:space="preserve"> của Trung tâm Trợ giúp pháp lý nhà nước thành phố Hải Phòng. </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b/>
          <w:bCs/>
          <w:sz w:val="28"/>
          <w:szCs w:val="28"/>
          <w:u w:val="single"/>
          <w:lang w:val="nl-NL"/>
        </w:rPr>
        <w:t>Lưu ý</w:t>
      </w:r>
      <w:r w:rsidRPr="00B3604C">
        <w:rPr>
          <w:rFonts w:ascii="Times New Roman" w:eastAsia="Times New Roman" w:hAnsi="Times New Roman" w:cs="Times New Roman"/>
          <w:sz w:val="28"/>
          <w:szCs w:val="28"/>
          <w:lang w:val="nl-NL"/>
        </w:rPr>
        <w:t xml:space="preserve">: Chỉ những hồ sơ được đánh giá là đạt yêu cầu ở Bước 1 mới tiếp tục được đánh giá ở Bước 2. </w:t>
      </w:r>
    </w:p>
    <w:p w:rsidR="00B3604C" w:rsidRPr="00B3604C" w:rsidRDefault="00B3604C" w:rsidP="00B3604C">
      <w:pPr>
        <w:spacing w:after="0" w:line="400" w:lineRule="exact"/>
        <w:ind w:firstLine="720"/>
        <w:jc w:val="both"/>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Bước 2: Đánh giá mức độ đáp ứng nhu cầu trợ giúp pháp lý.</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 xml:space="preserve"> Tổ đánh giá hồ sơ sử dụng phương pháp chấm điểm theo thang điểm 100 để đánh giá, trong đó quy định mức điểm tối thiểu và mức điểm tối đa đối với từng tiêu chí.</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 Điểm cuối cùng là điểm trung bình cộng của các thành viên Tổ đánh giá Luật sư và được xếp thứ tự từ cao xuống thấp. Trường họp có từ 02 Luật sư trở lên có cùng số điểm thì Tổ trưởng - Tổ đánh giá Luật sư quyết định.</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 xml:space="preserve">- Luật sư được lựa chọn phải có số điểm đánh giá cuối cùng từ 50 điểm trở lên và được lựa chọn theo thứ tự từ cao xuống thấp đến đủ số lượng Luật sư cần lựa chọn theo Thông báo. </w:t>
      </w:r>
    </w:p>
    <w:p w:rsidR="00B3604C" w:rsidRPr="00B3604C" w:rsidRDefault="00B3604C" w:rsidP="00B3604C">
      <w:pPr>
        <w:spacing w:after="0" w:line="400" w:lineRule="exact"/>
        <w:ind w:firstLine="720"/>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Trong thời hạn 1</w:t>
      </w:r>
      <w:r w:rsidR="00897ED2">
        <w:rPr>
          <w:rFonts w:ascii="Times New Roman" w:eastAsia="Times New Roman" w:hAnsi="Times New Roman" w:cs="Times New Roman"/>
          <w:sz w:val="28"/>
          <w:szCs w:val="28"/>
          <w:lang w:val="nl-NL"/>
        </w:rPr>
        <w:t>0</w:t>
      </w:r>
      <w:r w:rsidRPr="00B3604C">
        <w:rPr>
          <w:rFonts w:ascii="Times New Roman" w:eastAsia="Times New Roman" w:hAnsi="Times New Roman" w:cs="Times New Roman"/>
          <w:sz w:val="28"/>
          <w:szCs w:val="28"/>
          <w:lang w:val="nl-NL"/>
        </w:rPr>
        <w:t xml:space="preserve"> ngày kể từ ngày hết hạn nộp hồ sơ, Tổ đánh giá </w:t>
      </w:r>
      <w:r w:rsidR="00B659E1">
        <w:rPr>
          <w:rFonts w:ascii="Times New Roman" w:eastAsia="Times New Roman" w:hAnsi="Times New Roman" w:cs="Times New Roman"/>
          <w:sz w:val="28"/>
          <w:szCs w:val="28"/>
          <w:lang w:val="nl-NL"/>
        </w:rPr>
        <w:t>Luật sư</w:t>
      </w:r>
      <w:r w:rsidRPr="00B3604C">
        <w:rPr>
          <w:rFonts w:ascii="Times New Roman" w:eastAsia="Times New Roman" w:hAnsi="Times New Roman" w:cs="Times New Roman"/>
          <w:sz w:val="28"/>
          <w:szCs w:val="28"/>
          <w:lang w:val="nl-NL"/>
        </w:rPr>
        <w:t xml:space="preserve"> phải hoàn thành việc đánh giá. Trường hợp cần thiết có thể kéo dài thời gian đánh giá nhưng không quá </w:t>
      </w:r>
      <w:r w:rsidR="00897ED2">
        <w:rPr>
          <w:rFonts w:ascii="Times New Roman" w:eastAsia="Times New Roman" w:hAnsi="Times New Roman" w:cs="Times New Roman"/>
          <w:sz w:val="28"/>
          <w:szCs w:val="28"/>
          <w:lang w:val="nl-NL"/>
        </w:rPr>
        <w:t>03</w:t>
      </w:r>
      <w:r w:rsidRPr="00B3604C">
        <w:rPr>
          <w:rFonts w:ascii="Times New Roman" w:eastAsia="Times New Roman" w:hAnsi="Times New Roman" w:cs="Times New Roman"/>
          <w:sz w:val="28"/>
          <w:szCs w:val="28"/>
          <w:lang w:val="nl-NL"/>
        </w:rPr>
        <w:t xml:space="preserve"> ngày làm việc.</w:t>
      </w:r>
    </w:p>
    <w:p w:rsidR="00B3604C" w:rsidRPr="00B3604C" w:rsidRDefault="00B3604C" w:rsidP="00B3604C">
      <w:pPr>
        <w:spacing w:after="0" w:line="400" w:lineRule="exact"/>
        <w:ind w:firstLine="720"/>
        <w:jc w:val="both"/>
        <w:rPr>
          <w:rFonts w:ascii="Times New Roman" w:eastAsia="Times New Roman" w:hAnsi="Times New Roman" w:cs="Times New Roman"/>
          <w:b/>
          <w:bCs/>
          <w:i/>
          <w:iCs/>
          <w:sz w:val="28"/>
          <w:szCs w:val="28"/>
          <w:lang w:val="nl-NL"/>
        </w:rPr>
      </w:pPr>
      <w:r w:rsidRPr="00B3604C">
        <w:rPr>
          <w:rFonts w:ascii="Times New Roman" w:eastAsia="Times New Roman" w:hAnsi="Times New Roman" w:cs="Times New Roman"/>
          <w:sz w:val="28"/>
          <w:szCs w:val="28"/>
          <w:lang w:val="nl-NL"/>
        </w:rPr>
        <w:t xml:space="preserve">Trung tâm sẽ thông báo kết quả lựa chọn đến các Luật sư đã nộp hồ sơ. Trong thời hạn 10 ngày kế từ ngày thông báo, </w:t>
      </w:r>
      <w:r w:rsidR="00897ED2">
        <w:rPr>
          <w:rFonts w:ascii="Times New Roman" w:eastAsia="Times New Roman" w:hAnsi="Times New Roman" w:cs="Times New Roman"/>
          <w:sz w:val="28"/>
          <w:szCs w:val="28"/>
          <w:lang w:val="nl-NL"/>
        </w:rPr>
        <w:t>L</w:t>
      </w:r>
      <w:r w:rsidR="00897ED2" w:rsidRPr="00897ED2">
        <w:rPr>
          <w:rFonts w:ascii="Times New Roman" w:eastAsia="Times New Roman" w:hAnsi="Times New Roman" w:cs="Times New Roman"/>
          <w:sz w:val="28"/>
          <w:szCs w:val="28"/>
          <w:lang w:val="nl-NL"/>
        </w:rPr>
        <w:t xml:space="preserve">uật sư được lựa chọn có trách </w:t>
      </w:r>
      <w:r w:rsidR="00897ED2" w:rsidRPr="00897ED2">
        <w:rPr>
          <w:rFonts w:ascii="Times New Roman" w:eastAsia="Times New Roman" w:hAnsi="Times New Roman" w:cs="Times New Roman"/>
          <w:sz w:val="28"/>
          <w:szCs w:val="28"/>
          <w:lang w:val="nl-NL"/>
        </w:rPr>
        <w:lastRenderedPageBreak/>
        <w:t xml:space="preserve">nhiệm </w:t>
      </w:r>
      <w:r w:rsidR="00897ED2">
        <w:rPr>
          <w:rFonts w:ascii="Times New Roman" w:eastAsia="Times New Roman" w:hAnsi="Times New Roman" w:cs="Times New Roman"/>
          <w:sz w:val="28"/>
          <w:szCs w:val="28"/>
          <w:lang w:val="nl-NL"/>
        </w:rPr>
        <w:t>ký hợp đồng với Trung tâm, trừ t</w:t>
      </w:r>
      <w:r w:rsidR="00897ED2" w:rsidRPr="00897ED2">
        <w:rPr>
          <w:rFonts w:ascii="Times New Roman" w:eastAsia="Times New Roman" w:hAnsi="Times New Roman" w:cs="Times New Roman"/>
          <w:sz w:val="28"/>
          <w:szCs w:val="28"/>
          <w:lang w:val="nl-NL"/>
        </w:rPr>
        <w:t xml:space="preserve">rường hợp có lý do chính đáng thì có thể kéo dài nhưng không quá 15 ngày kể từ ngày nhận được thông báo. </w:t>
      </w:r>
      <w:r w:rsidRPr="00B3604C">
        <w:rPr>
          <w:rFonts w:ascii="Times New Roman" w:eastAsia="Times New Roman" w:hAnsi="Times New Roman" w:cs="Times New Roman"/>
          <w:sz w:val="28"/>
          <w:szCs w:val="28"/>
          <w:lang w:val="nl-NL"/>
        </w:rPr>
        <w:t>Quá thời hạn trên mà Luật sư được lựa chọn không ký hợp đồng thì Trung tâm thông báo với Luật sư có số điếm kế tiếp sau (</w:t>
      </w:r>
      <w:r w:rsidRPr="00B3604C">
        <w:rPr>
          <w:rFonts w:ascii="Times New Roman" w:eastAsia="Times New Roman" w:hAnsi="Times New Roman" w:cs="Times New Roman"/>
          <w:i/>
          <w:iCs/>
          <w:sz w:val="28"/>
          <w:szCs w:val="28"/>
          <w:lang w:val="nl-NL"/>
        </w:rPr>
        <w:t xml:space="preserve">nếu còn) </w:t>
      </w:r>
      <w:r w:rsidRPr="00B3604C">
        <w:rPr>
          <w:rFonts w:ascii="Times New Roman" w:eastAsia="Times New Roman" w:hAnsi="Times New Roman" w:cs="Times New Roman"/>
          <w:sz w:val="28"/>
          <w:szCs w:val="28"/>
          <w:lang w:val="nl-NL"/>
        </w:rPr>
        <w:t>để ký hợp đồng.</w:t>
      </w:r>
      <w:r w:rsidRPr="00B3604C">
        <w:rPr>
          <w:rFonts w:ascii="Times New Roman" w:eastAsia="Times New Roman" w:hAnsi="Times New Roman" w:cs="Times New Roman"/>
          <w:i/>
          <w:iCs/>
          <w:sz w:val="28"/>
          <w:szCs w:val="28"/>
          <w:lang w:val="nl-NL"/>
        </w:rPr>
        <w:t xml:space="preserve"> </w:t>
      </w:r>
    </w:p>
    <w:p w:rsidR="00B3604C" w:rsidRPr="00B3604C" w:rsidRDefault="00B3604C" w:rsidP="00B3604C">
      <w:pPr>
        <w:spacing w:after="0" w:line="400" w:lineRule="exact"/>
        <w:ind w:firstLine="720"/>
        <w:jc w:val="both"/>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2. Tiêu chí đánh giá, thang bảng điểm hồ sơ lựa chọn luật sư.</w:t>
      </w:r>
    </w:p>
    <w:p w:rsidR="00B3604C" w:rsidRPr="00B3604C" w:rsidRDefault="00B3604C" w:rsidP="00B3604C">
      <w:pPr>
        <w:spacing w:after="0" w:line="400" w:lineRule="exact"/>
        <w:ind w:firstLine="720"/>
        <w:jc w:val="center"/>
        <w:rPr>
          <w:rFonts w:ascii="Times New Roman" w:eastAsia="Times New Roman" w:hAnsi="Times New Roman" w:cs="Times New Roman"/>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7912"/>
        <w:gridCol w:w="895"/>
      </w:tblGrid>
      <w:tr w:rsidR="00B3604C" w:rsidRPr="00B3604C" w:rsidTr="00173BEA">
        <w:trPr>
          <w:trHeight w:val="419"/>
        </w:trPr>
        <w:tc>
          <w:tcPr>
            <w:tcW w:w="817" w:type="dxa"/>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STT</w:t>
            </w:r>
          </w:p>
        </w:tc>
        <w:tc>
          <w:tcPr>
            <w:tcW w:w="8222" w:type="dxa"/>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Tiêu chí</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Điểm</w:t>
            </w:r>
          </w:p>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tối đa</w:t>
            </w:r>
          </w:p>
        </w:tc>
      </w:tr>
      <w:tr w:rsidR="00B3604C" w:rsidRPr="00B3604C" w:rsidTr="00173BEA">
        <w:trPr>
          <w:trHeight w:val="419"/>
        </w:trPr>
        <w:tc>
          <w:tcPr>
            <w:tcW w:w="817" w:type="dxa"/>
            <w:vMerge w:val="restart"/>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1</w:t>
            </w: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Tiêu chí chung</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20</w:t>
            </w:r>
          </w:p>
        </w:tc>
      </w:tr>
      <w:tr w:rsidR="00B3604C" w:rsidRPr="00B3604C" w:rsidTr="00173BEA">
        <w:trPr>
          <w:trHeight w:val="419"/>
        </w:trPr>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1: Luật sư có phẩm chất đạo đức tốt</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10</w:t>
            </w:r>
          </w:p>
        </w:tc>
      </w:tr>
      <w:tr w:rsidR="00B3604C" w:rsidRPr="00B3604C" w:rsidTr="00173BEA">
        <w:trPr>
          <w:trHeight w:val="419"/>
        </w:trPr>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2: Luật sư có sức khoẻ bảo đảm thực hiện vụ việc TGPL</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10</w:t>
            </w:r>
          </w:p>
        </w:tc>
      </w:tr>
      <w:tr w:rsidR="00B3604C" w:rsidRPr="00B3604C" w:rsidTr="00173BEA">
        <w:tc>
          <w:tcPr>
            <w:tcW w:w="817" w:type="dxa"/>
            <w:vMerge w:val="restart"/>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2</w:t>
            </w: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Thời gian hành nghề Luật sư tính từ thời điểm cấp Thẻ luật sư</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20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1: Luật sư đã tham gia hành nghề từ 5 năm đến dưới 10 năm</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10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2: Luật sư đã tham gia hành nghề từ 10 năm đến dưới 15 năm</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15</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3: Luật sư đã tham gia hành nghề từ 15 năm trở lên hoặc Luật sư trước đây đã từng là Kiểm sát viên, Thẩm phán</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20</w:t>
            </w:r>
          </w:p>
        </w:tc>
      </w:tr>
      <w:tr w:rsidR="00B3604C" w:rsidRPr="00B3604C" w:rsidTr="00173BEA">
        <w:tc>
          <w:tcPr>
            <w:tcW w:w="817" w:type="dxa"/>
            <w:vMerge w:val="restart"/>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3</w:t>
            </w: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Hình thức hành nghề và lĩnh vực chuyên sâu</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30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1: Luật sư chỉ tham gia 01 hình thúc TGPL: tham gia tố tụng hoặc đại diện ngoài tố tụng hoặc tư vấn pháp luật.</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10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2: Luật sư tham gia 02 hình thức TGPL, trong đó có 01 hình thức tham gia tố tụng và chuyên sâu từ 01 đến 02 lĩnh vực pháp luật.</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20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3: Luật sư tham gia cả 03 hình thức TGPL: Tham gia tố tụng, đại diện ngoài tố tụng, tư vấn pháp luật và chuyên sâu nhiều lĩnh vực pháp luật ( hình sự, dân sự, đất đai, hôn nhân gia đình, hành chính, lao động...).</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30</w:t>
            </w:r>
          </w:p>
        </w:tc>
      </w:tr>
      <w:tr w:rsidR="00B3604C" w:rsidRPr="00B3604C" w:rsidTr="00173BEA">
        <w:tc>
          <w:tcPr>
            <w:tcW w:w="817" w:type="dxa"/>
            <w:vMerge w:val="restart"/>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4</w:t>
            </w: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Kinh nghiệm thực tiễn tham gia trợ giúp pháp lý ( tính theo thời gian luật sư ký hợp đồng cộng tác với Trung tâm hoặc số vụ việc thực hiện TGPL trong 5 năm gần nhất)</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r w:rsidRPr="00B3604C">
              <w:rPr>
                <w:rFonts w:ascii="Times New Roman" w:eastAsia="Times New Roman" w:hAnsi="Times New Roman" w:cs="Times New Roman"/>
                <w:b/>
                <w:bCs/>
                <w:sz w:val="28"/>
                <w:szCs w:val="28"/>
                <w:lang w:val="nl-NL"/>
              </w:rPr>
              <w:t>30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Tiêu chí 1: Luật sư cộng tác với Trung tâm từ đủ 03 năm đến dưới 05 năm hoặc thực hiện dưới 10 vụ việc TGPL</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10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i/>
                <w:iCs/>
                <w:sz w:val="28"/>
                <w:szCs w:val="28"/>
                <w:lang w:val="nl-NL"/>
              </w:rPr>
            </w:pPr>
            <w:r w:rsidRPr="00B3604C">
              <w:rPr>
                <w:rFonts w:ascii="Times New Roman" w:eastAsia="Times New Roman" w:hAnsi="Times New Roman" w:cs="Times New Roman"/>
                <w:sz w:val="28"/>
                <w:szCs w:val="28"/>
                <w:lang w:val="nl-NL"/>
              </w:rPr>
              <w:t>Tiêu chí 2: Luật sư cộng tác với Trung tâm từ đủ 05 năm đến dưới 10 năm hoặc thực hiện từ 10 vụ việc đến dưới 20 vụ việc TGPL</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20</w:t>
            </w:r>
          </w:p>
        </w:tc>
      </w:tr>
      <w:tr w:rsidR="00B3604C" w:rsidRPr="00B3604C" w:rsidTr="00173BEA">
        <w:tc>
          <w:tcPr>
            <w:tcW w:w="817" w:type="dxa"/>
            <w:vMerge/>
            <w:vAlign w:val="center"/>
          </w:tcPr>
          <w:p w:rsidR="00B3604C" w:rsidRPr="00B3604C" w:rsidRDefault="00B3604C" w:rsidP="00173BEA">
            <w:pPr>
              <w:spacing w:after="0" w:line="400" w:lineRule="exact"/>
              <w:jc w:val="center"/>
              <w:rPr>
                <w:rFonts w:ascii="Times New Roman" w:eastAsia="Times New Roman" w:hAnsi="Times New Roman" w:cs="Times New Roman"/>
                <w:b/>
                <w:bCs/>
                <w:sz w:val="28"/>
                <w:szCs w:val="28"/>
                <w:lang w:val="nl-NL"/>
              </w:rPr>
            </w:pPr>
          </w:p>
        </w:tc>
        <w:tc>
          <w:tcPr>
            <w:tcW w:w="8222" w:type="dxa"/>
            <w:vAlign w:val="center"/>
          </w:tcPr>
          <w:p w:rsidR="00B3604C" w:rsidRPr="00B3604C" w:rsidRDefault="00B3604C" w:rsidP="00173BEA">
            <w:pPr>
              <w:spacing w:after="0" w:line="400" w:lineRule="exact"/>
              <w:jc w:val="both"/>
              <w:rPr>
                <w:rFonts w:ascii="Times New Roman" w:eastAsia="Times New Roman" w:hAnsi="Times New Roman" w:cs="Times New Roman"/>
                <w:i/>
                <w:iCs/>
                <w:sz w:val="28"/>
                <w:szCs w:val="28"/>
                <w:lang w:val="nl-NL"/>
              </w:rPr>
            </w:pPr>
            <w:r w:rsidRPr="00B3604C">
              <w:rPr>
                <w:rFonts w:ascii="Times New Roman" w:eastAsia="Times New Roman" w:hAnsi="Times New Roman" w:cs="Times New Roman"/>
                <w:sz w:val="28"/>
                <w:szCs w:val="28"/>
                <w:lang w:val="nl-NL"/>
              </w:rPr>
              <w:t xml:space="preserve">Tiêu chí </w:t>
            </w:r>
            <w:r w:rsidR="00897ED2">
              <w:rPr>
                <w:rFonts w:ascii="Times New Roman" w:eastAsia="Times New Roman" w:hAnsi="Times New Roman" w:cs="Times New Roman"/>
                <w:sz w:val="28"/>
                <w:szCs w:val="28"/>
                <w:lang w:val="nl-NL"/>
              </w:rPr>
              <w:t>3</w:t>
            </w:r>
            <w:r w:rsidRPr="00B3604C">
              <w:rPr>
                <w:rFonts w:ascii="Times New Roman" w:eastAsia="Times New Roman" w:hAnsi="Times New Roman" w:cs="Times New Roman"/>
                <w:sz w:val="28"/>
                <w:szCs w:val="28"/>
                <w:lang w:val="nl-NL"/>
              </w:rPr>
              <w:t>: Luật sư cộng tác với Trung tâm từ đủ 10 năm trở lên hoặc thực hiện trên 20 vụ việc TGPL.</w:t>
            </w:r>
          </w:p>
        </w:tc>
        <w:tc>
          <w:tcPr>
            <w:tcW w:w="897" w:type="dxa"/>
            <w:vAlign w:val="center"/>
          </w:tcPr>
          <w:p w:rsidR="00B3604C" w:rsidRPr="00B3604C" w:rsidRDefault="00B3604C" w:rsidP="00173BEA">
            <w:pPr>
              <w:spacing w:after="0" w:line="400" w:lineRule="exact"/>
              <w:jc w:val="center"/>
              <w:rPr>
                <w:rFonts w:ascii="Times New Roman" w:eastAsia="Times New Roman" w:hAnsi="Times New Roman" w:cs="Times New Roman"/>
                <w:sz w:val="28"/>
                <w:szCs w:val="28"/>
                <w:lang w:val="nl-NL"/>
              </w:rPr>
            </w:pPr>
            <w:r w:rsidRPr="00B3604C">
              <w:rPr>
                <w:rFonts w:ascii="Times New Roman" w:eastAsia="Times New Roman" w:hAnsi="Times New Roman" w:cs="Times New Roman"/>
                <w:sz w:val="28"/>
                <w:szCs w:val="28"/>
                <w:lang w:val="nl-NL"/>
              </w:rPr>
              <w:t>30</w:t>
            </w:r>
          </w:p>
        </w:tc>
      </w:tr>
    </w:tbl>
    <w:p w:rsidR="002C19A5" w:rsidRDefault="002C19A5"/>
    <w:sectPr w:rsidR="002C19A5" w:rsidSect="00173BE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4C"/>
    <w:rsid w:val="00173BEA"/>
    <w:rsid w:val="002431A3"/>
    <w:rsid w:val="002C19A5"/>
    <w:rsid w:val="0036023B"/>
    <w:rsid w:val="005F2A78"/>
    <w:rsid w:val="006D5D19"/>
    <w:rsid w:val="0083028D"/>
    <w:rsid w:val="00897ED2"/>
    <w:rsid w:val="00B3604C"/>
    <w:rsid w:val="00B659E1"/>
    <w:rsid w:val="00C16F83"/>
    <w:rsid w:val="00ED62D0"/>
    <w:rsid w:val="00F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3</cp:revision>
  <cp:lastPrinted>2026-04-07T02:56:00Z</cp:lastPrinted>
  <dcterms:created xsi:type="dcterms:W3CDTF">2026-04-13T09:55:00Z</dcterms:created>
  <dcterms:modified xsi:type="dcterms:W3CDTF">2026-04-13T10:10:00Z</dcterms:modified>
</cp:coreProperties>
</file>