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AF4" w:rsidRPr="0068103F" w:rsidRDefault="00112AF4" w:rsidP="00112AF4">
      <w:pPr>
        <w:spacing w:before="120" w:after="106" w:line="288" w:lineRule="auto"/>
        <w:ind w:left="480" w:right="197" w:hanging="10"/>
        <w:jc w:val="center"/>
        <w:rPr>
          <w:rFonts w:ascii="Times New Roman" w:hAnsi="Times New Roman" w:cs="Times New Roman"/>
          <w:color w:val="auto"/>
          <w:sz w:val="28"/>
          <w:szCs w:val="28"/>
          <w:lang w:val="en-US"/>
        </w:rPr>
      </w:pPr>
      <w:r w:rsidRPr="00BB0A79">
        <w:rPr>
          <w:rFonts w:ascii="Times New Roman" w:hAnsi="Times New Roman" w:cs="Times New Roman"/>
          <w:b/>
          <w:color w:val="auto"/>
          <w:sz w:val="28"/>
          <w:szCs w:val="28"/>
        </w:rPr>
        <w:t xml:space="preserve">PHỤ LỤC </w:t>
      </w:r>
      <w:r>
        <w:rPr>
          <w:rFonts w:ascii="Times New Roman" w:hAnsi="Times New Roman" w:cs="Times New Roman"/>
          <w:b/>
          <w:color w:val="auto"/>
          <w:sz w:val="28"/>
          <w:szCs w:val="28"/>
          <w:lang w:val="en-US"/>
        </w:rPr>
        <w:t>2</w:t>
      </w:r>
    </w:p>
    <w:p w:rsidR="00112AF4" w:rsidRPr="00BB0A79" w:rsidRDefault="00112AF4" w:rsidP="00112AF4">
      <w:pPr>
        <w:spacing w:before="120" w:after="41" w:line="288" w:lineRule="auto"/>
        <w:ind w:left="480" w:right="130" w:hanging="10"/>
        <w:jc w:val="center"/>
        <w:rPr>
          <w:rFonts w:ascii="Times New Roman" w:hAnsi="Times New Roman" w:cs="Times New Roman"/>
          <w:b/>
          <w:color w:val="auto"/>
          <w:sz w:val="28"/>
          <w:szCs w:val="28"/>
        </w:rPr>
      </w:pPr>
      <w:r w:rsidRPr="00BB0A79">
        <w:rPr>
          <w:rFonts w:ascii="Times New Roman" w:hAnsi="Times New Roman" w:cs="Times New Roman"/>
          <w:b/>
          <w:color w:val="auto"/>
          <w:sz w:val="28"/>
          <w:szCs w:val="28"/>
        </w:rPr>
        <w:t>Rà soát các chủ trương, đường lối của Đảng, văn bản quy phạm pháp luật, điều ước quốc tế có liên quan đến dự thảo Nghị quyết về chính sách hỗ trợ đối với đội ngũ cán bộ, công chức làm công tác tín ngưỡng, tôn giáo trên địa bàn thành phố Hải Phòng giai đoạn 2027-2031</w:t>
      </w:r>
    </w:p>
    <w:p w:rsidR="00112AF4" w:rsidRPr="00BB0A79" w:rsidRDefault="00112AF4" w:rsidP="00112AF4">
      <w:pPr>
        <w:spacing w:before="120" w:after="41" w:line="288" w:lineRule="auto"/>
        <w:ind w:left="480" w:right="134" w:hanging="10"/>
        <w:jc w:val="center"/>
        <w:rPr>
          <w:rFonts w:ascii="Times New Roman" w:hAnsi="Times New Roman" w:cs="Times New Roman"/>
          <w:color w:val="auto"/>
          <w:sz w:val="28"/>
          <w:szCs w:val="28"/>
        </w:rPr>
      </w:pPr>
      <w:r w:rsidRPr="00BB0A79">
        <w:rPr>
          <w:rFonts w:ascii="Times New Roman" w:hAnsi="Times New Roman" w:cs="Times New Roman"/>
          <w:i/>
          <w:color w:val="auto"/>
          <w:sz w:val="28"/>
          <w:szCs w:val="28"/>
        </w:rPr>
        <w:t>(Kèm theo Báo cáo số</w:t>
      </w:r>
      <w:r>
        <w:rPr>
          <w:rFonts w:ascii="Times New Roman" w:hAnsi="Times New Roman" w:cs="Times New Roman"/>
          <w:i/>
          <w:color w:val="auto"/>
          <w:sz w:val="28"/>
          <w:szCs w:val="28"/>
        </w:rPr>
        <w:t xml:space="preserve">        </w:t>
      </w:r>
      <w:bookmarkStart w:id="0" w:name="_GoBack"/>
      <w:bookmarkEnd w:id="0"/>
      <w:r>
        <w:rPr>
          <w:rFonts w:ascii="Times New Roman" w:hAnsi="Times New Roman" w:cs="Times New Roman"/>
          <w:i/>
          <w:color w:val="auto"/>
          <w:sz w:val="28"/>
          <w:szCs w:val="28"/>
        </w:rPr>
        <w:t xml:space="preserve">/BC-SNV ngày    </w:t>
      </w:r>
      <w:r w:rsidRPr="00BB0A79">
        <w:rPr>
          <w:rFonts w:ascii="Times New Roman" w:hAnsi="Times New Roman" w:cs="Times New Roman"/>
          <w:i/>
          <w:color w:val="auto"/>
          <w:sz w:val="28"/>
          <w:szCs w:val="28"/>
        </w:rPr>
        <w:t>/</w:t>
      </w:r>
      <w:r>
        <w:rPr>
          <w:rFonts w:ascii="Times New Roman" w:hAnsi="Times New Roman" w:cs="Times New Roman"/>
          <w:i/>
          <w:color w:val="auto"/>
          <w:sz w:val="28"/>
          <w:szCs w:val="28"/>
          <w:lang w:val="en-US"/>
        </w:rPr>
        <w:t>10</w:t>
      </w:r>
      <w:r w:rsidRPr="00BB0A79">
        <w:rPr>
          <w:rFonts w:ascii="Times New Roman" w:hAnsi="Times New Roman" w:cs="Times New Roman"/>
          <w:i/>
          <w:color w:val="auto"/>
          <w:sz w:val="28"/>
          <w:szCs w:val="28"/>
        </w:rPr>
        <w:t xml:space="preserve">/2026 của Sở Nội vụ) </w:t>
      </w:r>
    </w:p>
    <w:p w:rsidR="00112AF4" w:rsidRPr="00BB0A79" w:rsidRDefault="00112AF4" w:rsidP="00112AF4">
      <w:pPr>
        <w:spacing w:before="120" w:after="71" w:line="288" w:lineRule="auto"/>
        <w:rPr>
          <w:rFonts w:ascii="Times New Roman" w:hAnsi="Times New Roman" w:cs="Times New Roman"/>
          <w:color w:val="auto"/>
          <w:sz w:val="28"/>
          <w:szCs w:val="28"/>
        </w:rPr>
      </w:pPr>
      <w:r w:rsidRPr="00BB0A79">
        <w:rPr>
          <w:rFonts w:ascii="Times New Roman" w:hAnsi="Times New Roman" w:cs="Times New Roman"/>
          <w:b/>
          <w:noProof/>
          <w:color w:val="auto"/>
          <w:sz w:val="28"/>
          <w:szCs w:val="28"/>
          <w:lang w:val="en-US" w:eastAsia="en-US" w:bidi="ar-SA"/>
        </w:rPr>
        <mc:AlternateContent>
          <mc:Choice Requires="wps">
            <w:drawing>
              <wp:anchor distT="0" distB="0" distL="114300" distR="114300" simplePos="0" relativeHeight="251659264" behindDoc="0" locked="0" layoutInCell="1" allowOverlap="1" wp14:anchorId="333EFF72" wp14:editId="12DA8572">
                <wp:simplePos x="0" y="0"/>
                <wp:positionH relativeFrom="column">
                  <wp:posOffset>1882140</wp:posOffset>
                </wp:positionH>
                <wp:positionV relativeFrom="paragraph">
                  <wp:posOffset>13335</wp:posOffset>
                </wp:positionV>
                <wp:extent cx="21526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6C4C44"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8.2pt,1.05pt" to="31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" strokecolor="black [3200]" strokeweight=".5pt">
                <v:stroke joinstyle="miter"/>
              </v:line>
            </w:pict>
          </mc:Fallback>
        </mc:AlternateContent>
      </w:r>
      <w:r w:rsidRPr="00BB0A79">
        <w:rPr>
          <w:rFonts w:ascii="Times New Roman" w:hAnsi="Times New Roman" w:cs="Times New Roman"/>
          <w:b/>
          <w:color w:val="auto"/>
          <w:sz w:val="28"/>
          <w:szCs w:val="28"/>
        </w:rPr>
        <w:t xml:space="preserve"> </w:t>
      </w:r>
    </w:p>
    <w:p w:rsidR="00112AF4" w:rsidRPr="00BB0A79" w:rsidRDefault="00112AF4" w:rsidP="00112AF4">
      <w:pPr>
        <w:pStyle w:val="ListParagraph"/>
        <w:spacing w:before="120" w:line="288" w:lineRule="auto"/>
        <w:ind w:left="0" w:right="232" w:firstLine="567"/>
        <w:rPr>
          <w:b/>
          <w:color w:val="auto"/>
          <w:spacing w:val="-6"/>
          <w:szCs w:val="28"/>
          <w:lang w:val="vi-VN"/>
        </w:rPr>
      </w:pPr>
      <w:r w:rsidRPr="00BB0A79">
        <w:rPr>
          <w:b/>
          <w:color w:val="auto"/>
          <w:spacing w:val="-6"/>
          <w:szCs w:val="28"/>
          <w:lang w:val="vi-VN"/>
        </w:rPr>
        <w:t>1. Chủ trương, đường lối của Đảng có liên quan đến dự thảo Nghị quyết</w:t>
      </w:r>
    </w:p>
    <w:p w:rsidR="00112AF4" w:rsidRPr="00BB0A79" w:rsidRDefault="00112AF4" w:rsidP="00112AF4">
      <w:pPr>
        <w:spacing w:before="120" w:line="288" w:lineRule="auto"/>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số 18-NQ/TW ngày 25 tháng 10 năm 2017 của Hội nghị lần thứ Sáu Ban Chấp hành Trung ương Đảng khóa XII về “Một số vấn đề về tiếp tục đổi mới, sắp xếp tổ chức bộ máy của hệ thống chính trị tinh gọn, hoạt động hiệu lực, hiệu quả";  </w:t>
      </w:r>
    </w:p>
    <w:p w:rsidR="00112AF4" w:rsidRPr="00BB0A79" w:rsidRDefault="00112AF4" w:rsidP="00112AF4">
      <w:pPr>
        <w:spacing w:before="120" w:line="288" w:lineRule="auto"/>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số 76/2025/UBTVQH15 ngày 14 tháng 4 năm 2025 của Ủy ban Thường vụ Quốc hội về việc sắp xếp đơn vị hành chính năm 2025;  </w:t>
      </w:r>
    </w:p>
    <w:p w:rsidR="00112AF4" w:rsidRPr="00BB0A79" w:rsidRDefault="00112AF4" w:rsidP="00112AF4">
      <w:pPr>
        <w:spacing w:before="120" w:line="288" w:lineRule="auto"/>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số 74/NQ-CP ngày 07 tháng 4 năm 2025 của Chính phủ ban hành kế hoạch thực hiện sắp xếp đơn vị hành chính và xây dựng mô hình tổ chức chính quyền địa phương 02 cấp;  </w:t>
      </w:r>
    </w:p>
    <w:p w:rsidR="00112AF4" w:rsidRPr="00BB0A79" w:rsidRDefault="00112AF4" w:rsidP="00112AF4">
      <w:pPr>
        <w:tabs>
          <w:tab w:val="left" w:pos="1985"/>
        </w:tabs>
        <w:spacing w:before="120" w:after="40" w:line="288" w:lineRule="auto"/>
        <w:ind w:firstLine="567"/>
        <w:jc w:val="both"/>
        <w:rPr>
          <w:rFonts w:ascii="Times New Roman" w:hAnsi="Times New Roman" w:cs="Times New Roman"/>
          <w:color w:val="auto"/>
          <w:spacing w:val="2"/>
          <w:sz w:val="28"/>
          <w:szCs w:val="28"/>
        </w:rPr>
      </w:pPr>
      <w:r w:rsidRPr="00BB0A79">
        <w:rPr>
          <w:rFonts w:ascii="Times New Roman" w:hAnsi="Times New Roman" w:cs="Times New Roman"/>
          <w:color w:val="auto"/>
          <w:spacing w:val="2"/>
          <w:sz w:val="28"/>
          <w:szCs w:val="28"/>
        </w:rPr>
        <w:t>- Nghị quyết số 25-NQ/TW ngày 12/3/2003 Hội nghị lần thứ 7 Ban Chấp hành Trung ương Đảng khóa IX về công tác tôn giáo.</w:t>
      </w:r>
    </w:p>
    <w:p w:rsidR="00112AF4" w:rsidRPr="00BB0A79" w:rsidRDefault="00112AF4" w:rsidP="00112AF4">
      <w:pPr>
        <w:spacing w:before="120" w:line="288" w:lineRule="auto"/>
        <w:ind w:firstLine="567"/>
        <w:jc w:val="both"/>
        <w:rPr>
          <w:rFonts w:ascii="Times New Roman" w:hAnsi="Times New Roman" w:cs="Times New Roman"/>
          <w:i/>
          <w:color w:val="auto"/>
          <w:sz w:val="28"/>
          <w:szCs w:val="28"/>
        </w:rPr>
      </w:pPr>
      <w:r w:rsidRPr="00BB0A79">
        <w:rPr>
          <w:rFonts w:ascii="Times New Roman" w:hAnsi="Times New Roman" w:cs="Times New Roman"/>
          <w:color w:val="auto"/>
          <w:sz w:val="28"/>
          <w:szCs w:val="28"/>
        </w:rPr>
        <w:t>- Chỉ thị số 18-CT/TW ngày 10/01/2018 của Bộ Chính trị về tiếp tục thực hiện Nghị quyết số 25-NQ/TW ngày 12/3/2003 Hội nghị lần thứ 7 Ban Chấp hành Trung ương Đảng khóa IX về công tác tôn giáo trong tình hình mới.</w:t>
      </w:r>
    </w:p>
    <w:p w:rsidR="00112AF4" w:rsidRPr="00BB0A79" w:rsidRDefault="00112AF4" w:rsidP="00112AF4">
      <w:pPr>
        <w:spacing w:before="120" w:line="288" w:lineRule="auto"/>
        <w:ind w:firstLine="567"/>
        <w:jc w:val="both"/>
        <w:rPr>
          <w:rFonts w:ascii="Times New Roman" w:hAnsi="Times New Roman" w:cs="Times New Roman"/>
          <w:i/>
          <w:color w:val="auto"/>
          <w:sz w:val="28"/>
          <w:szCs w:val="28"/>
        </w:rPr>
      </w:pPr>
      <w:r w:rsidRPr="00BB0A79">
        <w:rPr>
          <w:rFonts w:ascii="Times New Roman" w:hAnsi="Times New Roman" w:cs="Times New Roman"/>
          <w:color w:val="auto"/>
          <w:sz w:val="28"/>
          <w:szCs w:val="28"/>
        </w:rPr>
        <w:t>- Kết luận số 101-KL/TW ngày 3/9/2014 của Ban Bí thư về chủ trương công tác đối với đạo Tin Lành trong tình hình mới.</w:t>
      </w:r>
    </w:p>
    <w:p w:rsidR="00112AF4" w:rsidRPr="00BB0A79" w:rsidRDefault="00112AF4" w:rsidP="00112AF4">
      <w:pPr>
        <w:spacing w:before="120" w:line="288" w:lineRule="auto"/>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Chỉ thị số 17-CT/TU ngày 18/8/2026 của Ban Thường vụ Thành ủy Hải phòng về chủ trương công tác đối với Công giáo trên địa bàn thành phố.</w:t>
      </w:r>
    </w:p>
    <w:p w:rsidR="00112AF4" w:rsidRPr="00BB0A79" w:rsidRDefault="00112AF4" w:rsidP="00112AF4">
      <w:pPr>
        <w:spacing w:before="120" w:line="288" w:lineRule="auto"/>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Kế hoạch số 24-KH/TU ngày 16/01/2026 của Thành ủy Hải Phòng triển khai thực hiện Kết luận số 116-KL/TW ngày 17/01/2025 của Ban Bí thư về chủ trương công tác đối với các hiện tượng tín ngưỡng, tôn giáo mới.</w:t>
      </w:r>
    </w:p>
    <w:p w:rsidR="00112AF4" w:rsidRPr="00BB0A79" w:rsidRDefault="00112AF4" w:rsidP="00112AF4">
      <w:pPr>
        <w:spacing w:before="120" w:line="288" w:lineRule="auto"/>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Công văn số 454/-CV/TU ngày 26/6/2026 của Thành ủy Hải Phòng về việc tiếp tục triển khai thực hiện Kết luận số 63-KL/TW và Kết luận số 116-KL/TW.</w:t>
      </w:r>
    </w:p>
    <w:p w:rsidR="00112AF4" w:rsidRPr="00BB0A79" w:rsidRDefault="00112AF4" w:rsidP="00112AF4">
      <w:pPr>
        <w:spacing w:before="120" w:after="122" w:line="288" w:lineRule="auto"/>
        <w:ind w:right="331" w:firstLine="567"/>
        <w:jc w:val="both"/>
        <w:rPr>
          <w:rFonts w:ascii="Times New Roman" w:hAnsi="Times New Roman" w:cs="Times New Roman"/>
          <w:b/>
          <w:color w:val="auto"/>
          <w:sz w:val="28"/>
          <w:szCs w:val="28"/>
        </w:rPr>
      </w:pPr>
      <w:r w:rsidRPr="00BB0A79">
        <w:rPr>
          <w:rFonts w:ascii="Times New Roman" w:hAnsi="Times New Roman" w:cs="Times New Roman"/>
          <w:b/>
          <w:color w:val="auto"/>
          <w:sz w:val="28"/>
          <w:szCs w:val="28"/>
        </w:rPr>
        <w:t xml:space="preserve">2. Văn bản quy phạm pháp luật có liên quan đến dự thảo Nghị quyết  </w:t>
      </w:r>
    </w:p>
    <w:p w:rsidR="00112AF4" w:rsidRPr="00BB0A79" w:rsidRDefault="00112AF4" w:rsidP="00112AF4">
      <w:pPr>
        <w:shd w:val="clear" w:color="auto" w:fill="FFFFFF"/>
        <w:spacing w:before="120" w:line="288" w:lineRule="auto"/>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Luật Tổ chức chính quyền địa phương số 72/2025/QH15;</w:t>
      </w:r>
    </w:p>
    <w:p w:rsidR="00112AF4" w:rsidRPr="00BB0A79" w:rsidRDefault="00112AF4" w:rsidP="00112AF4">
      <w:pPr>
        <w:spacing w:before="120" w:after="120" w:line="288" w:lineRule="auto"/>
        <w:ind w:firstLine="567"/>
        <w:jc w:val="both"/>
        <w:rPr>
          <w:rFonts w:ascii="Times New Roman" w:hAnsi="Times New Roman" w:cs="Times New Roman"/>
          <w:color w:val="auto"/>
          <w:spacing w:val="4"/>
          <w:sz w:val="28"/>
          <w:szCs w:val="28"/>
          <w:lang w:val="af-ZA"/>
        </w:rPr>
      </w:pPr>
      <w:r w:rsidRPr="00BB0A79">
        <w:rPr>
          <w:rFonts w:ascii="Times New Roman" w:hAnsi="Times New Roman" w:cs="Times New Roman"/>
          <w:color w:val="auto"/>
          <w:sz w:val="28"/>
          <w:szCs w:val="28"/>
        </w:rPr>
        <w:lastRenderedPageBreak/>
        <w:t xml:space="preserve">- </w:t>
      </w:r>
      <w:r w:rsidRPr="00BB0A79">
        <w:rPr>
          <w:rFonts w:ascii="Times New Roman" w:hAnsi="Times New Roman" w:cs="Times New Roman"/>
          <w:color w:val="auto"/>
          <w:spacing w:val="4"/>
          <w:sz w:val="28"/>
          <w:szCs w:val="28"/>
          <w:lang w:val="af-ZA"/>
        </w:rPr>
        <w:t>Luật Tín ngưỡng, tôn giáo số 02/2016/QH14;</w:t>
      </w:r>
    </w:p>
    <w:p w:rsidR="00112AF4" w:rsidRPr="00BB0A79" w:rsidRDefault="00112AF4" w:rsidP="00112AF4">
      <w:pPr>
        <w:shd w:val="clear" w:color="auto" w:fill="FFFFFF"/>
        <w:spacing w:before="120" w:line="288" w:lineRule="auto"/>
        <w:ind w:firstLine="567"/>
        <w:jc w:val="both"/>
        <w:rPr>
          <w:rFonts w:ascii="Times New Roman" w:hAnsi="Times New Roman" w:cs="Times New Roman"/>
          <w:color w:val="auto"/>
          <w:sz w:val="28"/>
          <w:szCs w:val="28"/>
          <w:lang w:val="af-ZA"/>
        </w:rPr>
      </w:pPr>
      <w:r w:rsidRPr="00BB0A79">
        <w:rPr>
          <w:rFonts w:ascii="Times New Roman" w:hAnsi="Times New Roman" w:cs="Times New Roman"/>
          <w:color w:val="auto"/>
          <w:sz w:val="28"/>
          <w:szCs w:val="28"/>
          <w:lang w:val="af-ZA"/>
        </w:rPr>
        <w:t>- Luật Ban hành văn bản quy phạm pháp luật số 64/2025/QH15 được sửa đổi, bổ sung bởi Luật số 87/2025/QH15;</w:t>
      </w:r>
    </w:p>
    <w:p w:rsidR="00112AF4" w:rsidRPr="00BB0A79" w:rsidRDefault="00112AF4" w:rsidP="00112AF4">
      <w:pPr>
        <w:shd w:val="clear" w:color="auto" w:fill="FFFFFF"/>
        <w:spacing w:before="120" w:line="288" w:lineRule="auto"/>
        <w:ind w:firstLine="567"/>
        <w:jc w:val="both"/>
        <w:rPr>
          <w:rFonts w:ascii="Times New Roman" w:hAnsi="Times New Roman" w:cs="Times New Roman"/>
          <w:color w:val="auto"/>
          <w:sz w:val="28"/>
          <w:szCs w:val="28"/>
          <w:lang w:val="af-ZA"/>
        </w:rPr>
      </w:pPr>
      <w:r w:rsidRPr="00BB0A79">
        <w:rPr>
          <w:rFonts w:ascii="Times New Roman" w:hAnsi="Times New Roman" w:cs="Times New Roman"/>
          <w:color w:val="auto"/>
          <w:sz w:val="28"/>
          <w:szCs w:val="28"/>
          <w:lang w:val="af-ZA"/>
        </w:rPr>
        <w:t>- Luật Ngân sách nhà nước số 89/2025/QH15;</w:t>
      </w:r>
    </w:p>
    <w:p w:rsidR="00112AF4" w:rsidRPr="00BB0A79" w:rsidRDefault="00112AF4" w:rsidP="00112AF4">
      <w:pPr>
        <w:spacing w:before="120" w:after="19" w:line="288" w:lineRule="auto"/>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định số 78/2025/NĐ-CP ngày 01 tháng 4 năm 2025 của Chính phủ quy định chi tiết một số điều và biện pháp để tổ chức, hướng dẫn thi hành Luật Ban hành văn bản quy phạm pháp luật; </w:t>
      </w:r>
    </w:p>
    <w:p w:rsidR="00112AF4" w:rsidRPr="00BB0A79" w:rsidRDefault="00112AF4" w:rsidP="00112AF4">
      <w:pPr>
        <w:spacing w:before="120" w:after="1" w:line="288" w:lineRule="auto"/>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định số 187/2025/NĐ-CP ngày 07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rsidR="00112AF4" w:rsidRPr="00BB0A79" w:rsidRDefault="00112AF4" w:rsidP="00112AF4">
      <w:pPr>
        <w:spacing w:before="120" w:after="1" w:line="288" w:lineRule="auto"/>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Nghị định số 95/2023/NĐ-CP ngày 29/12/2023 Quy định chi tiết một số điều và biện pháp thi hành Luật Tín ngưỡng, tôn giáo.</w:t>
      </w:r>
    </w:p>
    <w:p w:rsidR="00112AF4" w:rsidRPr="00BB0A79" w:rsidRDefault="00112AF4" w:rsidP="00112AF4">
      <w:pPr>
        <w:spacing w:before="120" w:line="288" w:lineRule="auto"/>
        <w:ind w:right="232" w:firstLine="567"/>
        <w:jc w:val="both"/>
        <w:rPr>
          <w:color w:val="auto"/>
        </w:rPr>
      </w:pPr>
      <w:r w:rsidRPr="00BB0A79">
        <w:rPr>
          <w:rFonts w:ascii="Times New Roman" w:hAnsi="Times New Roman" w:cs="Times New Roman"/>
          <w:color w:val="auto"/>
          <w:sz w:val="28"/>
          <w:szCs w:val="28"/>
        </w:rPr>
        <w:t>- Nghị quyết số 19/2024/NQ-HĐND ngày 06/12/2024 của Hội đồng nhân dân thành phố về chính sách hỗ trợ đối với đội ngũ cán bộ, công chức làm công tác tín ngưỡng, tôn giáo trên địa bàn thành phố Hải Phòng giai đoạn 2027-2031.</w:t>
      </w:r>
    </w:p>
    <w:p w:rsidR="00112AF4" w:rsidRPr="00BB0A79" w:rsidRDefault="00112AF4" w:rsidP="00112AF4">
      <w:pPr>
        <w:spacing w:before="120" w:line="288" w:lineRule="auto"/>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Nghị quyết số 52/2025/NQ-HĐND ngày 26/10/2025 của Hội đồng nhân dân thành phố về việc áp dụng văn bản quy phạm pháp luật do Hội đồng nhân dân thành phố Hải Phòng (cũ) và tỉnh Hải Dương ban hành trên địa bàn thành phố Hải Phòng (mới);</w:t>
      </w:r>
    </w:p>
    <w:p w:rsidR="00112AF4" w:rsidRPr="00BB0A79" w:rsidRDefault="00112AF4" w:rsidP="00112AF4">
      <w:pPr>
        <w:spacing w:before="120" w:line="288" w:lineRule="auto"/>
        <w:ind w:right="232" w:firstLine="496"/>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Quyết định số 59/2025/QĐ-UBND ngày 01 tháng 07 năm 2025 của Ủy ban nhân dân thành phố Hải Phòng về việc ban hành Quy định chức năng, nhiệm vụ, quyền hạn và cơ cấu tổ chức của Sở Nội vụ thành phố Hải Phòng.</w:t>
      </w:r>
    </w:p>
    <w:p w:rsidR="00112AF4" w:rsidRPr="00BB0A79" w:rsidRDefault="00112AF4" w:rsidP="00112AF4">
      <w:pPr>
        <w:spacing w:before="120" w:line="288" w:lineRule="auto"/>
        <w:ind w:right="232" w:firstLine="496"/>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Quyết định số 57/2025/QĐ-UBND ngày 01 tháng 07 năm 2025 của Ủy ban nhân dân thành phố Hải Phòng về việc ban hành Quy định chức năng, nhiệm vụ, quyền hạn và cơ cấu tổ chức của Ban Dân tộc và Tôn giáo trực thuộc Sở Nội vụ thành phố Hải Phòng.</w:t>
      </w:r>
    </w:p>
    <w:p w:rsidR="00112AF4" w:rsidRPr="00BB0A79" w:rsidRDefault="00112AF4" w:rsidP="00112AF4">
      <w:pPr>
        <w:spacing w:before="120" w:line="288" w:lineRule="auto"/>
        <w:ind w:right="232" w:firstLine="567"/>
        <w:jc w:val="both"/>
        <w:rPr>
          <w:color w:val="auto"/>
        </w:rPr>
      </w:pPr>
      <w:r w:rsidRPr="00BB0A79">
        <w:rPr>
          <w:rFonts w:ascii="Times New Roman" w:hAnsi="Times New Roman" w:cs="Times New Roman"/>
          <w:color w:val="auto"/>
          <w:spacing w:val="-2"/>
          <w:sz w:val="28"/>
          <w:szCs w:val="28"/>
        </w:rPr>
        <w:t xml:space="preserve">- Quyết định số      /QĐ-TTHĐND ngày       tháng       năm 2026 của Thường trực Hội đồng nhân dân thành phố về việc chấp thuận đăng ký xây dựng Nghị </w:t>
      </w:r>
      <w:r w:rsidRPr="00BB0A79">
        <w:rPr>
          <w:rFonts w:ascii="Times New Roman" w:hAnsi="Times New Roman" w:cs="Times New Roman"/>
          <w:color w:val="auto"/>
          <w:sz w:val="28"/>
          <w:szCs w:val="28"/>
        </w:rPr>
        <w:t>Nghị quyết về chính sách hỗ trợ đối với đội ngũ cán bộ, công chức làm công tác tín ngưỡng, tôn giáo trên địa bàn thành phố Hải Phòng giai đoạn 2027-2031.</w:t>
      </w:r>
    </w:p>
    <w:p w:rsidR="00103695" w:rsidRDefault="00103695" w:rsidP="00112AF4">
      <w:pPr>
        <w:spacing w:before="120" w:line="288" w:lineRule="auto"/>
      </w:pPr>
    </w:p>
    <w:sectPr w:rsidR="00103695" w:rsidSect="00747A90">
      <w:headerReference w:type="default" r:id="rId4"/>
      <w:headerReference w:type="first" r:id="rId5"/>
      <w:footnotePr>
        <w:numFmt w:val="upperRoman"/>
      </w:footnotePr>
      <w:pgSz w:w="11900" w:h="16840" w:code="9"/>
      <w:pgMar w:top="1134" w:right="1134" w:bottom="851" w:left="1701" w:header="0" w:footer="6" w:gutter="0"/>
      <w:pgNumType w:start="1"/>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0E5" w:rsidRDefault="00112AF4">
    <w:pPr>
      <w:spacing w:line="1" w:lineRule="exact"/>
    </w:pPr>
    <w:r>
      <w:rPr>
        <w:noProof/>
        <w:lang w:val="en-US" w:eastAsia="en-US" w:bidi="ar-SA"/>
      </w:rPr>
      <mc:AlternateContent>
        <mc:Choice Requires="wps">
          <w:drawing>
            <wp:anchor distT="0" distB="0" distL="0" distR="0" simplePos="0" relativeHeight="251659264" behindDoc="1" locked="0" layoutInCell="1" allowOverlap="1" wp14:anchorId="3F07B9E3" wp14:editId="267317E0">
              <wp:simplePos x="0" y="0"/>
              <wp:positionH relativeFrom="page">
                <wp:posOffset>3919220</wp:posOffset>
              </wp:positionH>
              <wp:positionV relativeFrom="page">
                <wp:posOffset>473075</wp:posOffset>
              </wp:positionV>
              <wp:extent cx="83185" cy="189865"/>
              <wp:effectExtent l="4445"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30E5" w:rsidRDefault="00112AF4">
                          <w:pPr>
                            <w:pStyle w:val="utranghocchntrang20"/>
                            <w:rPr>
                              <w:sz w:val="26"/>
                              <w:szCs w:val="26"/>
                            </w:rPr>
                          </w:pPr>
                          <w:r>
                            <w:fldChar w:fldCharType="begin"/>
                          </w:r>
                          <w:r>
                            <w:instrText xml:space="preserve"> PAGE \* MERGEFORMAT </w:instrText>
                          </w:r>
                          <w:r>
                            <w:fldChar w:fldCharType="separate"/>
                          </w:r>
                          <w:r w:rsidRPr="00112AF4">
                            <w:rPr>
                              <w:noProof/>
                              <w:sz w:val="26"/>
                              <w:szCs w:val="26"/>
                            </w:rPr>
                            <w:t>2</w:t>
                          </w:r>
                          <w:r>
                            <w:rPr>
                              <w:noProof/>
                              <w:sz w:val="26"/>
                              <w:szCs w:val="2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07B9E3" id="_x0000_t202" coordsize="21600,21600" o:spt="202" path="m,l,21600r21600,l21600,xe">
              <v:stroke joinstyle="miter"/>
              <v:path gradientshapeok="t" o:connecttype="rect"/>
            </v:shapetype>
            <v:shape id="Text Box 1" o:spid="_x0000_s1026" type="#_x0000_t202" style="position:absolute;margin-left:308.6pt;margin-top:37.25pt;width:6.55pt;height:14.95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" filled="f" stroked="f">
              <v:textbox style="mso-fit-shape-to-text:t" inset="0,0,0,0">
                <w:txbxContent>
                  <w:p w:rsidR="00D930E5" w:rsidRDefault="00112AF4">
                    <w:pPr>
                      <w:pStyle w:val="utranghocchntrang20"/>
                      <w:rPr>
                        <w:sz w:val="26"/>
                        <w:szCs w:val="26"/>
                      </w:rPr>
                    </w:pPr>
                    <w:r>
                      <w:fldChar w:fldCharType="begin"/>
                    </w:r>
                    <w:r>
                      <w:instrText xml:space="preserve"> PAGE \* MERGEFORMAT </w:instrText>
                    </w:r>
                    <w:r>
                      <w:fldChar w:fldCharType="separate"/>
                    </w:r>
                    <w:r w:rsidRPr="00112AF4">
                      <w:rPr>
                        <w:noProof/>
                        <w:sz w:val="26"/>
                        <w:szCs w:val="26"/>
                      </w:rPr>
                      <w:t>2</w:t>
                    </w:r>
                    <w:r>
                      <w:rPr>
                        <w:noProof/>
                        <w:sz w:val="26"/>
                        <w:szCs w:val="2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0E5" w:rsidRDefault="00112AF4">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Fmt w:val="upperRoman"/>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AF4"/>
    <w:rsid w:val="00103695"/>
    <w:rsid w:val="00112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A782F"/>
  <w15:chartTrackingRefBased/>
  <w15:docId w15:val="{AF605720-71C2-49CE-B291-2783AC2EB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12AF4"/>
    <w:pPr>
      <w:widowControl w:val="0"/>
      <w:spacing w:after="0" w:line="240" w:lineRule="auto"/>
    </w:pPr>
    <w:rPr>
      <w:rFonts w:ascii="Arial Unicode MS" w:eastAsia="Arial Unicode MS" w:hAnsi="Arial Unicode MS" w:cs="Arial Unicode MS"/>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tranghocchntrang2">
    <w:name w:val="Đầu trang hoặc chân trang (2)_"/>
    <w:basedOn w:val="DefaultParagraphFont"/>
    <w:link w:val="utranghocchntrang20"/>
    <w:rsid w:val="00112AF4"/>
    <w:rPr>
      <w:rFonts w:ascii="Times New Roman" w:eastAsia="Times New Roman" w:hAnsi="Times New Roman" w:cs="Times New Roman"/>
      <w:sz w:val="20"/>
      <w:szCs w:val="20"/>
    </w:rPr>
  </w:style>
  <w:style w:type="paragraph" w:customStyle="1" w:styleId="utranghocchntrang20">
    <w:name w:val="Đầu trang hoặc chân trang (2)"/>
    <w:basedOn w:val="Normal"/>
    <w:link w:val="utranghocchntrang2"/>
    <w:rsid w:val="00112AF4"/>
    <w:rPr>
      <w:rFonts w:ascii="Times New Roman" w:eastAsia="Times New Roman" w:hAnsi="Times New Roman" w:cs="Times New Roman"/>
      <w:color w:val="auto"/>
      <w:sz w:val="20"/>
      <w:szCs w:val="20"/>
      <w:lang w:val="en-US" w:eastAsia="en-US" w:bidi="ar-SA"/>
    </w:rPr>
  </w:style>
  <w:style w:type="paragraph" w:styleId="ListParagraph">
    <w:name w:val="List Paragraph"/>
    <w:basedOn w:val="Normal"/>
    <w:uiPriority w:val="34"/>
    <w:qFormat/>
    <w:rsid w:val="00112AF4"/>
    <w:pPr>
      <w:widowControl/>
      <w:spacing w:after="113" w:line="252" w:lineRule="auto"/>
      <w:ind w:left="720" w:right="236" w:firstLine="710"/>
      <w:contextualSpacing/>
      <w:jc w:val="both"/>
    </w:pPr>
    <w:rPr>
      <w:rFonts w:ascii="Times New Roman" w:eastAsia="Times New Roman" w:hAnsi="Times New Roman" w:cs="Times New Roman"/>
      <w:sz w:val="28"/>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3563</Characters>
  <Application>Microsoft Office Word</Application>
  <DocSecurity>0</DocSecurity>
  <Lines>29</Lines>
  <Paragraphs>8</Paragraphs>
  <ScaleCrop>false</ScaleCrop>
  <Company>Microsoft</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2026-10-20T01:49:00Z</dcterms:created>
  <dcterms:modified xsi:type="dcterms:W3CDTF">2026-10-20T01:50:00Z</dcterms:modified>
</cp:coreProperties>
</file>