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54"/>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961"/>
      </w:tblGrid>
      <w:tr w:rsidR="002F4875" w:rsidRPr="00303DDA" w14:paraId="2364BEB7" w14:textId="77777777" w:rsidTr="00C42C53">
        <w:trPr>
          <w:trHeight w:val="1560"/>
        </w:trPr>
        <w:tc>
          <w:tcPr>
            <w:tcW w:w="4786" w:type="dxa"/>
            <w:tcBorders>
              <w:top w:val="nil"/>
              <w:left w:val="nil"/>
              <w:bottom w:val="nil"/>
              <w:right w:val="nil"/>
            </w:tcBorders>
          </w:tcPr>
          <w:p w14:paraId="7251B9EB" w14:textId="77777777" w:rsidR="002F4875" w:rsidRPr="00303DDA" w:rsidRDefault="002F4875" w:rsidP="00C42C53">
            <w:pPr>
              <w:jc w:val="center"/>
              <w:rPr>
                <w:sz w:val="26"/>
                <w:szCs w:val="26"/>
              </w:rPr>
            </w:pPr>
            <w:r>
              <w:rPr>
                <w:sz w:val="26"/>
                <w:szCs w:val="26"/>
              </w:rPr>
              <w:t>SỞ NGOẠI VỤ TP. HẢI PHÒNG</w:t>
            </w:r>
          </w:p>
          <w:p w14:paraId="445656D8" w14:textId="77777777" w:rsidR="002F4875" w:rsidRPr="00543BEE" w:rsidRDefault="002F4875" w:rsidP="00C42C53">
            <w:pPr>
              <w:jc w:val="center"/>
              <w:rPr>
                <w:b/>
                <w:sz w:val="28"/>
                <w:szCs w:val="28"/>
              </w:rPr>
            </w:pPr>
            <w:r>
              <w:rPr>
                <w:b/>
                <w:sz w:val="28"/>
                <w:szCs w:val="28"/>
              </w:rPr>
              <w:t>VĂN PHÒNG SỞ</w:t>
            </w:r>
          </w:p>
          <w:p w14:paraId="3F4E7AA7" w14:textId="77777777" w:rsidR="002F4875" w:rsidRPr="00303DDA" w:rsidRDefault="002F4875" w:rsidP="00C42C53">
            <w:pPr>
              <w:jc w:val="center"/>
              <w:rPr>
                <w:b/>
                <w:sz w:val="26"/>
                <w:szCs w:val="26"/>
              </w:rPr>
            </w:pPr>
            <w:r w:rsidRPr="00303DDA">
              <w:rPr>
                <w:b/>
                <w:noProof/>
                <w:sz w:val="27"/>
                <w:szCs w:val="27"/>
              </w:rPr>
              <mc:AlternateContent>
                <mc:Choice Requires="wps">
                  <w:drawing>
                    <wp:anchor distT="0" distB="0" distL="114300" distR="114300" simplePos="0" relativeHeight="251659264" behindDoc="0" locked="0" layoutInCell="1" allowOverlap="1" wp14:anchorId="6D525E58" wp14:editId="0BFA53ED">
                      <wp:simplePos x="0" y="0"/>
                      <wp:positionH relativeFrom="column">
                        <wp:posOffset>1153160</wp:posOffset>
                      </wp:positionH>
                      <wp:positionV relativeFrom="paragraph">
                        <wp:posOffset>26035</wp:posOffset>
                      </wp:positionV>
                      <wp:extent cx="596265" cy="0"/>
                      <wp:effectExtent l="0" t="0" r="635" b="0"/>
                      <wp:wrapNone/>
                      <wp:docPr id="12685804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5D58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2.05pt" to="13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">
                      <o:lock v:ext="edit" shapetype="f"/>
                    </v:line>
                  </w:pict>
                </mc:Fallback>
              </mc:AlternateContent>
            </w:r>
          </w:p>
          <w:p w14:paraId="40C43EDF" w14:textId="77777777" w:rsidR="002F4875" w:rsidRPr="00303DDA" w:rsidRDefault="002F4875" w:rsidP="00C42C53">
            <w:pPr>
              <w:jc w:val="center"/>
              <w:rPr>
                <w:sz w:val="26"/>
                <w:szCs w:val="26"/>
              </w:rPr>
            </w:pPr>
            <w:r w:rsidRPr="00303DDA">
              <w:rPr>
                <w:sz w:val="26"/>
                <w:szCs w:val="26"/>
              </w:rPr>
              <w:t xml:space="preserve">Số:    </w:t>
            </w:r>
            <w:r>
              <w:rPr>
                <w:sz w:val="26"/>
                <w:szCs w:val="26"/>
              </w:rPr>
              <w:t xml:space="preserve">  </w:t>
            </w:r>
            <w:r w:rsidRPr="00303DDA">
              <w:rPr>
                <w:sz w:val="26"/>
                <w:szCs w:val="26"/>
              </w:rPr>
              <w:t xml:space="preserve">   /</w:t>
            </w:r>
            <w:r>
              <w:rPr>
                <w:sz w:val="26"/>
                <w:szCs w:val="26"/>
              </w:rPr>
              <w:t>TTr-VP</w:t>
            </w:r>
          </w:p>
          <w:p w14:paraId="43ACC18F" w14:textId="774E86EA" w:rsidR="002F4875" w:rsidRPr="00C46D73" w:rsidRDefault="002F4875" w:rsidP="00C42C53">
            <w:pPr>
              <w:pStyle w:val="ThnVnban"/>
              <w:spacing w:before="60" w:line="276" w:lineRule="auto"/>
              <w:jc w:val="center"/>
              <w:rPr>
                <w:color w:val="000000"/>
                <w:sz w:val="24"/>
                <w:szCs w:val="24"/>
                <w:lang w:val="vi-VN"/>
              </w:rPr>
            </w:pPr>
            <w:r w:rsidRPr="00C46D73">
              <w:rPr>
                <w:sz w:val="24"/>
                <w:szCs w:val="24"/>
              </w:rPr>
              <w:t>V/v đề</w:t>
            </w:r>
            <w:r w:rsidRPr="00C46D73">
              <w:rPr>
                <w:sz w:val="24"/>
                <w:szCs w:val="24"/>
                <w:lang w:val="vi-VN"/>
              </w:rPr>
              <w:t xml:space="preserve"> nghị </w:t>
            </w:r>
            <w:r w:rsidRPr="00C46D73">
              <w:rPr>
                <w:color w:val="000000"/>
                <w:sz w:val="24"/>
                <w:szCs w:val="24"/>
                <w:lang w:val="nl-NL"/>
              </w:rPr>
              <w:t>xét</w:t>
            </w:r>
            <w:r w:rsidRPr="00C46D73">
              <w:rPr>
                <w:color w:val="000000"/>
                <w:sz w:val="24"/>
                <w:szCs w:val="24"/>
                <w:lang w:val="vi-VN"/>
              </w:rPr>
              <w:t xml:space="preserve"> </w:t>
            </w:r>
            <w:r w:rsidRPr="00C46D73">
              <w:rPr>
                <w:color w:val="000000"/>
                <w:sz w:val="24"/>
                <w:szCs w:val="24"/>
                <w:lang w:val="nl-NL"/>
              </w:rPr>
              <w:t>nâng lương thường</w:t>
            </w:r>
            <w:r w:rsidRPr="00C46D73">
              <w:rPr>
                <w:color w:val="000000"/>
                <w:sz w:val="24"/>
                <w:szCs w:val="24"/>
                <w:lang w:val="vi-VN"/>
              </w:rPr>
              <w:t xml:space="preserve"> xuyên đối với cán bộ, công chức</w:t>
            </w:r>
            <w:r w:rsidR="003B606F" w:rsidRPr="00C46D73">
              <w:rPr>
                <w:color w:val="000000"/>
                <w:sz w:val="24"/>
                <w:szCs w:val="24"/>
                <w:lang w:val="vi-VN"/>
              </w:rPr>
              <w:t xml:space="preserve"> </w:t>
            </w:r>
            <w:r w:rsidRPr="00C46D73">
              <w:rPr>
                <w:color w:val="000000"/>
                <w:sz w:val="24"/>
                <w:szCs w:val="24"/>
                <w:lang w:val="vi-VN"/>
              </w:rPr>
              <w:t xml:space="preserve">và người lao động </w:t>
            </w:r>
            <w:r w:rsidRPr="00C46D73">
              <w:rPr>
                <w:color w:val="000000"/>
                <w:sz w:val="24"/>
                <w:szCs w:val="24"/>
                <w:lang w:val="nl-NL"/>
              </w:rPr>
              <w:t>năm</w:t>
            </w:r>
          </w:p>
          <w:p w14:paraId="558A6EE7" w14:textId="77777777" w:rsidR="002F4875" w:rsidRPr="00F56CC8" w:rsidRDefault="002F4875" w:rsidP="00C42C53">
            <w:pPr>
              <w:jc w:val="center"/>
            </w:pPr>
          </w:p>
          <w:p w14:paraId="3ACD7999" w14:textId="77777777" w:rsidR="002F4875" w:rsidRPr="00F56CC8" w:rsidRDefault="002F4875" w:rsidP="00C42C53">
            <w:pPr>
              <w:jc w:val="center"/>
            </w:pPr>
          </w:p>
        </w:tc>
        <w:tc>
          <w:tcPr>
            <w:tcW w:w="5961" w:type="dxa"/>
            <w:tcBorders>
              <w:top w:val="nil"/>
              <w:left w:val="nil"/>
              <w:bottom w:val="nil"/>
              <w:right w:val="nil"/>
            </w:tcBorders>
          </w:tcPr>
          <w:p w14:paraId="77BEA8B6" w14:textId="77777777" w:rsidR="002F4875" w:rsidRPr="00303DDA" w:rsidRDefault="002F4875" w:rsidP="00C42C53">
            <w:pPr>
              <w:jc w:val="center"/>
              <w:rPr>
                <w:b/>
                <w:sz w:val="26"/>
                <w:szCs w:val="26"/>
              </w:rPr>
            </w:pPr>
            <w:r w:rsidRPr="00303DDA">
              <w:rPr>
                <w:b/>
                <w:sz w:val="26"/>
                <w:szCs w:val="26"/>
              </w:rPr>
              <w:t>CỘNG HÒA XÃ HỘI CHỦ NGHĨA VIỆT NAM</w:t>
            </w:r>
          </w:p>
          <w:p w14:paraId="685B4EEB" w14:textId="77777777" w:rsidR="002F4875" w:rsidRPr="00303DDA" w:rsidRDefault="002F4875" w:rsidP="00C42C53">
            <w:pPr>
              <w:jc w:val="center"/>
              <w:rPr>
                <w:b/>
                <w:sz w:val="28"/>
                <w:szCs w:val="28"/>
              </w:rPr>
            </w:pPr>
            <w:r w:rsidRPr="00303DDA">
              <w:rPr>
                <w:b/>
                <w:sz w:val="28"/>
                <w:szCs w:val="28"/>
              </w:rPr>
              <w:t>Độc lập - Tự do - Hạnh phúc</w:t>
            </w:r>
          </w:p>
          <w:p w14:paraId="11EF7081" w14:textId="77777777" w:rsidR="002F4875" w:rsidRPr="00303DDA" w:rsidRDefault="002F4875" w:rsidP="00C42C53">
            <w:pPr>
              <w:jc w:val="center"/>
              <w:rPr>
                <w:b/>
                <w:sz w:val="28"/>
                <w:szCs w:val="28"/>
              </w:rPr>
            </w:pPr>
            <w:r w:rsidRPr="00303DDA">
              <w:rPr>
                <w:b/>
                <w:noProof/>
                <w:sz w:val="28"/>
                <w:szCs w:val="28"/>
              </w:rPr>
              <mc:AlternateContent>
                <mc:Choice Requires="wps">
                  <w:drawing>
                    <wp:anchor distT="0" distB="0" distL="114300" distR="114300" simplePos="0" relativeHeight="251660288" behindDoc="0" locked="0" layoutInCell="1" allowOverlap="1" wp14:anchorId="1D726B9D" wp14:editId="49972892">
                      <wp:simplePos x="0" y="0"/>
                      <wp:positionH relativeFrom="column">
                        <wp:posOffset>693420</wp:posOffset>
                      </wp:positionH>
                      <wp:positionV relativeFrom="paragraph">
                        <wp:posOffset>46355</wp:posOffset>
                      </wp:positionV>
                      <wp:extent cx="2197100" cy="0"/>
                      <wp:effectExtent l="0" t="0" r="0" b="0"/>
                      <wp:wrapNone/>
                      <wp:docPr id="3006024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A0E2"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65pt" to="22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">
                      <o:lock v:ext="edit" shapetype="f"/>
                    </v:line>
                  </w:pict>
                </mc:Fallback>
              </mc:AlternateContent>
            </w:r>
          </w:p>
          <w:p w14:paraId="29BBC441" w14:textId="3D50103F" w:rsidR="002F4875" w:rsidRPr="003B606F" w:rsidRDefault="002F4875" w:rsidP="00C42C53">
            <w:pPr>
              <w:jc w:val="center"/>
              <w:rPr>
                <w:i/>
                <w:lang w:val="vi-VN"/>
              </w:rPr>
            </w:pPr>
            <w:r w:rsidRPr="00303DDA">
              <w:rPr>
                <w:i/>
                <w:sz w:val="28"/>
                <w:szCs w:val="28"/>
              </w:rPr>
              <w:t xml:space="preserve">     </w:t>
            </w:r>
            <w:r>
              <w:rPr>
                <w:i/>
                <w:sz w:val="28"/>
                <w:szCs w:val="28"/>
              </w:rPr>
              <w:t>Hải P</w:t>
            </w:r>
            <w:r w:rsidRPr="00303DDA">
              <w:rPr>
                <w:i/>
                <w:sz w:val="28"/>
                <w:szCs w:val="28"/>
              </w:rPr>
              <w:t xml:space="preserve">hòng, ngày  </w:t>
            </w:r>
            <w:r>
              <w:rPr>
                <w:i/>
                <w:sz w:val="28"/>
                <w:szCs w:val="28"/>
              </w:rPr>
              <w:t xml:space="preserve">  </w:t>
            </w:r>
            <w:r w:rsidRPr="00303DDA">
              <w:rPr>
                <w:i/>
                <w:sz w:val="28"/>
                <w:szCs w:val="28"/>
              </w:rPr>
              <w:t xml:space="preserve"> </w:t>
            </w:r>
            <w:r>
              <w:rPr>
                <w:i/>
                <w:sz w:val="28"/>
                <w:szCs w:val="28"/>
              </w:rPr>
              <w:t xml:space="preserve">tháng   </w:t>
            </w:r>
            <w:r w:rsidRPr="00303DDA">
              <w:rPr>
                <w:i/>
                <w:sz w:val="28"/>
                <w:szCs w:val="28"/>
              </w:rPr>
              <w:t xml:space="preserve">năm </w:t>
            </w:r>
            <w:r w:rsidR="003B606F">
              <w:rPr>
                <w:i/>
                <w:sz w:val="28"/>
                <w:szCs w:val="28"/>
                <w:lang w:val="vi-VN"/>
              </w:rPr>
              <w:t xml:space="preserve"> </w:t>
            </w:r>
          </w:p>
        </w:tc>
      </w:tr>
    </w:tbl>
    <w:p w14:paraId="6AF548CC" w14:textId="77777777" w:rsidR="002F4875" w:rsidRPr="00F8169B" w:rsidRDefault="002F4875" w:rsidP="003B606F">
      <w:pPr>
        <w:jc w:val="center"/>
        <w:rPr>
          <w:spacing w:val="-4"/>
          <w:sz w:val="28"/>
          <w:szCs w:val="28"/>
        </w:rPr>
      </w:pPr>
      <w:r w:rsidRPr="00F8169B">
        <w:rPr>
          <w:spacing w:val="-4"/>
          <w:sz w:val="28"/>
          <w:szCs w:val="28"/>
        </w:rPr>
        <w:t>Kính gửi: Giám đốc Sở</w:t>
      </w:r>
    </w:p>
    <w:p w14:paraId="5EF69D8A" w14:textId="77777777" w:rsidR="002F4875" w:rsidRPr="00F8169B" w:rsidRDefault="002F4875" w:rsidP="002F4875">
      <w:pPr>
        <w:rPr>
          <w:spacing w:val="-4"/>
          <w:sz w:val="28"/>
          <w:szCs w:val="28"/>
        </w:rPr>
      </w:pPr>
    </w:p>
    <w:p w14:paraId="2EA2669E" w14:textId="77777777" w:rsidR="003B606F" w:rsidRPr="003B606F" w:rsidRDefault="002F4875" w:rsidP="003B606F">
      <w:pPr>
        <w:pStyle w:val="ThnVnban"/>
        <w:spacing w:before="60" w:line="276" w:lineRule="auto"/>
        <w:rPr>
          <w:bCs/>
          <w:lang w:val="vi-VN"/>
        </w:rPr>
      </w:pPr>
      <w:r>
        <w:rPr>
          <w:rFonts w:cs="Times New Roman"/>
          <w:bCs/>
          <w:lang w:val="vi-VN"/>
        </w:rPr>
        <w:tab/>
      </w:r>
      <w:r w:rsidR="003B606F" w:rsidRPr="003B606F">
        <w:rPr>
          <w:bCs/>
        </w:rPr>
        <w:t xml:space="preserve">Căn cứ Nghị định số 204/2004/NĐ-CP ngày 14 tháng 12 năm 2004 của Chính phủ về chế độ tiền lương đối với cán bộ, công chức, viên chức và lực lượng vũ </w:t>
      </w:r>
      <w:proofErr w:type="gramStart"/>
      <w:r w:rsidR="003B606F" w:rsidRPr="003B606F">
        <w:rPr>
          <w:bCs/>
        </w:rPr>
        <w:t>trang;</w:t>
      </w:r>
      <w:proofErr w:type="gramEnd"/>
    </w:p>
    <w:p w14:paraId="274796AA" w14:textId="77777777" w:rsidR="003B606F" w:rsidRPr="003B606F" w:rsidRDefault="003B606F" w:rsidP="003B606F">
      <w:pPr>
        <w:pStyle w:val="ThnVnban"/>
        <w:spacing w:before="60" w:line="276" w:lineRule="auto"/>
        <w:ind w:firstLine="720"/>
        <w:rPr>
          <w:bCs/>
          <w:lang w:val="vi-VN"/>
        </w:rPr>
      </w:pPr>
      <w:r w:rsidRPr="003B606F">
        <w:rPr>
          <w:bCs/>
        </w:rPr>
        <w:t xml:space="preserve">Căn cứ Thông tư số 08/2013/TT-BNV ngày 31 tháng 7 năm 2013 của Bộ trưởng Bộ Nội vụ hướng dẫn thực hiện chể độ nâng bậc lương thường xuyên và nâng bậc lương trước thời hạn đối với cán bộ, công chức, viên chức và người lao </w:t>
      </w:r>
      <w:proofErr w:type="gramStart"/>
      <w:r w:rsidRPr="003B606F">
        <w:rPr>
          <w:bCs/>
        </w:rPr>
        <w:t>động;</w:t>
      </w:r>
      <w:proofErr w:type="gramEnd"/>
    </w:p>
    <w:p w14:paraId="006BB461" w14:textId="77777777" w:rsidR="003B606F" w:rsidRPr="003B606F" w:rsidRDefault="003B606F" w:rsidP="003B606F">
      <w:pPr>
        <w:pStyle w:val="ThnVnban"/>
        <w:spacing w:before="60" w:line="276" w:lineRule="auto"/>
        <w:ind w:firstLine="720"/>
        <w:rPr>
          <w:bCs/>
          <w:lang w:val="vi-VN"/>
        </w:rPr>
      </w:pPr>
      <w:r w:rsidRPr="003B606F">
        <w:rPr>
          <w:bCs/>
        </w:rPr>
        <w:t xml:space="preserve">Căn cứ Thông tự số 03/2021/TT-BNV ngày 29 tháng 6 năm 2021 của Bộ trưởng Bộ Nội vụ về việc sửa đổi, bổ sung chể độ nâng bậc lương thường xuyên, nâng bậc lương trước thời hạn và chế độ phụ cấp thâm niên vượt khung đối với cán bộ, công chức, viên chức và người lao </w:t>
      </w:r>
      <w:proofErr w:type="gramStart"/>
      <w:r w:rsidRPr="003B606F">
        <w:rPr>
          <w:bCs/>
        </w:rPr>
        <w:t>động;</w:t>
      </w:r>
      <w:proofErr w:type="gramEnd"/>
    </w:p>
    <w:p w14:paraId="3EF39EB1" w14:textId="77777777" w:rsidR="003B606F" w:rsidRPr="003B606F" w:rsidRDefault="003B606F" w:rsidP="003B606F">
      <w:pPr>
        <w:pStyle w:val="ThnVnban"/>
        <w:spacing w:before="60" w:line="276" w:lineRule="auto"/>
        <w:ind w:firstLine="720"/>
        <w:rPr>
          <w:bCs/>
        </w:rPr>
      </w:pPr>
      <w:r w:rsidRPr="003B606F">
        <w:rPr>
          <w:bCs/>
        </w:rPr>
        <w:t xml:space="preserve">Căn cứ Văn bản hợp nhất số 02/VBHN-BNV ngày 05 tháng 12 năm 2022 của Bộ trưởng Bộ Nội vụ hướng dẫn thực hiện chế độ nâng bậc lương thường xuyên và nâng bậc lương trước thời hạn đối với cán bộ, công chức và người lao </w:t>
      </w:r>
      <w:proofErr w:type="gramStart"/>
      <w:r w:rsidRPr="003B606F">
        <w:rPr>
          <w:bCs/>
        </w:rPr>
        <w:t>động;</w:t>
      </w:r>
      <w:proofErr w:type="gramEnd"/>
    </w:p>
    <w:p w14:paraId="231BC1A6" w14:textId="77777777" w:rsidR="003B606F" w:rsidRPr="003B606F" w:rsidRDefault="003B606F" w:rsidP="003B606F">
      <w:pPr>
        <w:pStyle w:val="ThnVnban"/>
        <w:spacing w:before="60" w:line="276" w:lineRule="auto"/>
        <w:ind w:firstLine="720"/>
        <w:rPr>
          <w:bCs/>
        </w:rPr>
      </w:pPr>
      <w:r w:rsidRPr="003B606F">
        <w:rPr>
          <w:bCs/>
        </w:rPr>
        <w:t xml:space="preserve">Căn cứ Quyết định số </w:t>
      </w:r>
      <w:r w:rsidRPr="003B606F">
        <w:rPr>
          <w:bCs/>
          <w:lang w:val="vi-VN"/>
        </w:rPr>
        <w:t xml:space="preserve">178/2025/QĐ-CTUBND ngày 01/10/2025 của Chủ tịch Uỷ ban nhân dân thành phố Hải Phòng ban hành Quy định </w:t>
      </w:r>
      <w:r w:rsidRPr="003B606F">
        <w:rPr>
          <w:bCs/>
        </w:rPr>
        <w:t xml:space="preserve">nâng bậc lương trước thời hạn đối với cán bộ, công chức, viên chức và người lao động lập thành tích xuất sắc trong thực hiện nhiệm </w:t>
      </w:r>
      <w:proofErr w:type="gramStart"/>
      <w:r w:rsidRPr="003B606F">
        <w:rPr>
          <w:bCs/>
        </w:rPr>
        <w:t>vụ;</w:t>
      </w:r>
      <w:proofErr w:type="gramEnd"/>
    </w:p>
    <w:p w14:paraId="70C1DC84" w14:textId="1AB2E044" w:rsidR="002F4875" w:rsidRPr="003B606F" w:rsidRDefault="003B606F" w:rsidP="003B606F">
      <w:pPr>
        <w:pStyle w:val="ThnVnban"/>
        <w:spacing w:before="60" w:line="276" w:lineRule="auto"/>
        <w:ind w:firstLine="709"/>
        <w:rPr>
          <w:lang w:val="vi-VN"/>
        </w:rPr>
      </w:pPr>
      <w:r w:rsidRPr="003B606F">
        <w:rPr>
          <w:rFonts w:cs="Times New Roman"/>
          <w:bCs/>
        </w:rPr>
        <w:t>Căn cứ Quyết định số 6</w:t>
      </w:r>
      <w:r w:rsidRPr="003B606F">
        <w:rPr>
          <w:rFonts w:cs="Times New Roman"/>
          <w:bCs/>
          <w:lang w:val="vi-VN"/>
        </w:rPr>
        <w:t>2</w:t>
      </w:r>
      <w:r w:rsidRPr="003B606F">
        <w:rPr>
          <w:rFonts w:cs="Times New Roman"/>
          <w:bCs/>
        </w:rPr>
        <w:t>/202</w:t>
      </w:r>
      <w:r w:rsidRPr="003B606F">
        <w:rPr>
          <w:rFonts w:cs="Times New Roman"/>
          <w:bCs/>
          <w:lang w:val="vi-VN"/>
        </w:rPr>
        <w:t>5</w:t>
      </w:r>
      <w:r w:rsidRPr="003B606F">
        <w:rPr>
          <w:rFonts w:cs="Times New Roman"/>
          <w:bCs/>
        </w:rPr>
        <w:t xml:space="preserve">/QĐ-UBND ngày </w:t>
      </w:r>
      <w:r w:rsidRPr="003B606F">
        <w:rPr>
          <w:rFonts w:cs="Times New Roman"/>
          <w:bCs/>
          <w:lang w:val="vi-VN"/>
        </w:rPr>
        <w:t>01</w:t>
      </w:r>
      <w:r w:rsidRPr="003B606F">
        <w:rPr>
          <w:rFonts w:cs="Times New Roman"/>
          <w:bCs/>
        </w:rPr>
        <w:t xml:space="preserve"> tháng </w:t>
      </w:r>
      <w:r w:rsidRPr="003B606F">
        <w:rPr>
          <w:rFonts w:cs="Times New Roman"/>
          <w:bCs/>
          <w:lang w:val="vi-VN"/>
        </w:rPr>
        <w:t>7</w:t>
      </w:r>
      <w:r w:rsidRPr="003B606F">
        <w:rPr>
          <w:rFonts w:cs="Times New Roman"/>
          <w:bCs/>
        </w:rPr>
        <w:t xml:space="preserve"> năm 202</w:t>
      </w:r>
      <w:r w:rsidRPr="003B606F">
        <w:rPr>
          <w:rFonts w:cs="Times New Roman"/>
          <w:bCs/>
          <w:lang w:val="vi-VN"/>
        </w:rPr>
        <w:t>5</w:t>
      </w:r>
      <w:r w:rsidRPr="003B606F">
        <w:rPr>
          <w:rFonts w:cs="Times New Roman"/>
          <w:bCs/>
        </w:rPr>
        <w:t xml:space="preserve"> của Ủy ban nhân dân thành phố Hải Phòng quy định chức năng, nhiệm vụ, quyền hạn và cơ cấu tổ chức của Sở Ngoại vụ thành phố Hải </w:t>
      </w:r>
      <w:proofErr w:type="gramStart"/>
      <w:r w:rsidRPr="003B606F">
        <w:rPr>
          <w:rFonts w:cs="Times New Roman"/>
          <w:bCs/>
        </w:rPr>
        <w:t>Phòng;</w:t>
      </w:r>
      <w:proofErr w:type="gramEnd"/>
    </w:p>
    <w:p w14:paraId="5835AC5D" w14:textId="4F8F9C5F" w:rsidR="002F4875" w:rsidRDefault="002F4875" w:rsidP="002F4875">
      <w:pPr>
        <w:spacing w:before="120" w:after="120" w:line="320" w:lineRule="exact"/>
        <w:ind w:firstLine="709"/>
        <w:jc w:val="both"/>
        <w:rPr>
          <w:sz w:val="28"/>
          <w:szCs w:val="28"/>
          <w:lang w:val="vi-VN"/>
        </w:rPr>
      </w:pPr>
      <w:r w:rsidRPr="00F8169B">
        <w:rPr>
          <w:sz w:val="28"/>
          <w:szCs w:val="28"/>
        </w:rPr>
        <w:t xml:space="preserve">Căn cứ Quyết định số </w:t>
      </w:r>
      <w:r w:rsidR="003B606F">
        <w:rPr>
          <w:sz w:val="28"/>
          <w:szCs w:val="28"/>
          <w:lang w:val="vi-VN"/>
        </w:rPr>
        <w:t>120</w:t>
      </w:r>
      <w:r w:rsidRPr="00F8169B">
        <w:rPr>
          <w:sz w:val="28"/>
          <w:szCs w:val="28"/>
        </w:rPr>
        <w:t xml:space="preserve">/QĐ-NV ngày </w:t>
      </w:r>
      <w:r w:rsidR="003B606F">
        <w:rPr>
          <w:color w:val="FF0000"/>
          <w:sz w:val="28"/>
          <w:szCs w:val="28"/>
          <w:lang w:val="vi-VN"/>
        </w:rPr>
        <w:t>19/8/2025</w:t>
      </w:r>
      <w:r w:rsidRPr="00F8169B">
        <w:rPr>
          <w:sz w:val="28"/>
          <w:szCs w:val="28"/>
        </w:rPr>
        <w:t xml:space="preserve"> của Sở Ngoại vụ về việc </w:t>
      </w:r>
      <w:r w:rsidR="003B606F">
        <w:rPr>
          <w:sz w:val="28"/>
          <w:szCs w:val="28"/>
        </w:rPr>
        <w:t>thành</w:t>
      </w:r>
      <w:r w:rsidR="003B606F">
        <w:rPr>
          <w:sz w:val="28"/>
          <w:szCs w:val="28"/>
          <w:lang w:val="vi-VN"/>
        </w:rPr>
        <w:t xml:space="preserve"> lập</w:t>
      </w:r>
      <w:r w:rsidRPr="00F8169B">
        <w:rPr>
          <w:sz w:val="28"/>
          <w:szCs w:val="28"/>
        </w:rPr>
        <w:t xml:space="preserve"> Hội đồng thi đua - Khen thưởng, Sở Ngoại vụ Hải </w:t>
      </w:r>
      <w:proofErr w:type="gramStart"/>
      <w:r w:rsidRPr="00F8169B">
        <w:rPr>
          <w:sz w:val="28"/>
          <w:szCs w:val="28"/>
        </w:rPr>
        <w:t>Phòng</w:t>
      </w:r>
      <w:r>
        <w:rPr>
          <w:sz w:val="28"/>
          <w:szCs w:val="28"/>
          <w:lang w:val="vi-VN"/>
        </w:rPr>
        <w:t>;</w:t>
      </w:r>
      <w:proofErr w:type="gramEnd"/>
    </w:p>
    <w:p w14:paraId="5E8F80EC" w14:textId="1DC94D23" w:rsidR="003B606F" w:rsidRPr="00F8169B" w:rsidRDefault="003B606F" w:rsidP="003B606F">
      <w:pPr>
        <w:spacing w:before="120" w:after="120" w:line="320" w:lineRule="exact"/>
        <w:ind w:firstLine="709"/>
        <w:jc w:val="both"/>
        <w:rPr>
          <w:sz w:val="28"/>
          <w:szCs w:val="28"/>
          <w:lang w:val="vi-VN"/>
        </w:rPr>
      </w:pPr>
      <w:r>
        <w:rPr>
          <w:sz w:val="28"/>
          <w:szCs w:val="28"/>
          <w:lang w:val="vi-VN"/>
        </w:rPr>
        <w:t>Căn cứ Quyết định số.   /QĐ-NV ngày.  /10/2025 của Giám đốc Sở Ngoại vụ b</w:t>
      </w:r>
      <w:r w:rsidRPr="003B606F">
        <w:rPr>
          <w:sz w:val="28"/>
          <w:szCs w:val="28"/>
          <w:lang w:val="vi-VN"/>
        </w:rPr>
        <w:t>an hành quy chế thực hiện chế độ nâng bậc lương thường xuyên và nâng bậc lương trước thời hạn đối với công chức và người lao động</w:t>
      </w:r>
      <w:r>
        <w:rPr>
          <w:sz w:val="28"/>
          <w:szCs w:val="28"/>
          <w:lang w:val="vi-VN"/>
        </w:rPr>
        <w:t xml:space="preserve"> </w:t>
      </w:r>
      <w:r w:rsidRPr="003B606F">
        <w:rPr>
          <w:sz w:val="28"/>
          <w:szCs w:val="28"/>
          <w:lang w:val="vi-VN"/>
        </w:rPr>
        <w:t>của Sở Ngoại vụ thành phố Hải Phòng</w:t>
      </w:r>
      <w:r>
        <w:rPr>
          <w:sz w:val="28"/>
          <w:szCs w:val="28"/>
          <w:lang w:val="vi-VN"/>
        </w:rPr>
        <w:t>;</w:t>
      </w:r>
    </w:p>
    <w:p w14:paraId="1E2241BB" w14:textId="4EA0E6C5" w:rsidR="002F4875" w:rsidRPr="00F8169B" w:rsidRDefault="002F4875" w:rsidP="002F4875">
      <w:pPr>
        <w:spacing w:before="120" w:after="120" w:line="320" w:lineRule="exact"/>
        <w:ind w:firstLine="709"/>
        <w:jc w:val="both"/>
        <w:rPr>
          <w:sz w:val="28"/>
          <w:szCs w:val="28"/>
          <w:lang w:val="vi-VN"/>
        </w:rPr>
      </w:pPr>
      <w:r w:rsidRPr="00F8169B">
        <w:rPr>
          <w:sz w:val="28"/>
          <w:szCs w:val="28"/>
        </w:rPr>
        <w:lastRenderedPageBreak/>
        <w:t>Căn cứ các điều kiện nâng lương thường xuyên và nâng lương trước thời hạn,</w:t>
      </w:r>
      <w:r>
        <w:rPr>
          <w:sz w:val="28"/>
          <w:szCs w:val="28"/>
          <w:lang w:val="vi-VN"/>
        </w:rPr>
        <w:t xml:space="preserve"> xét quá trình công tác luôn hoàn thành tốt nhiệm vụ được giao, không vi phạm, không bị xử lý kỷ luật,</w:t>
      </w:r>
      <w:r w:rsidRPr="00F8169B">
        <w:rPr>
          <w:sz w:val="28"/>
          <w:szCs w:val="28"/>
        </w:rPr>
        <w:t xml:space="preserve"> Văn phòng Sở</w:t>
      </w:r>
      <w:r>
        <w:rPr>
          <w:sz w:val="28"/>
          <w:szCs w:val="28"/>
          <w:lang w:val="vi-VN"/>
        </w:rPr>
        <w:t xml:space="preserve"> lập tờ trình kính đề nghị Gíam đốc Sở xét</w:t>
      </w:r>
      <w:r w:rsidRPr="00F8169B">
        <w:rPr>
          <w:sz w:val="28"/>
          <w:szCs w:val="28"/>
        </w:rPr>
        <w:t xml:space="preserve"> nâng</w:t>
      </w:r>
      <w:r>
        <w:rPr>
          <w:sz w:val="28"/>
          <w:szCs w:val="28"/>
          <w:lang w:val="vi-VN"/>
        </w:rPr>
        <w:t xml:space="preserve"> bậc</w:t>
      </w:r>
      <w:r w:rsidRPr="00F8169B">
        <w:rPr>
          <w:sz w:val="28"/>
          <w:szCs w:val="28"/>
        </w:rPr>
        <w:t xml:space="preserve"> lương </w:t>
      </w:r>
      <w:r>
        <w:rPr>
          <w:sz w:val="28"/>
          <w:szCs w:val="28"/>
        </w:rPr>
        <w:t>thường</w:t>
      </w:r>
      <w:r>
        <w:rPr>
          <w:sz w:val="28"/>
          <w:szCs w:val="28"/>
          <w:lang w:val="vi-VN"/>
        </w:rPr>
        <w:t xml:space="preserve"> xuyên </w:t>
      </w:r>
      <w:r>
        <w:rPr>
          <w:sz w:val="28"/>
          <w:szCs w:val="28"/>
        </w:rPr>
        <w:t>cho</w:t>
      </w:r>
      <w:r>
        <w:rPr>
          <w:sz w:val="28"/>
          <w:szCs w:val="28"/>
          <w:lang w:val="vi-VN"/>
        </w:rPr>
        <w:t xml:space="preserve"> các cán bộ, công chức và người lao động sau đây: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418"/>
        <w:gridCol w:w="1134"/>
        <w:gridCol w:w="1275"/>
        <w:gridCol w:w="1701"/>
      </w:tblGrid>
      <w:tr w:rsidR="002F4875" w:rsidRPr="00022AAD" w14:paraId="2C3252FF" w14:textId="77777777" w:rsidTr="00C42C53">
        <w:trPr>
          <w:trHeight w:val="360"/>
        </w:trPr>
        <w:tc>
          <w:tcPr>
            <w:tcW w:w="1668" w:type="dxa"/>
            <w:vMerge w:val="restart"/>
            <w:shd w:val="clear" w:color="000000" w:fill="FFFFFF"/>
            <w:vAlign w:val="center"/>
            <w:hideMark/>
          </w:tcPr>
          <w:p w14:paraId="23406386" w14:textId="77777777" w:rsidR="002F4875" w:rsidRPr="00022AAD" w:rsidRDefault="002F4875" w:rsidP="00C42C53">
            <w:pPr>
              <w:spacing w:before="120" w:after="120" w:line="288" w:lineRule="auto"/>
              <w:jc w:val="center"/>
              <w:rPr>
                <w:b/>
                <w:bCs/>
                <w:color w:val="000000"/>
              </w:rPr>
            </w:pPr>
            <w:r w:rsidRPr="00022AAD">
              <w:rPr>
                <w:b/>
                <w:bCs/>
                <w:color w:val="000000"/>
              </w:rPr>
              <w:t>Họ và tên</w:t>
            </w:r>
          </w:p>
        </w:tc>
        <w:tc>
          <w:tcPr>
            <w:tcW w:w="1984" w:type="dxa"/>
            <w:vMerge w:val="restart"/>
            <w:shd w:val="clear" w:color="000000" w:fill="FFFFFF"/>
            <w:vAlign w:val="center"/>
            <w:hideMark/>
          </w:tcPr>
          <w:p w14:paraId="7836D52E" w14:textId="77777777" w:rsidR="002F4875" w:rsidRPr="00022AAD" w:rsidRDefault="002F4875" w:rsidP="00C42C53">
            <w:pPr>
              <w:spacing w:before="120" w:after="120" w:line="288" w:lineRule="auto"/>
              <w:jc w:val="center"/>
              <w:rPr>
                <w:b/>
                <w:bCs/>
                <w:color w:val="000000"/>
              </w:rPr>
            </w:pPr>
            <w:r w:rsidRPr="00022AAD">
              <w:rPr>
                <w:b/>
                <w:bCs/>
                <w:color w:val="000000"/>
              </w:rPr>
              <w:t>Chức vụ hoặc chức danh công tác</w:t>
            </w:r>
          </w:p>
        </w:tc>
        <w:tc>
          <w:tcPr>
            <w:tcW w:w="1418" w:type="dxa"/>
            <w:vMerge w:val="restart"/>
            <w:shd w:val="clear" w:color="000000" w:fill="FFFFFF"/>
            <w:vAlign w:val="center"/>
            <w:hideMark/>
          </w:tcPr>
          <w:p w14:paraId="6A9D4D2E" w14:textId="77777777" w:rsidR="002F4875" w:rsidRPr="00022AAD" w:rsidRDefault="002F4875" w:rsidP="00C42C53">
            <w:pPr>
              <w:spacing w:before="120" w:after="120" w:line="288" w:lineRule="auto"/>
              <w:jc w:val="center"/>
              <w:rPr>
                <w:b/>
                <w:bCs/>
                <w:color w:val="000000"/>
              </w:rPr>
            </w:pPr>
            <w:r w:rsidRPr="00022AAD">
              <w:rPr>
                <w:b/>
                <w:bCs/>
                <w:color w:val="000000"/>
              </w:rPr>
              <w:t>Mã số ngạch hiện giữ</w:t>
            </w:r>
          </w:p>
        </w:tc>
        <w:tc>
          <w:tcPr>
            <w:tcW w:w="4110" w:type="dxa"/>
            <w:gridSpan w:val="3"/>
            <w:shd w:val="clear" w:color="000000" w:fill="FFFFFF"/>
            <w:vAlign w:val="center"/>
            <w:hideMark/>
          </w:tcPr>
          <w:p w14:paraId="2FA6C723" w14:textId="77777777" w:rsidR="002F4875" w:rsidRPr="00022AAD" w:rsidRDefault="002F4875" w:rsidP="00C42C53">
            <w:pPr>
              <w:spacing w:before="120" w:after="120" w:line="288" w:lineRule="auto"/>
              <w:jc w:val="center"/>
              <w:rPr>
                <w:b/>
                <w:bCs/>
                <w:color w:val="000000"/>
              </w:rPr>
            </w:pPr>
            <w:r w:rsidRPr="00022AAD">
              <w:rPr>
                <w:b/>
                <w:bCs/>
                <w:color w:val="000000"/>
              </w:rPr>
              <w:t>Mức lương hiện hưởng</w:t>
            </w:r>
          </w:p>
        </w:tc>
      </w:tr>
      <w:tr w:rsidR="002F4875" w:rsidRPr="00022AAD" w14:paraId="1BCFB5D5" w14:textId="77777777" w:rsidTr="00C42C53">
        <w:trPr>
          <w:trHeight w:val="724"/>
        </w:trPr>
        <w:tc>
          <w:tcPr>
            <w:tcW w:w="1668" w:type="dxa"/>
            <w:vMerge/>
            <w:vAlign w:val="center"/>
            <w:hideMark/>
          </w:tcPr>
          <w:p w14:paraId="21A6CCD7" w14:textId="77777777" w:rsidR="002F4875" w:rsidRPr="00022AAD" w:rsidRDefault="002F4875" w:rsidP="00C42C53">
            <w:pPr>
              <w:spacing w:before="120" w:after="120" w:line="288" w:lineRule="auto"/>
              <w:jc w:val="center"/>
              <w:rPr>
                <w:b/>
                <w:bCs/>
                <w:color w:val="000000"/>
              </w:rPr>
            </w:pPr>
          </w:p>
        </w:tc>
        <w:tc>
          <w:tcPr>
            <w:tcW w:w="1984" w:type="dxa"/>
            <w:vMerge/>
            <w:vAlign w:val="center"/>
            <w:hideMark/>
          </w:tcPr>
          <w:p w14:paraId="170D2388" w14:textId="77777777" w:rsidR="002F4875" w:rsidRPr="00022AAD" w:rsidRDefault="002F4875" w:rsidP="00C42C53">
            <w:pPr>
              <w:spacing w:before="120" w:after="120" w:line="288" w:lineRule="auto"/>
              <w:jc w:val="center"/>
              <w:rPr>
                <w:b/>
                <w:bCs/>
                <w:color w:val="000000"/>
              </w:rPr>
            </w:pPr>
          </w:p>
        </w:tc>
        <w:tc>
          <w:tcPr>
            <w:tcW w:w="1418" w:type="dxa"/>
            <w:vMerge/>
            <w:vAlign w:val="center"/>
            <w:hideMark/>
          </w:tcPr>
          <w:p w14:paraId="6E18E08F" w14:textId="77777777" w:rsidR="002F4875" w:rsidRPr="00022AAD" w:rsidRDefault="002F4875" w:rsidP="00C42C53">
            <w:pPr>
              <w:spacing w:before="120" w:after="120" w:line="288" w:lineRule="auto"/>
              <w:jc w:val="center"/>
              <w:rPr>
                <w:b/>
                <w:bCs/>
                <w:color w:val="000000"/>
              </w:rPr>
            </w:pPr>
          </w:p>
        </w:tc>
        <w:tc>
          <w:tcPr>
            <w:tcW w:w="1134" w:type="dxa"/>
            <w:shd w:val="clear" w:color="000000" w:fill="FFFFFF"/>
            <w:vAlign w:val="center"/>
            <w:hideMark/>
          </w:tcPr>
          <w:p w14:paraId="4B6BCB14" w14:textId="77777777" w:rsidR="002F4875" w:rsidRPr="00022AAD" w:rsidRDefault="002F4875" w:rsidP="00C42C53">
            <w:pPr>
              <w:spacing w:before="120" w:after="120" w:line="288" w:lineRule="auto"/>
              <w:jc w:val="center"/>
              <w:rPr>
                <w:b/>
                <w:bCs/>
                <w:color w:val="000000"/>
              </w:rPr>
            </w:pPr>
            <w:r>
              <w:rPr>
                <w:b/>
                <w:bCs/>
                <w:color w:val="000000"/>
              </w:rPr>
              <w:t>B</w:t>
            </w:r>
            <w:r w:rsidRPr="00022AAD">
              <w:rPr>
                <w:b/>
                <w:bCs/>
                <w:color w:val="000000"/>
              </w:rPr>
              <w:t>ậc</w:t>
            </w:r>
          </w:p>
        </w:tc>
        <w:tc>
          <w:tcPr>
            <w:tcW w:w="1275" w:type="dxa"/>
            <w:shd w:val="clear" w:color="000000" w:fill="FFFFFF"/>
            <w:vAlign w:val="center"/>
            <w:hideMark/>
          </w:tcPr>
          <w:p w14:paraId="015AA54C" w14:textId="77777777" w:rsidR="002F4875" w:rsidRPr="00022AAD" w:rsidRDefault="002F4875" w:rsidP="00C42C53">
            <w:pPr>
              <w:spacing w:before="120" w:after="120" w:line="288" w:lineRule="auto"/>
              <w:jc w:val="center"/>
              <w:rPr>
                <w:b/>
                <w:bCs/>
                <w:color w:val="000000"/>
              </w:rPr>
            </w:pPr>
            <w:r w:rsidRPr="00022AAD">
              <w:rPr>
                <w:b/>
                <w:bCs/>
                <w:color w:val="000000"/>
              </w:rPr>
              <w:t>Hệ số lương</w:t>
            </w:r>
          </w:p>
        </w:tc>
        <w:tc>
          <w:tcPr>
            <w:tcW w:w="1701" w:type="dxa"/>
            <w:shd w:val="clear" w:color="000000" w:fill="FFFFFF"/>
            <w:vAlign w:val="center"/>
            <w:hideMark/>
          </w:tcPr>
          <w:p w14:paraId="0D83FEB9" w14:textId="77777777" w:rsidR="002F4875" w:rsidRPr="00022AAD" w:rsidRDefault="002F4875" w:rsidP="00C42C53">
            <w:pPr>
              <w:spacing w:before="120" w:after="120" w:line="288" w:lineRule="auto"/>
              <w:jc w:val="center"/>
              <w:rPr>
                <w:b/>
                <w:bCs/>
                <w:color w:val="000000"/>
              </w:rPr>
            </w:pPr>
            <w:r w:rsidRPr="00022AAD">
              <w:rPr>
                <w:b/>
                <w:bCs/>
                <w:color w:val="000000"/>
              </w:rPr>
              <w:t>Mốc xét nâng lương lần sau</w:t>
            </w:r>
          </w:p>
        </w:tc>
      </w:tr>
      <w:tr w:rsidR="002F4875" w:rsidRPr="00022AAD" w14:paraId="747B4523" w14:textId="77777777" w:rsidTr="00C42C53">
        <w:trPr>
          <w:trHeight w:val="961"/>
        </w:trPr>
        <w:tc>
          <w:tcPr>
            <w:tcW w:w="1668" w:type="dxa"/>
            <w:vAlign w:val="center"/>
            <w:hideMark/>
          </w:tcPr>
          <w:p w14:paraId="0A7F7B52" w14:textId="77777777" w:rsidR="002F4875" w:rsidRPr="00022AAD" w:rsidRDefault="002F4875" w:rsidP="00C42C53">
            <w:pPr>
              <w:spacing w:before="120" w:after="120" w:line="288" w:lineRule="auto"/>
              <w:jc w:val="center"/>
              <w:rPr>
                <w:color w:val="000000"/>
              </w:rPr>
            </w:pPr>
          </w:p>
        </w:tc>
        <w:tc>
          <w:tcPr>
            <w:tcW w:w="1984" w:type="dxa"/>
            <w:vAlign w:val="center"/>
            <w:hideMark/>
          </w:tcPr>
          <w:p w14:paraId="57AAA6D5" w14:textId="77777777" w:rsidR="002F4875" w:rsidRPr="000F2D4D" w:rsidRDefault="002F4875" w:rsidP="00C42C53">
            <w:pPr>
              <w:spacing w:before="120" w:after="120" w:line="288" w:lineRule="auto"/>
              <w:jc w:val="center"/>
              <w:rPr>
                <w:color w:val="000000"/>
                <w:lang w:val="vi-VN"/>
              </w:rPr>
            </w:pPr>
          </w:p>
        </w:tc>
        <w:tc>
          <w:tcPr>
            <w:tcW w:w="1418" w:type="dxa"/>
            <w:vAlign w:val="center"/>
            <w:hideMark/>
          </w:tcPr>
          <w:p w14:paraId="48CF17C0" w14:textId="77777777" w:rsidR="002F4875" w:rsidRPr="000F2D4D" w:rsidRDefault="002F4875" w:rsidP="00C42C53">
            <w:pPr>
              <w:spacing w:before="120" w:after="120" w:line="288" w:lineRule="auto"/>
              <w:jc w:val="center"/>
              <w:rPr>
                <w:lang w:val="vi-VN"/>
              </w:rPr>
            </w:pPr>
          </w:p>
        </w:tc>
        <w:tc>
          <w:tcPr>
            <w:tcW w:w="1134" w:type="dxa"/>
            <w:vAlign w:val="center"/>
            <w:hideMark/>
          </w:tcPr>
          <w:p w14:paraId="4BCF0527" w14:textId="77777777" w:rsidR="002F4875" w:rsidRPr="000F2D4D" w:rsidRDefault="002F4875" w:rsidP="00C42C53">
            <w:pPr>
              <w:spacing w:before="120" w:after="120" w:line="288" w:lineRule="auto"/>
              <w:jc w:val="center"/>
              <w:rPr>
                <w:color w:val="000000"/>
                <w:lang w:val="vi-VN"/>
              </w:rPr>
            </w:pPr>
          </w:p>
        </w:tc>
        <w:tc>
          <w:tcPr>
            <w:tcW w:w="1275" w:type="dxa"/>
            <w:vAlign w:val="center"/>
            <w:hideMark/>
          </w:tcPr>
          <w:p w14:paraId="6005924A" w14:textId="77777777" w:rsidR="002F4875" w:rsidRPr="000F2D4D" w:rsidRDefault="002F4875" w:rsidP="00C42C53">
            <w:pPr>
              <w:spacing w:before="120" w:after="120" w:line="288" w:lineRule="auto"/>
              <w:jc w:val="center"/>
              <w:rPr>
                <w:color w:val="000000"/>
                <w:lang w:val="vi-VN"/>
              </w:rPr>
            </w:pPr>
          </w:p>
        </w:tc>
        <w:tc>
          <w:tcPr>
            <w:tcW w:w="1701" w:type="dxa"/>
            <w:vAlign w:val="center"/>
            <w:hideMark/>
          </w:tcPr>
          <w:p w14:paraId="50CA1B04" w14:textId="77777777" w:rsidR="002F4875" w:rsidRPr="000F2D4D" w:rsidRDefault="002F4875" w:rsidP="00C42C53">
            <w:pPr>
              <w:spacing w:before="120" w:after="120" w:line="288" w:lineRule="auto"/>
              <w:jc w:val="center"/>
              <w:rPr>
                <w:color w:val="000000"/>
                <w:lang w:val="vi-VN"/>
              </w:rPr>
            </w:pPr>
          </w:p>
        </w:tc>
      </w:tr>
      <w:tr w:rsidR="002F4875" w:rsidRPr="00022AAD" w14:paraId="3E556DA3" w14:textId="77777777" w:rsidTr="00C42C53">
        <w:trPr>
          <w:trHeight w:val="846"/>
        </w:trPr>
        <w:tc>
          <w:tcPr>
            <w:tcW w:w="1668" w:type="dxa"/>
            <w:vAlign w:val="center"/>
            <w:hideMark/>
          </w:tcPr>
          <w:p w14:paraId="38184401" w14:textId="77777777" w:rsidR="002F4875" w:rsidRPr="00022AAD" w:rsidRDefault="002F4875" w:rsidP="00C42C53">
            <w:pPr>
              <w:spacing w:before="120" w:after="120" w:line="288" w:lineRule="auto"/>
              <w:jc w:val="center"/>
              <w:rPr>
                <w:color w:val="000000"/>
              </w:rPr>
            </w:pPr>
          </w:p>
        </w:tc>
        <w:tc>
          <w:tcPr>
            <w:tcW w:w="1984" w:type="dxa"/>
            <w:vAlign w:val="center"/>
            <w:hideMark/>
          </w:tcPr>
          <w:p w14:paraId="15F5B09C" w14:textId="77777777" w:rsidR="002F4875" w:rsidRPr="00022AAD" w:rsidRDefault="002F4875" w:rsidP="00C42C53">
            <w:pPr>
              <w:spacing w:before="120" w:after="120" w:line="288" w:lineRule="auto"/>
              <w:jc w:val="center"/>
              <w:rPr>
                <w:color w:val="000000"/>
              </w:rPr>
            </w:pPr>
          </w:p>
        </w:tc>
        <w:tc>
          <w:tcPr>
            <w:tcW w:w="1418" w:type="dxa"/>
            <w:vAlign w:val="center"/>
            <w:hideMark/>
          </w:tcPr>
          <w:p w14:paraId="0D8506C6" w14:textId="77777777" w:rsidR="002F4875" w:rsidRPr="00022AAD" w:rsidRDefault="002F4875" w:rsidP="00C42C53">
            <w:pPr>
              <w:spacing w:before="120" w:after="120" w:line="288" w:lineRule="auto"/>
              <w:jc w:val="center"/>
            </w:pPr>
          </w:p>
        </w:tc>
        <w:tc>
          <w:tcPr>
            <w:tcW w:w="1134" w:type="dxa"/>
            <w:vAlign w:val="center"/>
            <w:hideMark/>
          </w:tcPr>
          <w:p w14:paraId="436192F3" w14:textId="77777777" w:rsidR="002F4875" w:rsidRPr="00022AAD" w:rsidRDefault="002F4875" w:rsidP="00C42C53">
            <w:pPr>
              <w:spacing w:before="120" w:after="120" w:line="288" w:lineRule="auto"/>
              <w:jc w:val="center"/>
              <w:rPr>
                <w:color w:val="000000"/>
              </w:rPr>
            </w:pPr>
          </w:p>
        </w:tc>
        <w:tc>
          <w:tcPr>
            <w:tcW w:w="1275" w:type="dxa"/>
            <w:vAlign w:val="center"/>
            <w:hideMark/>
          </w:tcPr>
          <w:p w14:paraId="114F56E3" w14:textId="77777777" w:rsidR="002F4875" w:rsidRPr="000F2D4D" w:rsidRDefault="002F4875" w:rsidP="00C42C53">
            <w:pPr>
              <w:spacing w:before="120" w:after="120" w:line="288" w:lineRule="auto"/>
              <w:jc w:val="center"/>
              <w:rPr>
                <w:color w:val="000000"/>
                <w:lang w:val="vi-VN"/>
              </w:rPr>
            </w:pPr>
          </w:p>
        </w:tc>
        <w:tc>
          <w:tcPr>
            <w:tcW w:w="1701" w:type="dxa"/>
            <w:vAlign w:val="center"/>
            <w:hideMark/>
          </w:tcPr>
          <w:p w14:paraId="2BC4F771" w14:textId="77777777" w:rsidR="002F4875" w:rsidRPr="000F2D4D" w:rsidRDefault="002F4875" w:rsidP="00C42C53">
            <w:pPr>
              <w:spacing w:before="120" w:after="120" w:line="288" w:lineRule="auto"/>
              <w:jc w:val="center"/>
              <w:rPr>
                <w:color w:val="000000"/>
                <w:lang w:val="vi-VN"/>
              </w:rPr>
            </w:pPr>
          </w:p>
        </w:tc>
      </w:tr>
    </w:tbl>
    <w:p w14:paraId="6E5BD9E8" w14:textId="77777777" w:rsidR="002F4875" w:rsidRPr="009A26B5" w:rsidRDefault="002F4875" w:rsidP="002F4875">
      <w:pPr>
        <w:spacing w:before="120" w:after="120" w:line="380" w:lineRule="exact"/>
        <w:ind w:firstLine="567"/>
        <w:jc w:val="both"/>
        <w:rPr>
          <w:sz w:val="28"/>
          <w:szCs w:val="28"/>
        </w:rPr>
      </w:pPr>
      <w:r>
        <w:rPr>
          <w:sz w:val="28"/>
          <w:szCs w:val="28"/>
        </w:rPr>
        <w:t xml:space="preserve">Văn phòng kính trình </w:t>
      </w:r>
      <w:r w:rsidRPr="009A26B5">
        <w:rPr>
          <w:sz w:val="28"/>
          <w:szCs w:val="28"/>
        </w:rPr>
        <w:t>ý kiến chỉ đạo của Giám đốc Sở./.</w:t>
      </w:r>
    </w:p>
    <w:tbl>
      <w:tblPr>
        <w:tblpPr w:leftFromText="180" w:rightFromText="180" w:vertAnchor="text" w:horzAnchor="margin" w:tblpY="452"/>
        <w:tblW w:w="9747" w:type="dxa"/>
        <w:tblLook w:val="01E0" w:firstRow="1" w:lastRow="1" w:firstColumn="1" w:lastColumn="1" w:noHBand="0" w:noVBand="0"/>
      </w:tblPr>
      <w:tblGrid>
        <w:gridCol w:w="4786"/>
        <w:gridCol w:w="4961"/>
      </w:tblGrid>
      <w:tr w:rsidR="002F4875" w14:paraId="26CE5AAF" w14:textId="77777777" w:rsidTr="00C42C53">
        <w:trPr>
          <w:trHeight w:val="2934"/>
        </w:trPr>
        <w:tc>
          <w:tcPr>
            <w:tcW w:w="4786" w:type="dxa"/>
          </w:tcPr>
          <w:p w14:paraId="54C3955D" w14:textId="77777777" w:rsidR="002F4875" w:rsidRDefault="002F4875" w:rsidP="00C42C53">
            <w:pPr>
              <w:jc w:val="both"/>
              <w:rPr>
                <w:b/>
                <w:sz w:val="28"/>
                <w:szCs w:val="28"/>
              </w:rPr>
            </w:pPr>
            <w:r w:rsidRPr="002C49F0">
              <w:rPr>
                <w:b/>
                <w:sz w:val="28"/>
                <w:szCs w:val="28"/>
              </w:rPr>
              <w:t>Ý KIẾN CỦA GIÁM ĐỐC SỞ</w:t>
            </w:r>
          </w:p>
          <w:p w14:paraId="6E45E2D4" w14:textId="77777777" w:rsidR="002F4875" w:rsidRPr="005105EA" w:rsidRDefault="002F4875" w:rsidP="00C42C53">
            <w:pPr>
              <w:rPr>
                <w:sz w:val="28"/>
                <w:szCs w:val="28"/>
              </w:rPr>
            </w:pPr>
          </w:p>
          <w:p w14:paraId="0A1BDB40" w14:textId="77777777" w:rsidR="002F4875" w:rsidRPr="005105EA" w:rsidRDefault="002F4875" w:rsidP="00C42C53">
            <w:pPr>
              <w:rPr>
                <w:sz w:val="28"/>
                <w:szCs w:val="28"/>
              </w:rPr>
            </w:pPr>
          </w:p>
          <w:p w14:paraId="69B6E004" w14:textId="77777777" w:rsidR="002F4875" w:rsidRPr="005105EA" w:rsidRDefault="002F4875" w:rsidP="00C42C53">
            <w:pPr>
              <w:rPr>
                <w:sz w:val="28"/>
                <w:szCs w:val="28"/>
              </w:rPr>
            </w:pPr>
          </w:p>
          <w:p w14:paraId="27BCFB61" w14:textId="77777777" w:rsidR="002F4875" w:rsidRPr="005105EA" w:rsidRDefault="002F4875" w:rsidP="00C42C53">
            <w:pPr>
              <w:rPr>
                <w:sz w:val="28"/>
                <w:szCs w:val="28"/>
              </w:rPr>
            </w:pPr>
          </w:p>
        </w:tc>
        <w:tc>
          <w:tcPr>
            <w:tcW w:w="4961" w:type="dxa"/>
          </w:tcPr>
          <w:p w14:paraId="180490BB" w14:textId="77777777" w:rsidR="002F4875" w:rsidRPr="0022711E" w:rsidRDefault="002F4875" w:rsidP="00C42C53">
            <w:pPr>
              <w:jc w:val="center"/>
              <w:rPr>
                <w:b/>
                <w:sz w:val="27"/>
                <w:szCs w:val="27"/>
              </w:rPr>
            </w:pPr>
            <w:r w:rsidRPr="0022711E">
              <w:rPr>
                <w:b/>
                <w:sz w:val="27"/>
                <w:szCs w:val="27"/>
              </w:rPr>
              <w:t xml:space="preserve">CHÁNH VĂN PHÒNG </w:t>
            </w:r>
          </w:p>
          <w:p w14:paraId="02311D45" w14:textId="77777777" w:rsidR="002F4875" w:rsidRDefault="002F4875" w:rsidP="00C42C53">
            <w:pPr>
              <w:rPr>
                <w:b/>
                <w:sz w:val="27"/>
                <w:szCs w:val="27"/>
              </w:rPr>
            </w:pPr>
          </w:p>
          <w:p w14:paraId="313C908C" w14:textId="77777777" w:rsidR="002F4875" w:rsidRDefault="002F4875" w:rsidP="00C42C53">
            <w:pPr>
              <w:rPr>
                <w:b/>
                <w:sz w:val="28"/>
                <w:szCs w:val="28"/>
              </w:rPr>
            </w:pPr>
          </w:p>
          <w:p w14:paraId="7B821257" w14:textId="77777777" w:rsidR="002F4875" w:rsidRDefault="002F4875" w:rsidP="00C42C53">
            <w:pPr>
              <w:rPr>
                <w:b/>
                <w:sz w:val="28"/>
                <w:szCs w:val="28"/>
              </w:rPr>
            </w:pPr>
          </w:p>
          <w:p w14:paraId="48068F63" w14:textId="77777777" w:rsidR="002F4875" w:rsidRPr="00303DDA" w:rsidRDefault="002F4875" w:rsidP="00C42C53">
            <w:pPr>
              <w:rPr>
                <w:b/>
                <w:sz w:val="28"/>
                <w:szCs w:val="28"/>
              </w:rPr>
            </w:pPr>
          </w:p>
          <w:p w14:paraId="3EB7A580" w14:textId="77777777" w:rsidR="002F4875" w:rsidRPr="00303DDA" w:rsidRDefault="002F4875" w:rsidP="00C42C53">
            <w:pPr>
              <w:rPr>
                <w:b/>
                <w:sz w:val="28"/>
                <w:szCs w:val="28"/>
              </w:rPr>
            </w:pPr>
          </w:p>
          <w:p w14:paraId="265505DB" w14:textId="77777777" w:rsidR="002F4875" w:rsidRPr="00303DDA" w:rsidRDefault="002F4875" w:rsidP="00C42C53">
            <w:pPr>
              <w:jc w:val="center"/>
              <w:rPr>
                <w:b/>
                <w:sz w:val="28"/>
                <w:szCs w:val="28"/>
              </w:rPr>
            </w:pPr>
          </w:p>
        </w:tc>
      </w:tr>
    </w:tbl>
    <w:p w14:paraId="5579A0EC" w14:textId="77777777" w:rsidR="002F4875" w:rsidRDefault="002F4875" w:rsidP="002F4875">
      <w:pPr>
        <w:spacing w:before="120" w:after="120"/>
      </w:pPr>
    </w:p>
    <w:p w14:paraId="361F642A" w14:textId="77777777" w:rsidR="002F4875" w:rsidRPr="006E5F82" w:rsidRDefault="002F4875" w:rsidP="002F4875">
      <w:pPr>
        <w:tabs>
          <w:tab w:val="left" w:pos="1128"/>
        </w:tabs>
        <w:rPr>
          <w:b/>
          <w:sz w:val="28"/>
          <w:szCs w:val="28"/>
        </w:rPr>
      </w:pPr>
    </w:p>
    <w:p w14:paraId="0E13B0CC" w14:textId="77777777" w:rsidR="002F4875" w:rsidRDefault="002F4875"/>
    <w:sectPr w:rsidR="002F4875" w:rsidSect="00E5019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75"/>
    <w:rsid w:val="00155F63"/>
    <w:rsid w:val="002F4875"/>
    <w:rsid w:val="003B606F"/>
    <w:rsid w:val="00C46D73"/>
    <w:rsid w:val="00E50198"/>
    <w:rsid w:val="00E60ABE"/>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5574"/>
  <w15:chartTrackingRefBased/>
  <w15:docId w15:val="{EE9DADD5-44E8-1A48-B71A-574F5BA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F4875"/>
    <w:pPr>
      <w:spacing w:after="0" w:line="240" w:lineRule="auto"/>
    </w:pPr>
    <w:rPr>
      <w:rFonts w:ascii="Times New Roman" w:eastAsia="Times New Roman" w:hAnsi="Times New Roman" w:cs="Times New Roman"/>
      <w:kern w:val="0"/>
      <w:lang w:val="en-US" w:eastAsia="en-US"/>
      <w14:ligatures w14:val="none"/>
    </w:rPr>
  </w:style>
  <w:style w:type="paragraph" w:styleId="u1">
    <w:name w:val="heading 1"/>
    <w:basedOn w:val="Binhthng"/>
    <w:next w:val="Binhthng"/>
    <w:link w:val="u1Char"/>
    <w:uiPriority w:val="9"/>
    <w:qFormat/>
    <w:rsid w:val="002F48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u2">
    <w:name w:val="heading 2"/>
    <w:basedOn w:val="Binhthng"/>
    <w:next w:val="Binhthng"/>
    <w:link w:val="u2Char"/>
    <w:uiPriority w:val="9"/>
    <w:semiHidden/>
    <w:unhideWhenUsed/>
    <w:qFormat/>
    <w:rsid w:val="002F48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u3">
    <w:name w:val="heading 3"/>
    <w:basedOn w:val="Binhthng"/>
    <w:next w:val="Binhthng"/>
    <w:link w:val="u3Char"/>
    <w:uiPriority w:val="9"/>
    <w:semiHidden/>
    <w:unhideWhenUsed/>
    <w:qFormat/>
    <w:rsid w:val="002F48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u4">
    <w:name w:val="heading 4"/>
    <w:basedOn w:val="Binhthng"/>
    <w:next w:val="Binhthng"/>
    <w:link w:val="u4Char"/>
    <w:uiPriority w:val="9"/>
    <w:semiHidden/>
    <w:unhideWhenUsed/>
    <w:qFormat/>
    <w:rsid w:val="002F487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u5">
    <w:name w:val="heading 5"/>
    <w:basedOn w:val="Binhthng"/>
    <w:next w:val="Binhthng"/>
    <w:link w:val="u5Char"/>
    <w:uiPriority w:val="9"/>
    <w:semiHidden/>
    <w:unhideWhenUsed/>
    <w:qFormat/>
    <w:rsid w:val="002F487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u6">
    <w:name w:val="heading 6"/>
    <w:basedOn w:val="Binhthng"/>
    <w:next w:val="Binhthng"/>
    <w:link w:val="u6Char"/>
    <w:uiPriority w:val="9"/>
    <w:semiHidden/>
    <w:unhideWhenUsed/>
    <w:qFormat/>
    <w:rsid w:val="002F4875"/>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u7">
    <w:name w:val="heading 7"/>
    <w:basedOn w:val="Binhthng"/>
    <w:next w:val="Binhthng"/>
    <w:link w:val="u7Char"/>
    <w:uiPriority w:val="9"/>
    <w:semiHidden/>
    <w:unhideWhenUsed/>
    <w:qFormat/>
    <w:rsid w:val="002F4875"/>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u8">
    <w:name w:val="heading 8"/>
    <w:basedOn w:val="Binhthng"/>
    <w:next w:val="Binhthng"/>
    <w:link w:val="u8Char"/>
    <w:uiPriority w:val="9"/>
    <w:semiHidden/>
    <w:unhideWhenUsed/>
    <w:qFormat/>
    <w:rsid w:val="002F4875"/>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u9">
    <w:name w:val="heading 9"/>
    <w:basedOn w:val="Binhthng"/>
    <w:next w:val="Binhthng"/>
    <w:link w:val="u9Char"/>
    <w:uiPriority w:val="9"/>
    <w:semiHidden/>
    <w:unhideWhenUsed/>
    <w:qFormat/>
    <w:rsid w:val="002F4875"/>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F487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F487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F487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F487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F487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F487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F487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F487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F4875"/>
    <w:rPr>
      <w:rFonts w:eastAsiaTheme="majorEastAsia" w:cstheme="majorBidi"/>
      <w:color w:val="272727" w:themeColor="text1" w:themeTint="D8"/>
    </w:rPr>
  </w:style>
  <w:style w:type="paragraph" w:styleId="Tiu">
    <w:name w:val="Title"/>
    <w:basedOn w:val="Binhthng"/>
    <w:next w:val="Binhthng"/>
    <w:link w:val="TiuChar"/>
    <w:uiPriority w:val="10"/>
    <w:qFormat/>
    <w:rsid w:val="002F4875"/>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uChar">
    <w:name w:val="Tiêu đề Char"/>
    <w:basedOn w:val="Phngmcinhcuaoanvn"/>
    <w:link w:val="Tiu"/>
    <w:uiPriority w:val="10"/>
    <w:rsid w:val="002F487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F48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TiuphuChar">
    <w:name w:val="Tiêu đề phụ Char"/>
    <w:basedOn w:val="Phngmcinhcuaoanvn"/>
    <w:link w:val="Tiuphu"/>
    <w:uiPriority w:val="11"/>
    <w:rsid w:val="002F487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F4875"/>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LitrichdnChar">
    <w:name w:val="Lời trích dẫn Char"/>
    <w:basedOn w:val="Phngmcinhcuaoanvn"/>
    <w:link w:val="Litrichdn"/>
    <w:uiPriority w:val="29"/>
    <w:rsid w:val="002F4875"/>
    <w:rPr>
      <w:i/>
      <w:iCs/>
      <w:color w:val="404040" w:themeColor="text1" w:themeTint="BF"/>
    </w:rPr>
  </w:style>
  <w:style w:type="paragraph" w:styleId="oancuaDanhsach">
    <w:name w:val="List Paragraph"/>
    <w:basedOn w:val="Binhthng"/>
    <w:uiPriority w:val="34"/>
    <w:qFormat/>
    <w:rsid w:val="002F4875"/>
    <w:pPr>
      <w:spacing w:after="160" w:line="278" w:lineRule="auto"/>
      <w:ind w:left="720"/>
      <w:contextualSpacing/>
    </w:pPr>
    <w:rPr>
      <w:rFonts w:asciiTheme="minorHAnsi" w:eastAsiaTheme="minorEastAsia" w:hAnsiTheme="minorHAnsi" w:cstheme="minorBidi"/>
      <w:kern w:val="2"/>
      <w:lang w:eastAsia="ja-JP"/>
      <w14:ligatures w14:val="standardContextual"/>
    </w:rPr>
  </w:style>
  <w:style w:type="character" w:styleId="NhnmnhThm">
    <w:name w:val="Intense Emphasis"/>
    <w:basedOn w:val="Phngmcinhcuaoanvn"/>
    <w:uiPriority w:val="21"/>
    <w:qFormat/>
    <w:rsid w:val="002F4875"/>
    <w:rPr>
      <w:i/>
      <w:iCs/>
      <w:color w:val="0F4761" w:themeColor="accent1" w:themeShade="BF"/>
    </w:rPr>
  </w:style>
  <w:style w:type="paragraph" w:styleId="Nhaykepm">
    <w:name w:val="Intense Quote"/>
    <w:basedOn w:val="Binhthng"/>
    <w:next w:val="Binhthng"/>
    <w:link w:val="NhaykepmChar"/>
    <w:uiPriority w:val="30"/>
    <w:qFormat/>
    <w:rsid w:val="002F48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NhaykepmChar">
    <w:name w:val="Nháy kép Đậm Char"/>
    <w:basedOn w:val="Phngmcinhcuaoanvn"/>
    <w:link w:val="Nhaykepm"/>
    <w:uiPriority w:val="30"/>
    <w:rsid w:val="002F4875"/>
    <w:rPr>
      <w:i/>
      <w:iCs/>
      <w:color w:val="0F4761" w:themeColor="accent1" w:themeShade="BF"/>
    </w:rPr>
  </w:style>
  <w:style w:type="character" w:styleId="ThamchiuNhnmnh">
    <w:name w:val="Intense Reference"/>
    <w:basedOn w:val="Phngmcinhcuaoanvn"/>
    <w:uiPriority w:val="32"/>
    <w:qFormat/>
    <w:rsid w:val="002F4875"/>
    <w:rPr>
      <w:b/>
      <w:bCs/>
      <w:smallCaps/>
      <w:color w:val="0F4761" w:themeColor="accent1" w:themeShade="BF"/>
      <w:spacing w:val="5"/>
    </w:rPr>
  </w:style>
  <w:style w:type="paragraph" w:styleId="ThnVnban">
    <w:name w:val="Body Text"/>
    <w:basedOn w:val="Binhthng"/>
    <w:link w:val="ThnVnbanChar"/>
    <w:rsid w:val="002F4875"/>
    <w:pPr>
      <w:jc w:val="both"/>
    </w:pPr>
    <w:rPr>
      <w:rFonts w:cs="Arial"/>
      <w:sz w:val="28"/>
      <w:szCs w:val="28"/>
    </w:rPr>
  </w:style>
  <w:style w:type="character" w:customStyle="1" w:styleId="ThnVnbanChar">
    <w:name w:val="Thân Văn bản Char"/>
    <w:basedOn w:val="Phngmcinhcuaoanvn"/>
    <w:link w:val="ThnVnban"/>
    <w:rsid w:val="002F4875"/>
    <w:rPr>
      <w:rFonts w:ascii="Times New Roman" w:eastAsia="Times New Roman" w:hAnsi="Times New Roman" w:cs="Arial"/>
      <w:kern w:val="0"/>
      <w:sz w:val="28"/>
      <w:szCs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Phuong Thao DINH</dc:creator>
  <cp:keywords/>
  <dc:description/>
  <cp:lastModifiedBy>hp.snv24</cp:lastModifiedBy>
  <cp:revision>2</cp:revision>
  <dcterms:created xsi:type="dcterms:W3CDTF">2025-10-09T09:06:00Z</dcterms:created>
  <dcterms:modified xsi:type="dcterms:W3CDTF">2025-10-09T09:06:00Z</dcterms:modified>
</cp:coreProperties>
</file>