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535"/>
        <w:gridCol w:w="4535"/>
      </w:tblGrid>
      <w:tr>
        <w:tc>
          <w:tcPr>
            <w:tcW w:type="dxa" w:w="4535"/>
            <w:tcMar>
              <w:top w:w="0" w:type="dxa"/>
              <w:start w:w="50" w:type="dxa"/>
              <w:bottom w:w="0" w:type="dxa"/>
              <w:end w:w="50" w:type="dxa"/>
            </w:tcMar>
            <w:vAlign w:val="top"/>
          </w:tcPr>
          <w:p>
            <w:pPr>
              <w:spacing w:before="0" w:after="0" w:line="240" w:lineRule="auto"/>
              <w:jc w:val="center"/>
            </w:pPr>
            <w:r>
              <w:rPr>
                <w:rFonts w:ascii="Times New Roman" w:hAnsi="Times New Roman" w:eastAsia="Times New Roman"/>
                <w:b/>
                <w:i w:val="0"/>
                <w:sz w:val="25"/>
              </w:rPr>
              <w:t>ỦY BAN NHÂN DÂN</w:t>
            </w:r>
          </w:p>
          <w:p>
            <w:pPr>
              <w:spacing w:before="0" w:after="0" w:line="240" w:lineRule="auto"/>
              <w:jc w:val="center"/>
            </w:pPr>
            <w:r>
              <w:rPr>
                <w:rFonts w:ascii="Times New Roman" w:hAnsi="Times New Roman" w:eastAsia="Times New Roman"/>
                <w:b/>
                <w:i w:val="0"/>
                <w:sz w:val="25"/>
              </w:rPr>
              <w:t>THÀNH PHỐ HẢI PHÒNG</w:t>
            </w:r>
          </w:p>
          <w:p>
            <w:pPr>
              <w:spacing w:before="0" w:after="0" w:line="240" w:lineRule="auto"/>
              <w:jc w:val="center"/>
            </w:pPr>
            <w:r>
              <w:rPr>
                <w:rFonts w:ascii="Times New Roman" w:hAnsi="Times New Roman" w:eastAsia="Times New Roman"/>
                <w:b w:val="0"/>
                <w:i w:val="0"/>
                <w:sz w:val="24"/>
              </w:rPr>
              <w:t>-------</w:t>
            </w:r>
          </w:p>
        </w:tc>
        <w:tc>
          <w:tcPr>
            <w:tcW w:type="dxa" w:w="4535"/>
            <w:tcMar>
              <w:top w:w="0" w:type="dxa"/>
              <w:start w:w="50" w:type="dxa"/>
              <w:bottom w:w="0" w:type="dxa"/>
              <w:end w:w="50" w:type="dxa"/>
            </w:tcMar>
            <w:vAlign w:val="top"/>
          </w:tcPr>
          <w:p>
            <w:pPr>
              <w:spacing w:before="0" w:after="0" w:line="240" w:lineRule="auto"/>
              <w:jc w:val="center"/>
            </w:pPr>
            <w:r>
              <w:rPr>
                <w:rFonts w:ascii="Times New Roman" w:hAnsi="Times New Roman" w:eastAsia="Times New Roman"/>
                <w:b/>
                <w:i w:val="0"/>
                <w:sz w:val="25"/>
              </w:rPr>
              <w:t>CỘNG HÒA XÃ HỘI CHỦ NGHĨA VIỆT NAM</w:t>
            </w:r>
          </w:p>
          <w:p>
            <w:pPr>
              <w:spacing w:before="0" w:after="0" w:line="240" w:lineRule="auto"/>
              <w:jc w:val="center"/>
            </w:pPr>
            <w:r>
              <w:rPr>
                <w:rFonts w:ascii="Times New Roman" w:hAnsi="Times New Roman" w:eastAsia="Times New Roman"/>
                <w:b/>
                <w:i w:val="0"/>
                <w:sz w:val="26"/>
              </w:rPr>
              <w:t>Độc lập - Tự do - Hạnh phúc</w:t>
            </w:r>
          </w:p>
          <w:p>
            <w:pPr>
              <w:spacing w:before="0" w:after="0" w:line="240" w:lineRule="auto"/>
              <w:jc w:val="center"/>
            </w:pPr>
            <w:r>
              <w:rPr>
                <w:rFonts w:ascii="Times New Roman" w:hAnsi="Times New Roman" w:eastAsia="Times New Roman"/>
                <w:b w:val="0"/>
                <w:i w:val="0"/>
                <w:sz w:val="24"/>
              </w:rPr>
              <w:t>---------------</w:t>
            </w:r>
          </w:p>
        </w:tc>
      </w:tr>
      <w:tr>
        <w:tc>
          <w:tcPr>
            <w:tcW w:type="dxa" w:w="4535"/>
            <w:tcMar>
              <w:top w:w="0" w:type="dxa"/>
              <w:start w:w="50" w:type="dxa"/>
              <w:bottom w:w="0" w:type="dxa"/>
              <w:end w:w="50" w:type="dxa"/>
            </w:tcMar>
            <w:vAlign w:val="top"/>
          </w:tcPr>
          <w:p>
            <w:pPr>
              <w:spacing w:before="0" w:after="0" w:line="240" w:lineRule="auto"/>
              <w:jc w:val="center"/>
            </w:pPr>
            <w:r>
              <w:rPr>
                <w:rFonts w:ascii="Times New Roman" w:hAnsi="Times New Roman" w:eastAsia="Times New Roman"/>
                <w:b w:val="0"/>
                <w:i w:val="0"/>
                <w:sz w:val="25"/>
              </w:rPr>
              <w:t>Số: …/2026/QĐ-UBND</w:t>
            </w:r>
          </w:p>
        </w:tc>
        <w:tc>
          <w:tcPr>
            <w:tcW w:type="dxa" w:w="4535"/>
            <w:tcMar>
              <w:top w:w="0" w:type="dxa"/>
              <w:start w:w="50" w:type="dxa"/>
              <w:bottom w:w="0" w:type="dxa"/>
              <w:end w:w="50" w:type="dxa"/>
            </w:tcMar>
            <w:vAlign w:val="top"/>
          </w:tcPr>
          <w:p>
            <w:pPr>
              <w:spacing w:before="0" w:after="0" w:line="240" w:lineRule="auto"/>
              <w:jc w:val="center"/>
            </w:pPr>
            <w:r>
              <w:rPr>
                <w:rFonts w:ascii="Times New Roman" w:hAnsi="Times New Roman" w:eastAsia="Times New Roman"/>
                <w:b w:val="0"/>
                <w:i/>
                <w:sz w:val="25"/>
              </w:rPr>
              <w:t>Hải Phòng, ngày … tháng … năm 2026</w:t>
            </w:r>
          </w:p>
        </w:tc>
      </w:tr>
    </w:tbl>
    <w:p>
      <w:pPr>
        <w:spacing w:before="0" w:after="0" w:line="276" w:lineRule="auto"/>
        <w:jc w:val="both"/>
      </w:pPr>
      <w:r>
        <w:rPr>
          <w:rFonts w:ascii="Times New Roman" w:hAnsi="Times New Roman" w:eastAsia="Times New Roman"/>
          <w:b w:val="0"/>
          <w:i w:val="0"/>
          <w:sz w:val="26"/>
        </w:rPr>
      </w:r>
    </w:p>
    <w:p>
      <w:pPr>
        <w:spacing w:before="0" w:after="40" w:line="276" w:lineRule="auto"/>
        <w:jc w:val="right"/>
      </w:pPr>
      <w:r>
        <w:rPr>
          <w:rFonts w:ascii="Times New Roman" w:hAnsi="Times New Roman" w:eastAsia="Times New Roman"/>
          <w:b w:val="0"/>
          <w:i/>
          <w:sz w:val="22"/>
        </w:rPr>
        <w:t>DỰ THẢO</w:t>
      </w:r>
    </w:p>
    <w:p>
      <w:pPr>
        <w:keepNext/>
        <w:spacing w:before="60" w:after="40" w:line="276" w:lineRule="auto"/>
        <w:jc w:val="center"/>
      </w:pPr>
      <w:r>
        <w:rPr>
          <w:rFonts w:ascii="Times New Roman" w:hAnsi="Times New Roman" w:eastAsia="Times New Roman"/>
          <w:b/>
          <w:i w:val="0"/>
          <w:sz w:val="28"/>
        </w:rPr>
        <w:t>QUYẾT ĐỊNH</w:t>
      </w:r>
    </w:p>
    <w:p>
      <w:pPr>
        <w:keepNext/>
        <w:spacing w:before="0" w:after="160" w:line="276" w:lineRule="auto"/>
        <w:jc w:val="center"/>
      </w:pPr>
      <w:r>
        <w:rPr>
          <w:rFonts w:ascii="Times New Roman" w:hAnsi="Times New Roman" w:eastAsia="Times New Roman"/>
          <w:b/>
          <w:i w:val="0"/>
          <w:sz w:val="27"/>
        </w:rPr>
        <w:t>Ban hành định mức kinh tế - kỹ thuật các dịch vụ: cây xanh đô thị, chiếu sáng đô thị, thoát nước đô thị trên địa bàn thành phố Hải Phòng</w:t>
      </w:r>
    </w:p>
    <w:p>
      <w:pPr>
        <w:spacing w:before="0" w:after="140" w:line="276" w:lineRule="auto"/>
        <w:jc w:val="center"/>
      </w:pPr>
      <w:r>
        <w:rPr>
          <w:rFonts w:ascii="Times New Roman" w:hAnsi="Times New Roman" w:eastAsia="Times New Roman"/>
          <w:b/>
          <w:i w:val="0"/>
          <w:sz w:val="26"/>
        </w:rPr>
        <w:t>ỦY BAN NHÂN DÂN THÀNH PHỐ HẢI PHÒNG</w:t>
      </w:r>
    </w:p>
    <w:p>
      <w:pPr>
        <w:spacing w:before="0" w:after="40" w:line="276" w:lineRule="auto"/>
        <w:ind w:firstLine="720"/>
        <w:jc w:val="both"/>
      </w:pPr>
      <w:r>
        <w:rPr>
          <w:rFonts w:ascii="Times New Roman" w:hAnsi="Times New Roman" w:eastAsia="Times New Roman"/>
          <w:b w:val="0"/>
          <w:i/>
          <w:sz w:val="26"/>
        </w:rPr>
        <w:t>Căn cứ Luật Tổ chức chính quyền địa phương số 72/2025/QH15;</w:t>
      </w:r>
    </w:p>
    <w:p>
      <w:pPr>
        <w:spacing w:before="0" w:after="40" w:line="276" w:lineRule="auto"/>
        <w:ind w:firstLine="720"/>
        <w:jc w:val="both"/>
      </w:pPr>
      <w:r>
        <w:rPr>
          <w:rFonts w:ascii="Times New Roman" w:hAnsi="Times New Roman" w:eastAsia="Times New Roman"/>
          <w:b w:val="0"/>
          <w:i/>
          <w:sz w:val="26"/>
        </w:rPr>
        <w:t>Căn cứ Luật Ban hành văn bản quy phạm pháp luật số 64/2025/QH15 được sửa đổi, bổ sung bởi Luật số 87/2025/QH15;</w:t>
      </w:r>
    </w:p>
    <w:p>
      <w:pPr>
        <w:spacing w:before="0" w:after="40" w:line="276" w:lineRule="auto"/>
        <w:ind w:firstLine="720"/>
        <w:jc w:val="both"/>
      </w:pPr>
      <w:r>
        <w:rPr>
          <w:rFonts w:ascii="Times New Roman" w:hAnsi="Times New Roman" w:eastAsia="Times New Roman"/>
          <w:b w:val="0"/>
          <w:i/>
          <w:sz w:val="26"/>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pPr>
        <w:spacing w:before="0" w:after="40" w:line="276" w:lineRule="auto"/>
        <w:ind w:firstLine="720"/>
        <w:jc w:val="both"/>
      </w:pPr>
      <w:r>
        <w:rPr>
          <w:rFonts w:ascii="Times New Roman" w:hAnsi="Times New Roman" w:eastAsia="Times New Roman" w:cs="Times New Roman"/>
          <w:b w:val="0"/>
          <w:i/>
          <w:sz w:val="26"/>
        </w:rPr>
        <w:t>Căn cứ Nghị định số 111/2025/NĐ-CP ngày 22 tháng 5 năm 2025 của Chính phủ sửa đổi, bổ sung một số điều của Nghị định số 60/2021/NĐ-CP ngày 21 tháng 6 năm 2021 của Chính phủ quy định cơ chế tự chủ tài chính của đơn vị sự nghiệp công lập;</w:t>
      </w:r>
    </w:p>
    <w:p>
      <w:pPr>
        <w:spacing w:before="0" w:after="40" w:line="276" w:lineRule="auto"/>
        <w:ind w:firstLine="720"/>
        <w:jc w:val="both"/>
      </w:pPr>
      <w:r>
        <w:rPr>
          <w:rFonts w:ascii="Times New Roman" w:hAnsi="Times New Roman" w:eastAsia="Times New Roman"/>
          <w:b w:val="0"/>
          <w:i/>
          <w:sz w:val="26"/>
        </w:rPr>
        <w:t>Căn cứ Nghị định số 80/2014/NĐ-CP ngày 06 tháng 8 năm 2014 của Chính phủ về thoát nước và xử lý nước thải;</w:t>
      </w:r>
    </w:p>
    <w:p>
      <w:pPr>
        <w:spacing w:before="0" w:after="40" w:line="276" w:lineRule="auto"/>
        <w:ind w:firstLine="720"/>
        <w:jc w:val="both"/>
      </w:pPr>
      <w:r>
        <w:rPr>
          <w:rFonts w:ascii="Times New Roman" w:hAnsi="Times New Roman" w:eastAsia="Times New Roman"/>
          <w:b w:val="0"/>
          <w:i/>
          <w:sz w:val="26"/>
        </w:rPr>
        <w:t>Căn cứ Thông tư số 12/2024/TT-BXD ngày 18 tháng 12 năm 2024 của Bộ trưởng Bộ Xây dựng hướng dẫn phương pháp xác định và quản lý chi phí dịch vụ sự nghiệp công chiếu sáng đô thị, cây xanh đô thị;</w:t>
      </w:r>
    </w:p>
    <w:p>
      <w:pPr>
        <w:spacing w:before="0" w:after="40" w:line="276" w:lineRule="auto"/>
        <w:ind w:firstLine="720"/>
        <w:jc w:val="both"/>
      </w:pPr>
      <w:r>
        <w:rPr>
          <w:rFonts w:ascii="Times New Roman" w:hAnsi="Times New Roman" w:eastAsia="Times New Roman"/>
          <w:b w:val="0"/>
          <w:i/>
          <w:sz w:val="26"/>
        </w:rPr>
        <w:t>Căn cứ Quyết định số 37/QĐ-BXD ngày 17 tháng 01 năm 2025 của Bộ trưởng Bộ Xây dựng ban hành định mức kinh tế - kỹ thuật dịch vụ thoát nước đô thị;</w:t>
      </w:r>
    </w:p>
    <w:p>
      <w:pPr>
        <w:spacing w:before="0" w:after="40" w:line="276" w:lineRule="auto"/>
        <w:ind w:firstLine="720"/>
        <w:jc w:val="both"/>
      </w:pPr>
      <w:r>
        <w:rPr>
          <w:rFonts w:ascii="Times New Roman" w:hAnsi="Times New Roman" w:eastAsia="Times New Roman"/>
          <w:b w:val="0"/>
          <w:i/>
          <w:sz w:val="26"/>
        </w:rPr>
        <w:t>Căn cứ Quyết định số 38/QĐ-BXD ngày 17 tháng 01 năm 2025 của Bộ trưởng Bộ Xây dựng ban hành định mức kinh tế - kỹ thuật dịch vụ cây xanh đô thị;</w:t>
      </w:r>
    </w:p>
    <w:p>
      <w:pPr>
        <w:spacing w:before="0" w:after="40" w:line="276" w:lineRule="auto"/>
        <w:ind w:firstLine="720"/>
        <w:jc w:val="both"/>
      </w:pPr>
      <w:r>
        <w:rPr>
          <w:rFonts w:ascii="Times New Roman" w:hAnsi="Times New Roman" w:eastAsia="Times New Roman"/>
          <w:b w:val="0"/>
          <w:i/>
          <w:sz w:val="26"/>
        </w:rPr>
        <w:t>Căn cứ Quyết định số 39/QĐ-BXD ngày 17 tháng 01 năm 2025 của Bộ trưởng Bộ Xây dựng ban hành định mức kinh tế - kỹ thuật dịch vụ chiếu sáng đô thị;</w:t>
      </w:r>
    </w:p>
    <w:p>
      <w:pPr>
        <w:spacing w:before="0" w:after="40" w:line="276" w:lineRule="auto"/>
        <w:ind w:firstLine="720"/>
        <w:jc w:val="both"/>
      </w:pPr>
      <w:r>
        <w:rPr>
          <w:rFonts w:ascii="Times New Roman" w:hAnsi="Times New Roman" w:eastAsia="Times New Roman"/>
          <w:b w:val="0"/>
          <w:i/>
          <w:sz w:val="26"/>
        </w:rPr>
        <w:t>Theo đề nghị của Giám đốc Sở Xây dựng tại Tờ trình số …/TTr-SXD ngày … tháng … năm 2026.</w:t>
      </w:r>
    </w:p>
    <w:p>
      <w:pPr>
        <w:spacing w:before="0" w:after="120" w:line="276" w:lineRule="auto"/>
        <w:ind w:firstLine="720"/>
        <w:jc w:val="both"/>
      </w:pPr>
      <w:r>
        <w:rPr>
          <w:rFonts w:ascii="Times New Roman" w:hAnsi="Times New Roman" w:eastAsia="Times New Roman"/>
          <w:b w:val="0"/>
          <w:i w:val="0"/>
          <w:sz w:val="26"/>
        </w:rPr>
        <w:t>Ủy ban nhân dân thành phố Hải Phòng ban hành Quyết định ban hành định mức kinh tế - kỹ thuật các dịch vụ: cây xanh đô thị, chiếu sáng đô thị, thoát nước đô thị trên địa bàn thành phố Hải Phòng.</w:t>
      </w:r>
    </w:p>
    <w:p>
      <w:pPr>
        <w:spacing w:before="0" w:after="80" w:line="276" w:lineRule="auto"/>
        <w:jc w:val="both"/>
      </w:pPr>
      <w:r>
        <w:rPr>
          <w:rFonts w:ascii="Times New Roman" w:hAnsi="Times New Roman" w:eastAsia="Times New Roman"/>
          <w:b/>
          <w:i w:val="0"/>
          <w:sz w:val="26"/>
        </w:rPr>
        <w:t xml:space="preserve">Điều 1. </w:t>
      </w:r>
      <w:r>
        <w:rPr>
          <w:rFonts w:ascii="Times New Roman" w:hAnsi="Times New Roman" w:eastAsia="Times New Roman"/>
          <w:b w:val="0"/>
          <w:i w:val="0"/>
          <w:sz w:val="26"/>
        </w:rPr>
        <w:t>Ban hành kèm theo Quyết định này Bộ định mức kinh tế - kỹ thuật các dịch vụ: cây xanh đô thị, chiếu sáng đô thị, thoát nước đô thị trên địa bàn thành phố Hải Phòng.</w:t>
      </w:r>
    </w:p>
    <w:p>
      <w:pPr>
        <w:keepNext/>
        <w:spacing w:before="0" w:after="80" w:line="276" w:lineRule="auto"/>
        <w:jc w:val="both"/>
      </w:pPr>
      <w:r>
        <w:rPr>
          <w:rFonts w:ascii="Times New Roman" w:hAnsi="Times New Roman" w:eastAsia="Times New Roman"/>
          <w:b/>
          <w:i w:val="0"/>
          <w:sz w:val="26"/>
        </w:rPr>
        <w:t>Điều 2. Phạm vi điều chỉnh và đối tượng áp dụng</w:t>
      </w:r>
    </w:p>
    <w:p>
      <w:pPr>
        <w:spacing w:before="0" w:after="80" w:line="276" w:lineRule="auto"/>
        <w:jc w:val="both"/>
      </w:pPr>
      <w:r>
        <w:rPr>
          <w:rFonts w:ascii="Times New Roman" w:hAnsi="Times New Roman" w:eastAsia="Times New Roman"/>
          <w:b w:val="0"/>
          <w:i w:val="0"/>
          <w:sz w:val="26"/>
        </w:rPr>
        <w:t>1. Quyết định này quy định định mức hao phí vật liệu, nhân công, xe, máy và thiết bị cần thiết để thực hiện các công tác thuộc dịch vụ cây xanh đô thị, chiếu sáng đô thị và thoát nước đô thị trong phạm vi quản lý của thành phố Hải Phòng.</w:t>
      </w:r>
    </w:p>
    <w:p>
      <w:pPr>
        <w:spacing w:before="0" w:after="80" w:line="276" w:lineRule="auto"/>
        <w:jc w:val="both"/>
      </w:pPr>
      <w:r>
        <w:rPr>
          <w:rFonts w:ascii="Times New Roman" w:hAnsi="Times New Roman" w:eastAsia="Times New Roman"/>
          <w:b w:val="0"/>
          <w:i w:val="0"/>
          <w:sz w:val="26"/>
        </w:rPr>
        <w:t>2. Quyết định này áp dụng đối với cơ quan nhà nước, đơn vị sự nghiệp công lập, tổ chức, doanh nghiệp và cá nhân có liên quan đến việc xác định, quản lý và sử dụng định mức đối với các dịch vụ quy định tại khoản 1 Điều này.</w:t>
      </w:r>
    </w:p>
    <w:p>
      <w:pPr>
        <w:keepNext/>
        <w:spacing w:before="0" w:after="80" w:line="276" w:lineRule="auto"/>
        <w:jc w:val="both"/>
      </w:pPr>
      <w:r>
        <w:rPr>
          <w:rFonts w:ascii="Times New Roman" w:hAnsi="Times New Roman" w:eastAsia="Times New Roman"/>
          <w:b/>
          <w:i w:val="0"/>
          <w:sz w:val="26"/>
        </w:rPr>
        <w:t>Điều 3. Tổ chức thực hiện</w:t>
      </w:r>
    </w:p>
    <w:p>
      <w:pPr>
        <w:spacing w:before="0" w:after="80" w:line="276" w:lineRule="auto"/>
        <w:jc w:val="both"/>
      </w:pPr>
      <w:r>
        <w:rPr>
          <w:rFonts w:ascii="Times New Roman" w:hAnsi="Times New Roman" w:eastAsia="Times New Roman"/>
          <w:b w:val="0"/>
          <w:i w:val="0"/>
          <w:sz w:val="26"/>
        </w:rPr>
        <w:t>1. Sở Xây dựng chủ trì hướng dẫn, theo dõi việc áp dụng Bộ định mức; tổng hợp khó khăn, vướng mắc và đề xuất Ủy ban nhân dân thành phố xem xét sửa đổi, bổ sung theo thẩm quyền.</w:t>
      </w:r>
    </w:p>
    <w:p>
      <w:pPr>
        <w:spacing w:before="0" w:after="80" w:line="276" w:lineRule="auto"/>
        <w:jc w:val="both"/>
      </w:pPr>
      <w:r>
        <w:rPr>
          <w:rFonts w:ascii="Times New Roman" w:hAnsi="Times New Roman" w:eastAsia="Times New Roman"/>
          <w:b w:val="0"/>
          <w:i w:val="0"/>
          <w:sz w:val="26"/>
        </w:rPr>
        <w:t>2. Sở Tài chính phối hợp với Sở Xây dựng và các cơ quan, đơn vị liên quan trong việc xác định, quản lý chi phí và nguồn kinh phí theo quy định của pháp luật.</w:t>
      </w:r>
    </w:p>
    <w:p>
      <w:pPr>
        <w:spacing w:before="0" w:after="80" w:line="276" w:lineRule="auto"/>
        <w:jc w:val="both"/>
      </w:pPr>
      <w:r>
        <w:rPr>
          <w:rFonts w:ascii="Times New Roman" w:hAnsi="Times New Roman" w:eastAsia="Times New Roman"/>
          <w:b w:val="0"/>
          <w:i w:val="0"/>
          <w:sz w:val="26"/>
        </w:rPr>
        <w:t>3. Các cơ quan, đơn vị, tổ chức và cá nhân có liên quan tổ chức áp dụng Bộ định mức theo đúng nội dung, đơn vị tính, điều kiện áp dụng và quy định pháp luật có liên quan.</w:t>
      </w:r>
    </w:p>
    <w:p>
      <w:pPr>
        <w:keepNext/>
        <w:spacing w:before="0" w:after="80" w:line="276" w:lineRule="auto"/>
        <w:jc w:val="both"/>
      </w:pPr>
      <w:r>
        <w:rPr>
          <w:rFonts w:ascii="Times New Roman" w:hAnsi="Times New Roman" w:eastAsia="Times New Roman"/>
          <w:b/>
          <w:i w:val="0"/>
          <w:sz w:val="26"/>
        </w:rPr>
        <w:t>Điều 4. Hiệu lực và trách nhiệm thi hành</w:t>
      </w:r>
    </w:p>
    <w:p>
      <w:pPr>
        <w:spacing w:before="0" w:after="80" w:line="276" w:lineRule="auto"/>
        <w:jc w:val="both"/>
      </w:pPr>
      <w:r>
        <w:rPr>
          <w:rFonts w:ascii="Times New Roman" w:hAnsi="Times New Roman" w:eastAsia="Times New Roman"/>
          <w:b w:val="0"/>
          <w:i w:val="0"/>
          <w:sz w:val="26"/>
        </w:rPr>
        <w:t>1. Quyết định này có hiệu lực thi hành kể từ ngày … tháng … năm 2026.</w:t>
      </w:r>
    </w:p>
    <w:p>
      <w:pPr>
        <w:spacing w:before="0" w:after="80" w:line="276" w:lineRule="auto"/>
        <w:jc w:val="both"/>
      </w:pPr>
      <w:r>
        <w:rPr>
          <w:rFonts w:ascii="Times New Roman" w:hAnsi="Times New Roman" w:eastAsia="Times New Roman"/>
          <w:b w:val="0"/>
          <w:i w:val="0"/>
          <w:sz w:val="26"/>
        </w:rPr>
        <w:t>2. Chánh Văn phòng Ủy ban nhân dân thành phố; Giám đốc các Sở: Xây dựng, Tài chính, Tư pháp; Thủ trưởng các sở, ban, ngành; Chủ tịch Ủy ban nhân dân các xã, phường, đặc khu và các cơ quan, đơn vị, tổ chức, cá nhân có liên quan chịu trách nhiệm thi hành Quyết định này./.</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386"/>
        <w:gridCol w:w="3402"/>
      </w:tblGrid>
      <w:tr>
        <w:tc>
          <w:tcPr>
            <w:tcW w:type="dxa" w:w="4535"/>
            <w:tcMar>
              <w:top w:w="60" w:type="dxa"/>
              <w:start w:w="20" w:type="dxa"/>
              <w:bottom w:w="60" w:type="dxa"/>
              <w:end w:w="20" w:type="dxa"/>
            </w:tcMar>
            <w:vAlign w:val="top"/>
          </w:tcPr>
          <w:p>
            <w:pPr>
              <w:spacing w:before="0" w:after="0" w:line="240" w:lineRule="auto"/>
              <w:jc w:val="left"/>
            </w:pPr>
            <w:r>
              <w:rPr>
                <w:rFonts w:ascii="Times New Roman" w:hAnsi="Times New Roman" w:eastAsia="Times New Roman"/>
                <w:b/>
                <w:i/>
                <w:sz w:val="22"/>
              </w:rPr>
              <w:t>Nơi nhận:</w:t>
            </w:r>
          </w:p>
          <w:p>
            <w:pPr>
              <w:spacing w:before="0" w:after="0" w:line="240" w:lineRule="auto"/>
              <w:jc w:val="left"/>
            </w:pPr>
            <w:r>
              <w:rPr>
                <w:rFonts w:ascii="Times New Roman" w:hAnsi="Times New Roman" w:eastAsia="Times New Roman"/>
                <w:b w:val="0"/>
                <w:i w:val="0"/>
                <w:sz w:val="22"/>
              </w:rPr>
              <w:t>- Như khoản 2 Điều 4;</w:t>
            </w:r>
          </w:p>
          <w:p>
            <w:pPr>
              <w:spacing w:before="0" w:after="0" w:line="240" w:lineRule="auto"/>
              <w:jc w:val="left"/>
            </w:pPr>
            <w:r>
              <w:rPr>
                <w:rFonts w:ascii="Times New Roman" w:hAnsi="Times New Roman" w:eastAsia="Times New Roman"/>
                <w:b w:val="0"/>
                <w:i w:val="0"/>
                <w:sz w:val="22"/>
              </w:rPr>
              <w:t>- Bộ Xây dựng;</w:t>
            </w:r>
          </w:p>
          <w:p>
            <w:pPr>
              <w:spacing w:before="0" w:after="0" w:line="240" w:lineRule="auto"/>
              <w:jc w:val="left"/>
            </w:pPr>
            <w:r>
              <w:rPr>
                <w:rFonts w:ascii="Times New Roman" w:hAnsi="Times New Roman" w:eastAsia="Times New Roman"/>
                <w:b w:val="0"/>
                <w:i w:val="0"/>
                <w:sz w:val="22"/>
              </w:rPr>
              <w:t>- Cục Kiểm tra văn bản và Tổ chức thi hành pháp luật - Bộ Tư pháp;</w:t>
            </w:r>
          </w:p>
          <w:p>
            <w:pPr>
              <w:spacing w:before="0" w:after="0" w:line="240" w:lineRule="auto"/>
              <w:jc w:val="left"/>
            </w:pPr>
            <w:r>
              <w:rPr>
                <w:rFonts w:ascii="Times New Roman" w:hAnsi="Times New Roman" w:eastAsia="Times New Roman"/>
                <w:b w:val="0"/>
                <w:i w:val="0"/>
                <w:sz w:val="22"/>
              </w:rPr>
              <w:t>- Thường trực Thành ủy; Thường trực HĐND thành phố;</w:t>
            </w:r>
          </w:p>
          <w:p>
            <w:pPr>
              <w:spacing w:before="0" w:after="0" w:line="240" w:lineRule="auto"/>
              <w:jc w:val="left"/>
            </w:pPr>
            <w:r>
              <w:rPr>
                <w:rFonts w:ascii="Times New Roman" w:hAnsi="Times New Roman" w:eastAsia="Times New Roman"/>
                <w:b w:val="0"/>
                <w:i w:val="0"/>
                <w:sz w:val="22"/>
              </w:rPr>
              <w:t>- Chủ tịch, các Phó Chủ tịch UBND thành phố;</w:t>
            </w:r>
          </w:p>
          <w:p>
            <w:pPr>
              <w:spacing w:before="0" w:after="0" w:line="240" w:lineRule="auto"/>
              <w:jc w:val="left"/>
            </w:pPr>
            <w:r>
              <w:rPr>
                <w:rFonts w:ascii="Times New Roman" w:hAnsi="Times New Roman" w:eastAsia="Times New Roman"/>
                <w:b w:val="0"/>
                <w:i w:val="0"/>
                <w:sz w:val="22"/>
              </w:rPr>
              <w:t>- Công báo thành phố;</w:t>
            </w:r>
          </w:p>
          <w:p>
            <w:pPr>
              <w:spacing w:before="0" w:after="0" w:line="240" w:lineRule="auto"/>
              <w:jc w:val="left"/>
            </w:pPr>
            <w:r>
              <w:rPr>
                <w:rFonts w:ascii="Times New Roman" w:hAnsi="Times New Roman" w:eastAsia="Times New Roman"/>
                <w:b w:val="0"/>
                <w:i w:val="0"/>
                <w:sz w:val="22"/>
              </w:rPr>
              <w:t>- Cổng Thông tin điện tử thành phố;</w:t>
            </w:r>
          </w:p>
          <w:p>
            <w:pPr>
              <w:spacing w:before="0" w:after="0" w:line="240" w:lineRule="auto"/>
              <w:jc w:val="left"/>
            </w:pPr>
            <w:r>
              <w:rPr>
                <w:rFonts w:ascii="Times New Roman" w:hAnsi="Times New Roman" w:eastAsia="Times New Roman"/>
                <w:b w:val="0"/>
                <w:i w:val="0"/>
                <w:sz w:val="22"/>
              </w:rPr>
              <w:t>- Lưu: VT, XD&amp;CT.</w:t>
            </w:r>
          </w:p>
        </w:tc>
        <w:tc>
          <w:tcPr>
            <w:tcW w:type="dxa" w:w="4535"/>
            <w:tcMar>
              <w:top w:w="60" w:type="dxa"/>
              <w:start w:w="20" w:type="dxa"/>
              <w:bottom w:w="60" w:type="dxa"/>
              <w:end w:w="20" w:type="dxa"/>
            </w:tcMar>
            <w:vAlign w:val="top"/>
          </w:tcPr>
          <w:p>
            <w:pPr>
              <w:spacing w:before="0" w:after="0" w:line="240" w:lineRule="auto"/>
              <w:jc w:val="center"/>
            </w:pPr>
            <w:r>
              <w:rPr>
                <w:rFonts w:ascii="Times New Roman" w:hAnsi="Times New Roman" w:eastAsia="Times New Roman"/>
                <w:b/>
                <w:i w:val="0"/>
                <w:sz w:val="24"/>
              </w:rPr>
              <w:t>TM. ỦY BAN NHÂN DÂN</w:t>
            </w:r>
          </w:p>
          <w:p>
            <w:pPr>
              <w:spacing w:before="0" w:after="0" w:line="240" w:lineRule="auto"/>
              <w:jc w:val="center"/>
            </w:pPr>
            <w:r>
              <w:rPr>
                <w:rFonts w:ascii="Times New Roman" w:hAnsi="Times New Roman" w:eastAsia="Times New Roman"/>
                <w:b/>
                <w:i w:val="0"/>
                <w:sz w:val="24"/>
              </w:rPr>
              <w:t>CHỦ TỊCH</w:t>
            </w:r>
          </w:p>
          <w:p>
            <w:pPr>
              <w:spacing w:before="0" w:after="0" w:line="240" w:lineRule="auto"/>
              <w:jc w:val="center"/>
            </w:pPr>
            <w:r>
              <w:rPr>
                <w:rFonts w:ascii="Times New Roman" w:hAnsi="Times New Roman" w:eastAsia="Times New Roman"/>
                <w:b/>
                <w:i w:val="0"/>
                <w:sz w:val="24"/>
              </w:rPr>
            </w:r>
          </w:p>
          <w:p>
            <w:pPr>
              <w:spacing w:before="0" w:after="0" w:line="240" w:lineRule="auto"/>
              <w:jc w:val="center"/>
            </w:pPr>
            <w:r>
              <w:rPr>
                <w:rFonts w:ascii="Times New Roman" w:hAnsi="Times New Roman" w:eastAsia="Times New Roman"/>
                <w:b/>
                <w:i w:val="0"/>
                <w:sz w:val="24"/>
              </w:rPr>
            </w:r>
          </w:p>
          <w:p>
            <w:pPr>
              <w:spacing w:before="0" w:after="0" w:line="240" w:lineRule="auto"/>
              <w:jc w:val="center"/>
            </w:pPr>
            <w:r>
              <w:rPr>
                <w:rFonts w:ascii="Times New Roman" w:hAnsi="Times New Roman" w:eastAsia="Times New Roman"/>
                <w:b/>
                <w:i w:val="0"/>
                <w:sz w:val="24"/>
              </w:rPr>
              <w:t>[Họ và tên]</w:t>
            </w:r>
          </w:p>
        </w:tc>
      </w:tr>
    </w:tbl>
    <w:sectPr w:rsidR="00FC693F" w:rsidRPr="0006063C" w:rsidSect="00034616">
      <w:pgSz w:w="11906" w:h="16838"/>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