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7841" w14:textId="77777777" w:rsidR="00B76BC8" w:rsidRPr="004B6528" w:rsidRDefault="00B76BC8" w:rsidP="005B0761">
      <w:pPr>
        <w:spacing w:before="60" w:after="60"/>
        <w:jc w:val="center"/>
        <w:rPr>
          <w:b/>
          <w:bCs/>
        </w:rPr>
      </w:pPr>
      <w:r w:rsidRPr="004B6528">
        <w:rPr>
          <w:b/>
          <w:bCs/>
        </w:rPr>
        <w:t>BẢNG TỔNG HỢP TIẾP THU, GIẢI TRÌNH Ý KIẾN THAM GIA</w:t>
      </w:r>
    </w:p>
    <w:p w14:paraId="516E1D65" w14:textId="54D22951" w:rsidR="00B76BC8" w:rsidRPr="004B6528" w:rsidRDefault="00B76BC8" w:rsidP="005B0761">
      <w:pPr>
        <w:spacing w:before="60" w:after="60"/>
        <w:jc w:val="center"/>
        <w:rPr>
          <w:i/>
          <w:iCs/>
        </w:rPr>
      </w:pPr>
      <w:r w:rsidRPr="004B6528">
        <w:rPr>
          <w:i/>
          <w:iCs/>
        </w:rPr>
        <w:t xml:space="preserve">(kèm theo </w:t>
      </w:r>
      <w:r w:rsidR="00123747" w:rsidRPr="004B6528">
        <w:rPr>
          <w:i/>
          <w:iCs/>
        </w:rPr>
        <w:t>Văn bản</w:t>
      </w:r>
      <w:r w:rsidRPr="004B6528">
        <w:rPr>
          <w:i/>
          <w:iCs/>
        </w:rPr>
        <w:t xml:space="preserve"> số  </w:t>
      </w:r>
      <w:r w:rsidR="00426D03" w:rsidRPr="004B6528">
        <w:rPr>
          <w:i/>
          <w:iCs/>
        </w:rPr>
        <w:t xml:space="preserve"> </w:t>
      </w:r>
      <w:r w:rsidRPr="004B6528">
        <w:rPr>
          <w:i/>
          <w:iCs/>
        </w:rPr>
        <w:t xml:space="preserve">        /</w:t>
      </w:r>
      <w:r w:rsidR="00426D03" w:rsidRPr="004B6528">
        <w:rPr>
          <w:i/>
          <w:iCs/>
        </w:rPr>
        <w:t xml:space="preserve">          </w:t>
      </w:r>
      <w:r w:rsidRPr="004B6528">
        <w:rPr>
          <w:i/>
          <w:iCs/>
        </w:rPr>
        <w:t xml:space="preserve"> ngày        tháng </w:t>
      </w:r>
      <w:r w:rsidR="00123747" w:rsidRPr="004B6528">
        <w:rPr>
          <w:i/>
          <w:iCs/>
        </w:rPr>
        <w:t>6</w:t>
      </w:r>
      <w:r w:rsidRPr="004B6528">
        <w:rPr>
          <w:i/>
          <w:iCs/>
        </w:rPr>
        <w:t xml:space="preserve"> năm 2026</w:t>
      </w:r>
      <w:r w:rsidR="00123747" w:rsidRPr="004B6528">
        <w:rPr>
          <w:i/>
          <w:iCs/>
        </w:rPr>
        <w:t xml:space="preserve"> của Sở Xây dựng</w:t>
      </w:r>
      <w:r w:rsidRPr="004B6528">
        <w:rPr>
          <w:i/>
          <w:iCs/>
        </w:rPr>
        <w:t>)</w:t>
      </w:r>
    </w:p>
    <w:p w14:paraId="086A85FC" w14:textId="77777777" w:rsidR="00B76BC8" w:rsidRPr="004B6528" w:rsidRDefault="00B76BC8" w:rsidP="005B0761">
      <w:pPr>
        <w:spacing w:before="60" w:after="60"/>
        <w:jc w:val="center"/>
      </w:pPr>
      <w:r w:rsidRPr="004B6528">
        <w:t>-----</w:t>
      </w:r>
    </w:p>
    <w:tbl>
      <w:tblPr>
        <w:tblStyle w:val="TableGrid"/>
        <w:tblW w:w="15305" w:type="dxa"/>
        <w:jc w:val="center"/>
        <w:tblLook w:val="04A0" w:firstRow="1" w:lastRow="0" w:firstColumn="1" w:lastColumn="0" w:noHBand="0" w:noVBand="1"/>
      </w:tblPr>
      <w:tblGrid>
        <w:gridCol w:w="590"/>
        <w:gridCol w:w="8903"/>
        <w:gridCol w:w="5812"/>
      </w:tblGrid>
      <w:tr w:rsidR="005765D7" w:rsidRPr="004B6528" w14:paraId="4D284F1C" w14:textId="77777777" w:rsidTr="00D96081">
        <w:trPr>
          <w:tblHeader/>
          <w:jc w:val="center"/>
        </w:trPr>
        <w:tc>
          <w:tcPr>
            <w:tcW w:w="590" w:type="dxa"/>
            <w:vAlign w:val="center"/>
          </w:tcPr>
          <w:p w14:paraId="79A2C34D" w14:textId="77777777" w:rsidR="005765D7" w:rsidRPr="004B6528" w:rsidRDefault="005765D7" w:rsidP="0047300D">
            <w:pPr>
              <w:spacing w:before="60" w:after="60"/>
              <w:jc w:val="center"/>
              <w:rPr>
                <w:b/>
                <w:bCs/>
                <w:sz w:val="26"/>
                <w:szCs w:val="26"/>
              </w:rPr>
            </w:pPr>
            <w:r w:rsidRPr="004B6528">
              <w:rPr>
                <w:b/>
                <w:bCs/>
                <w:sz w:val="26"/>
                <w:szCs w:val="26"/>
              </w:rPr>
              <w:t>TT</w:t>
            </w:r>
          </w:p>
        </w:tc>
        <w:tc>
          <w:tcPr>
            <w:tcW w:w="8903" w:type="dxa"/>
            <w:vAlign w:val="center"/>
          </w:tcPr>
          <w:p w14:paraId="742B47FF" w14:textId="00FA3A49" w:rsidR="005765D7" w:rsidRPr="004B6528" w:rsidRDefault="005765D7" w:rsidP="0047300D">
            <w:pPr>
              <w:spacing w:before="60" w:after="60"/>
              <w:jc w:val="center"/>
              <w:rPr>
                <w:b/>
                <w:bCs/>
                <w:sz w:val="26"/>
                <w:szCs w:val="26"/>
              </w:rPr>
            </w:pPr>
            <w:r w:rsidRPr="004B6528">
              <w:rPr>
                <w:b/>
                <w:bCs/>
                <w:sz w:val="26"/>
                <w:szCs w:val="26"/>
              </w:rPr>
              <w:t>Ý kiến tham gia</w:t>
            </w:r>
          </w:p>
        </w:tc>
        <w:tc>
          <w:tcPr>
            <w:tcW w:w="5812" w:type="dxa"/>
            <w:vAlign w:val="center"/>
          </w:tcPr>
          <w:p w14:paraId="37CCF6E4" w14:textId="77777777" w:rsidR="005765D7" w:rsidRPr="004B6528" w:rsidRDefault="005765D7" w:rsidP="0047300D">
            <w:pPr>
              <w:spacing w:before="60" w:after="60"/>
              <w:jc w:val="center"/>
              <w:rPr>
                <w:b/>
                <w:bCs/>
                <w:sz w:val="26"/>
                <w:szCs w:val="26"/>
              </w:rPr>
            </w:pPr>
            <w:r w:rsidRPr="004B6528">
              <w:rPr>
                <w:b/>
                <w:bCs/>
                <w:sz w:val="26"/>
                <w:szCs w:val="26"/>
              </w:rPr>
              <w:t>Nội dung giải trình, tiếp thu</w:t>
            </w:r>
          </w:p>
        </w:tc>
      </w:tr>
      <w:tr w:rsidR="004B23D2" w:rsidRPr="004B6528" w14:paraId="1F2CAABC" w14:textId="77777777" w:rsidTr="00B45EDA">
        <w:trPr>
          <w:trHeight w:val="393"/>
          <w:jc w:val="center"/>
        </w:trPr>
        <w:tc>
          <w:tcPr>
            <w:tcW w:w="590" w:type="dxa"/>
            <w:vAlign w:val="center"/>
          </w:tcPr>
          <w:p w14:paraId="1E6FCD8D" w14:textId="77777777" w:rsidR="004B23D2" w:rsidRPr="004B6528" w:rsidRDefault="004B23D2" w:rsidP="0047300D">
            <w:pPr>
              <w:spacing w:before="60" w:after="60"/>
              <w:jc w:val="center"/>
              <w:rPr>
                <w:b/>
                <w:bCs/>
                <w:sz w:val="26"/>
                <w:szCs w:val="26"/>
              </w:rPr>
            </w:pPr>
            <w:r w:rsidRPr="004B6528">
              <w:rPr>
                <w:b/>
                <w:bCs/>
                <w:sz w:val="26"/>
                <w:szCs w:val="26"/>
              </w:rPr>
              <w:t>1</w:t>
            </w:r>
          </w:p>
        </w:tc>
        <w:tc>
          <w:tcPr>
            <w:tcW w:w="14715" w:type="dxa"/>
            <w:gridSpan w:val="2"/>
            <w:vAlign w:val="center"/>
          </w:tcPr>
          <w:p w14:paraId="4EE415FF" w14:textId="1ACE6565" w:rsidR="004B23D2" w:rsidRPr="004B6528" w:rsidRDefault="004B23D2" w:rsidP="00B76BC8">
            <w:pPr>
              <w:spacing w:before="60" w:after="60"/>
              <w:jc w:val="both"/>
              <w:rPr>
                <w:b/>
                <w:bCs/>
                <w:sz w:val="26"/>
                <w:szCs w:val="26"/>
              </w:rPr>
            </w:pPr>
            <w:r w:rsidRPr="004B6528">
              <w:rPr>
                <w:b/>
                <w:bCs/>
                <w:sz w:val="26"/>
                <w:szCs w:val="26"/>
              </w:rPr>
              <w:t>Uỷ ban Mặt trận Tổ quốc Việt Nam tại Công văn số 791/MTTQ-BTT ngày 12/6/2026</w:t>
            </w:r>
          </w:p>
        </w:tc>
      </w:tr>
      <w:tr w:rsidR="005765D7" w:rsidRPr="004B6528" w14:paraId="3518D2B8" w14:textId="77777777" w:rsidTr="00D96081">
        <w:trPr>
          <w:jc w:val="center"/>
        </w:trPr>
        <w:tc>
          <w:tcPr>
            <w:tcW w:w="590" w:type="dxa"/>
            <w:vAlign w:val="center"/>
          </w:tcPr>
          <w:p w14:paraId="3135860E" w14:textId="405D132C" w:rsidR="005765D7" w:rsidRPr="004B6528" w:rsidRDefault="00172437" w:rsidP="0047300D">
            <w:pPr>
              <w:spacing w:before="60" w:after="60"/>
              <w:jc w:val="center"/>
              <w:rPr>
                <w:sz w:val="26"/>
                <w:szCs w:val="26"/>
              </w:rPr>
            </w:pPr>
            <w:r w:rsidRPr="004B6528">
              <w:rPr>
                <w:sz w:val="26"/>
                <w:szCs w:val="26"/>
              </w:rPr>
              <w:t>-</w:t>
            </w:r>
          </w:p>
        </w:tc>
        <w:tc>
          <w:tcPr>
            <w:tcW w:w="8903" w:type="dxa"/>
            <w:vAlign w:val="center"/>
          </w:tcPr>
          <w:p w14:paraId="326390C3" w14:textId="26959189" w:rsidR="005765D7" w:rsidRPr="004B6528" w:rsidRDefault="005B0761" w:rsidP="00B76BC8">
            <w:pPr>
              <w:spacing w:before="60" w:after="60"/>
              <w:jc w:val="both"/>
              <w:rPr>
                <w:sz w:val="26"/>
                <w:szCs w:val="26"/>
              </w:rPr>
            </w:pPr>
            <w:r w:rsidRPr="004B6528">
              <w:rPr>
                <w:sz w:val="26"/>
                <w:szCs w:val="26"/>
              </w:rPr>
              <w:t xml:space="preserve">Mức hỗ trợ 3.000.000 đồng/tháng/hộ gia đình, cá nhân đang mang tính đồng đều cho tất cả các trường hợp. Việc chưa phân tách theo quy mô nhân khẩu thực tế của từng hộ dẫn đến bất cập về tính công bằng và an sinh xã hội. </w:t>
            </w:r>
            <w:r w:rsidR="004A26E7" w:rsidRPr="004B6528">
              <w:rPr>
                <w:sz w:val="26"/>
                <w:szCs w:val="26"/>
              </w:rPr>
              <w:t>Đề nghị cơ quan soạn thảo phân chia đối tượng thụ hưởng thành 02 nhóm để áp dụng chính sách hỗ trợ phù hợp:</w:t>
            </w:r>
          </w:p>
          <w:p w14:paraId="4DAEBC35" w14:textId="77777777" w:rsidR="004A26E7" w:rsidRPr="004B6528" w:rsidRDefault="004A26E7" w:rsidP="00B76BC8">
            <w:pPr>
              <w:spacing w:before="60" w:after="60"/>
              <w:jc w:val="both"/>
              <w:rPr>
                <w:sz w:val="26"/>
                <w:szCs w:val="26"/>
              </w:rPr>
            </w:pPr>
            <w:r w:rsidRPr="004B6528">
              <w:rPr>
                <w:sz w:val="26"/>
                <w:szCs w:val="26"/>
              </w:rPr>
              <w:t xml:space="preserve">- Nhóm 1 (Hộ gia đình từ 01 đến 03 nhân khẩu hoặc cá nhân độc thân): Giữ mức hỗ trợ 3.000.000 đồng/tháng. Mức này phù hợp với ngân sách thành phố và đủ để chi trả cho các căn hộ tạm cư bình dân hoặc phòng thuê nhỏ trên địa bàn. </w:t>
            </w:r>
          </w:p>
          <w:p w14:paraId="6D64902D" w14:textId="32899948" w:rsidR="004A26E7" w:rsidRPr="004B6528" w:rsidRDefault="004A26E7" w:rsidP="00B76BC8">
            <w:pPr>
              <w:spacing w:before="60" w:after="60"/>
              <w:jc w:val="both"/>
              <w:rPr>
                <w:sz w:val="26"/>
                <w:szCs w:val="26"/>
              </w:rPr>
            </w:pPr>
            <w:r w:rsidRPr="004B6528">
              <w:rPr>
                <w:sz w:val="26"/>
                <w:szCs w:val="26"/>
              </w:rPr>
              <w:t>- Nhóm 2 (Hộ gia đình từ 04 nhân khẩu trở lên): Nhận định mức 3.000.000 đồng/tháng là chưa hợp lý. Với mức kinh phí này, các hộ gia đình đông người khó có thể thuê nhà ở đáp ứng các điều kiện sinh hoạt tối thiểu theo Quy chuẩn kỹ thuật quốc gia về nhà ở tại thị trường Hải Phòng. Đề nghị nghiên cứu quy định mức hỗ trợ bổ sung cụ thể cho mỗi nhân khẩu tăng thêm kể từ người thứ 4 trở đi.</w:t>
            </w:r>
          </w:p>
        </w:tc>
        <w:tc>
          <w:tcPr>
            <w:tcW w:w="5812" w:type="dxa"/>
            <w:vAlign w:val="center"/>
          </w:tcPr>
          <w:p w14:paraId="5FBE0655" w14:textId="77777777" w:rsidR="005B0761" w:rsidRPr="004B6528" w:rsidRDefault="005B0761" w:rsidP="005B0761">
            <w:pPr>
              <w:spacing w:before="60" w:after="60"/>
              <w:jc w:val="both"/>
              <w:rPr>
                <w:sz w:val="26"/>
                <w:szCs w:val="26"/>
              </w:rPr>
            </w:pPr>
            <w:r w:rsidRPr="004B6528">
              <w:rPr>
                <w:sz w:val="26"/>
                <w:szCs w:val="26"/>
              </w:rPr>
              <w:t>Không tiếp thu. Giải trình như sau:</w:t>
            </w:r>
          </w:p>
          <w:p w14:paraId="1805CC10" w14:textId="262F162D" w:rsidR="005B0761" w:rsidRPr="004B6528" w:rsidRDefault="005B0761" w:rsidP="005B0761">
            <w:pPr>
              <w:spacing w:before="60" w:after="60"/>
              <w:jc w:val="both"/>
              <w:rPr>
                <w:sz w:val="26"/>
                <w:szCs w:val="26"/>
              </w:rPr>
            </w:pPr>
            <w:r w:rsidRPr="004B6528">
              <w:rPr>
                <w:sz w:val="26"/>
                <w:szCs w:val="26"/>
              </w:rPr>
              <w:t xml:space="preserve">(1) Khoản hỗ trợ kinh phí tự lo chỗ ở mới tại điểm b khoản 2 Điều 2 là khoản hỗ trợ tạm thời trong tình huống di dời khẩn cấp (thời hạn tối đa 24 tháng) theo khoản 1 Điều 73 Luật Nhà ở năm 2023, mang tính hỗ trợ một phần để chia sẻ khó khăn, không phải khoản trợ cấp nhằm bảo đảm diện tích ở tối thiểu theo Quy chuẩn kỹ thuật quốc gia về nhà ở; do đó, việc áp Quy chuẩn diện tích để định mức hỗ trợ là chưa phù hợp với </w:t>
            </w:r>
            <w:r w:rsidR="004A26E7" w:rsidRPr="004B6528">
              <w:rPr>
                <w:sz w:val="26"/>
                <w:szCs w:val="26"/>
              </w:rPr>
              <w:t>tính</w:t>
            </w:r>
            <w:r w:rsidRPr="004B6528">
              <w:rPr>
                <w:sz w:val="26"/>
                <w:szCs w:val="26"/>
              </w:rPr>
              <w:t xml:space="preserve"> chất chính sách.</w:t>
            </w:r>
          </w:p>
          <w:p w14:paraId="31724BD8" w14:textId="77777777" w:rsidR="005B0761" w:rsidRPr="004B6528" w:rsidRDefault="005B0761" w:rsidP="005B0761">
            <w:pPr>
              <w:spacing w:before="60" w:after="60"/>
              <w:jc w:val="both"/>
              <w:rPr>
                <w:sz w:val="26"/>
                <w:szCs w:val="26"/>
              </w:rPr>
            </w:pPr>
            <w:r w:rsidRPr="004B6528">
              <w:rPr>
                <w:sz w:val="26"/>
                <w:szCs w:val="26"/>
              </w:rPr>
              <w:t>(2) Mức 3.000.000 đồng/tháng/hộ kế thừa từ Nghị quyết số 25/2024/NQ-HĐND, áp dụng thống nhất nhằm bảo đảm công bằng theo diện bao phủ. Việc phân hóa định mức theo số nhân khẩu sẽ làm phát sinh khó khăn trong xác minh nhân khẩu thực tế, rủi ro trùng lặp, trục lợi (tách, nhập khẩu), không bảo đảm tính khả thi trong quản lý.</w:t>
            </w:r>
          </w:p>
          <w:p w14:paraId="08D462A2" w14:textId="77777777" w:rsidR="005B0761" w:rsidRPr="004B6528" w:rsidRDefault="005B0761" w:rsidP="005B0761">
            <w:pPr>
              <w:spacing w:before="60" w:after="60"/>
              <w:jc w:val="both"/>
              <w:rPr>
                <w:sz w:val="26"/>
                <w:szCs w:val="26"/>
              </w:rPr>
            </w:pPr>
            <w:r w:rsidRPr="004B6528">
              <w:rPr>
                <w:sz w:val="26"/>
                <w:szCs w:val="26"/>
              </w:rPr>
              <w:t>(3) Định mức lũy tiến theo nhân khẩu làm tăng chi ngân sách không xác định trước, chưa phù hợp với khả năng cân đối ngân sách theo điểm l khoản 9 Điều 31 Luật Ngân sách nhà nước năm 2025 và chưa được đánh giá tác động định lượng.</w:t>
            </w:r>
          </w:p>
          <w:p w14:paraId="6FFF6D81" w14:textId="56D88710" w:rsidR="005765D7" w:rsidRPr="004B6528" w:rsidRDefault="005B0761" w:rsidP="005B0761">
            <w:pPr>
              <w:spacing w:before="60" w:after="60"/>
              <w:jc w:val="both"/>
              <w:rPr>
                <w:sz w:val="26"/>
                <w:szCs w:val="26"/>
              </w:rPr>
            </w:pPr>
            <w:r w:rsidRPr="004B6528">
              <w:rPr>
                <w:sz w:val="26"/>
                <w:szCs w:val="26"/>
              </w:rPr>
              <w:lastRenderedPageBreak/>
              <w:t>(4) Các hộ đông người, yếu thế tiếp tục được bảo đảm an sinh thông qua chính sách ưu tiên bố trí tạm cư, tái định cư; chính sách hỗ trợ tiền thuê nhà tại Điều 3 và các chính sách trợ giúp xã hội theo Nghị định số 20/2021/NĐ-CP.</w:t>
            </w:r>
          </w:p>
        </w:tc>
      </w:tr>
      <w:tr w:rsidR="005765D7" w:rsidRPr="004B6528" w14:paraId="10DB1C39" w14:textId="77777777" w:rsidTr="00D96081">
        <w:trPr>
          <w:jc w:val="center"/>
        </w:trPr>
        <w:tc>
          <w:tcPr>
            <w:tcW w:w="590" w:type="dxa"/>
            <w:vAlign w:val="center"/>
          </w:tcPr>
          <w:p w14:paraId="6973C426" w14:textId="16BFCF26" w:rsidR="005765D7" w:rsidRPr="004B6528" w:rsidRDefault="008C6A4E" w:rsidP="0047300D">
            <w:pPr>
              <w:spacing w:before="60" w:after="60"/>
              <w:jc w:val="center"/>
              <w:rPr>
                <w:b/>
                <w:bCs/>
                <w:sz w:val="26"/>
                <w:szCs w:val="26"/>
              </w:rPr>
            </w:pPr>
            <w:r w:rsidRPr="004B6528">
              <w:rPr>
                <w:b/>
                <w:bCs/>
                <w:sz w:val="26"/>
                <w:szCs w:val="26"/>
              </w:rPr>
              <w:lastRenderedPageBreak/>
              <w:t>2</w:t>
            </w:r>
          </w:p>
        </w:tc>
        <w:tc>
          <w:tcPr>
            <w:tcW w:w="8903" w:type="dxa"/>
            <w:vAlign w:val="center"/>
          </w:tcPr>
          <w:p w14:paraId="1938D53A" w14:textId="2734B109" w:rsidR="005765D7" w:rsidRPr="004B6528" w:rsidRDefault="00172437" w:rsidP="00B76BC8">
            <w:pPr>
              <w:spacing w:before="60" w:after="60"/>
              <w:jc w:val="both"/>
              <w:rPr>
                <w:b/>
                <w:bCs/>
                <w:sz w:val="26"/>
                <w:szCs w:val="26"/>
              </w:rPr>
            </w:pPr>
            <w:r w:rsidRPr="004B6528">
              <w:rPr>
                <w:b/>
                <w:bCs/>
                <w:sz w:val="26"/>
                <w:szCs w:val="26"/>
              </w:rPr>
              <w:t>Sở Tài chính tại Công văn số 5789/STC-TCHCSN ngày 23/6/2026</w:t>
            </w:r>
          </w:p>
        </w:tc>
        <w:tc>
          <w:tcPr>
            <w:tcW w:w="5812" w:type="dxa"/>
            <w:vAlign w:val="center"/>
          </w:tcPr>
          <w:p w14:paraId="4D31F6EF" w14:textId="77777777" w:rsidR="005765D7" w:rsidRPr="004B6528" w:rsidRDefault="005765D7" w:rsidP="00B76BC8">
            <w:pPr>
              <w:spacing w:before="60" w:after="60"/>
              <w:jc w:val="both"/>
              <w:rPr>
                <w:b/>
                <w:bCs/>
                <w:sz w:val="26"/>
                <w:szCs w:val="26"/>
              </w:rPr>
            </w:pPr>
          </w:p>
        </w:tc>
      </w:tr>
      <w:tr w:rsidR="005765D7" w:rsidRPr="004B6528" w14:paraId="175B608E" w14:textId="77777777" w:rsidTr="00D96081">
        <w:trPr>
          <w:jc w:val="center"/>
        </w:trPr>
        <w:tc>
          <w:tcPr>
            <w:tcW w:w="590" w:type="dxa"/>
            <w:vAlign w:val="center"/>
          </w:tcPr>
          <w:p w14:paraId="65949C3F" w14:textId="11A4D028" w:rsidR="005765D7" w:rsidRPr="004B6528" w:rsidRDefault="008C6A4E" w:rsidP="0047300D">
            <w:pPr>
              <w:spacing w:before="60" w:after="60"/>
              <w:jc w:val="center"/>
              <w:rPr>
                <w:sz w:val="26"/>
                <w:szCs w:val="26"/>
              </w:rPr>
            </w:pPr>
            <w:r w:rsidRPr="004B6528">
              <w:rPr>
                <w:sz w:val="26"/>
                <w:szCs w:val="26"/>
              </w:rPr>
              <w:t>-</w:t>
            </w:r>
          </w:p>
        </w:tc>
        <w:tc>
          <w:tcPr>
            <w:tcW w:w="8903" w:type="dxa"/>
            <w:vAlign w:val="center"/>
          </w:tcPr>
          <w:p w14:paraId="113B0F9B" w14:textId="26E7CD30" w:rsidR="008C6A4E" w:rsidRPr="004B6528" w:rsidRDefault="00172437" w:rsidP="008C6A4E">
            <w:pPr>
              <w:spacing w:before="60" w:after="60"/>
              <w:jc w:val="both"/>
              <w:rPr>
                <w:sz w:val="26"/>
                <w:szCs w:val="26"/>
              </w:rPr>
            </w:pPr>
            <w:r w:rsidRPr="004B6528">
              <w:rPr>
                <w:sz w:val="26"/>
                <w:szCs w:val="26"/>
              </w:rPr>
              <w:t>Đề nghị cơ quan soạn thảo bổ sung nội dung về “Kinh phí thực hiện” thành một mục riêng trong Tờ trình; đồng thời bổ sung kết quả rà soát, thống kê cụ thể số lượng đối tượng thụ hưởng và nhu cầu kinh phí thực hiện theo từng nhóm chính sách; Đối với chính sách hỗ trợ di dời khẩn cấp và hỗ trợ thuê chỗ ở mới, đề nghị làm rõ cơ sở xác định nhu cầu kinh phí, các giả định và kịch bản phát sinh trên thực tế. Trên cơ sở đó, xác định nhu cầu kinh phí thực hiện Nghị quyết, dự kiến phân kỳ nguồn lực bảo đảm thực hiện.</w:t>
            </w:r>
          </w:p>
        </w:tc>
        <w:tc>
          <w:tcPr>
            <w:tcW w:w="5812" w:type="dxa"/>
            <w:vAlign w:val="center"/>
          </w:tcPr>
          <w:p w14:paraId="1F5EEA9E" w14:textId="0EF93A52" w:rsidR="005765D7" w:rsidRPr="004B6528" w:rsidRDefault="000E793E" w:rsidP="000E793E">
            <w:pPr>
              <w:spacing w:before="60" w:after="60"/>
              <w:jc w:val="center"/>
              <w:rPr>
                <w:sz w:val="26"/>
                <w:szCs w:val="26"/>
              </w:rPr>
            </w:pPr>
            <w:r w:rsidRPr="004B6528">
              <w:rPr>
                <w:sz w:val="26"/>
                <w:szCs w:val="26"/>
              </w:rPr>
              <w:t>Tiếp thu</w:t>
            </w:r>
            <w:r w:rsidR="004B6528">
              <w:rPr>
                <w:sz w:val="26"/>
                <w:szCs w:val="26"/>
              </w:rPr>
              <w:t>, bổ sung tại dự thảo Tờ trình</w:t>
            </w:r>
          </w:p>
        </w:tc>
      </w:tr>
      <w:tr w:rsidR="00172437" w:rsidRPr="004B6528" w14:paraId="2DE99AA0" w14:textId="77777777" w:rsidTr="00D96081">
        <w:trPr>
          <w:jc w:val="center"/>
        </w:trPr>
        <w:tc>
          <w:tcPr>
            <w:tcW w:w="590" w:type="dxa"/>
            <w:vAlign w:val="center"/>
          </w:tcPr>
          <w:p w14:paraId="79976B25" w14:textId="25B764A9" w:rsidR="00172437" w:rsidRPr="004B6528" w:rsidRDefault="00172437" w:rsidP="0047300D">
            <w:pPr>
              <w:spacing w:before="60" w:after="60"/>
              <w:jc w:val="center"/>
              <w:rPr>
                <w:b/>
                <w:bCs/>
                <w:sz w:val="26"/>
                <w:szCs w:val="26"/>
              </w:rPr>
            </w:pPr>
            <w:r w:rsidRPr="004B6528">
              <w:rPr>
                <w:b/>
                <w:bCs/>
                <w:sz w:val="26"/>
                <w:szCs w:val="26"/>
              </w:rPr>
              <w:t>-</w:t>
            </w:r>
          </w:p>
        </w:tc>
        <w:tc>
          <w:tcPr>
            <w:tcW w:w="8903" w:type="dxa"/>
            <w:vAlign w:val="center"/>
          </w:tcPr>
          <w:p w14:paraId="40F6603B" w14:textId="3ED307C0" w:rsidR="00172437" w:rsidRPr="004B6528" w:rsidRDefault="00172437" w:rsidP="00B76BC8">
            <w:pPr>
              <w:spacing w:before="60" w:after="60"/>
              <w:jc w:val="both"/>
              <w:rPr>
                <w:b/>
                <w:bCs/>
                <w:sz w:val="26"/>
                <w:szCs w:val="26"/>
              </w:rPr>
            </w:pPr>
            <w:r w:rsidRPr="004B6528">
              <w:rPr>
                <w:sz w:val="26"/>
                <w:szCs w:val="26"/>
              </w:rPr>
              <w:t xml:space="preserve">Về nguồn kinh phí thực hiện quy định tại điều 4 dự thảo Nghị quyết như sau: </w:t>
            </w:r>
            <w:r w:rsidRPr="004B6528">
              <w:rPr>
                <w:i/>
                <w:iCs/>
                <w:sz w:val="26"/>
                <w:szCs w:val="26"/>
              </w:rPr>
              <w:t>“Nguồn kinh phí thực hiện chính sách quy định tại Nghị quyết này do ngân sách thành phố bảo đảm theo quy định của pháp luật về ngân sách nhà nước. Kinh phí hỗ trợ di dời khẩn cấp là khoản kinh phí không thường xuyên, được bố trí từ nguồn dự phòng ngân sách hoặc nguồn tăng thu, tiết kiệm chi của thành phố khi phát sinh tình huống phải di dời khẩn cấp”</w:t>
            </w:r>
            <w:r w:rsidRPr="004B6528">
              <w:rPr>
                <w:sz w:val="26"/>
                <w:szCs w:val="26"/>
              </w:rPr>
              <w:t xml:space="preserve">. Đề nghị sửa như sau: </w:t>
            </w:r>
            <w:r w:rsidRPr="004B6528">
              <w:rPr>
                <w:i/>
                <w:iCs/>
                <w:sz w:val="26"/>
                <w:szCs w:val="26"/>
              </w:rPr>
              <w:t>“Nguồn kinh phí thực hiện chính sách quy định tại Nghị quyết này do ngân sách nhà nước bảo đảm theo quy định của pháp luật về ngân sách nhà nước”</w:t>
            </w:r>
          </w:p>
        </w:tc>
        <w:tc>
          <w:tcPr>
            <w:tcW w:w="5812" w:type="dxa"/>
            <w:vAlign w:val="center"/>
          </w:tcPr>
          <w:p w14:paraId="46D67F97" w14:textId="2BBD3A08" w:rsidR="00172437" w:rsidRPr="004B6528" w:rsidRDefault="004A26E7" w:rsidP="004A26E7">
            <w:pPr>
              <w:spacing w:before="60" w:after="60"/>
              <w:jc w:val="center"/>
              <w:rPr>
                <w:b/>
                <w:bCs/>
                <w:sz w:val="26"/>
                <w:szCs w:val="26"/>
              </w:rPr>
            </w:pPr>
            <w:r w:rsidRPr="004B6528">
              <w:rPr>
                <w:sz w:val="26"/>
                <w:szCs w:val="26"/>
              </w:rPr>
              <w:t>Tiếp thu</w:t>
            </w:r>
          </w:p>
        </w:tc>
      </w:tr>
      <w:tr w:rsidR="00172437" w:rsidRPr="004B6528" w14:paraId="1B5B006C" w14:textId="77777777" w:rsidTr="00D96081">
        <w:trPr>
          <w:jc w:val="center"/>
        </w:trPr>
        <w:tc>
          <w:tcPr>
            <w:tcW w:w="590" w:type="dxa"/>
            <w:vAlign w:val="center"/>
          </w:tcPr>
          <w:p w14:paraId="3C13AAEA" w14:textId="66CDF3B2" w:rsidR="00172437" w:rsidRPr="004B6528" w:rsidRDefault="00172437" w:rsidP="0047300D">
            <w:pPr>
              <w:spacing w:before="60" w:after="60"/>
              <w:jc w:val="center"/>
              <w:rPr>
                <w:b/>
                <w:bCs/>
                <w:sz w:val="26"/>
                <w:szCs w:val="26"/>
              </w:rPr>
            </w:pPr>
            <w:r w:rsidRPr="004B6528">
              <w:rPr>
                <w:b/>
                <w:bCs/>
                <w:sz w:val="26"/>
                <w:szCs w:val="26"/>
              </w:rPr>
              <w:t>-</w:t>
            </w:r>
          </w:p>
        </w:tc>
        <w:tc>
          <w:tcPr>
            <w:tcW w:w="8903" w:type="dxa"/>
            <w:vAlign w:val="center"/>
          </w:tcPr>
          <w:p w14:paraId="5990A5E1" w14:textId="1B444F16" w:rsidR="00172437" w:rsidRPr="004B6528" w:rsidRDefault="00172437" w:rsidP="00B76BC8">
            <w:pPr>
              <w:spacing w:before="60" w:after="60"/>
              <w:jc w:val="both"/>
              <w:rPr>
                <w:b/>
                <w:bCs/>
                <w:sz w:val="26"/>
                <w:szCs w:val="26"/>
              </w:rPr>
            </w:pPr>
            <w:r w:rsidRPr="004B6528">
              <w:rPr>
                <w:sz w:val="26"/>
                <w:szCs w:val="26"/>
              </w:rPr>
              <w:t>Đề nghị bổ sung nội dung về thời gian thực hiện Nghị quyết làm cơ sở tổ chức triển khai và bố trí kinh phí thực hiện.</w:t>
            </w:r>
          </w:p>
        </w:tc>
        <w:tc>
          <w:tcPr>
            <w:tcW w:w="5812" w:type="dxa"/>
            <w:vAlign w:val="center"/>
          </w:tcPr>
          <w:p w14:paraId="1D387E89" w14:textId="1EB5CCBC" w:rsidR="00172437" w:rsidRPr="004B6528" w:rsidRDefault="00A830B6" w:rsidP="00A830B6">
            <w:pPr>
              <w:spacing w:before="60" w:after="60"/>
              <w:rPr>
                <w:b/>
                <w:bCs/>
                <w:sz w:val="26"/>
                <w:szCs w:val="26"/>
              </w:rPr>
            </w:pPr>
            <w:r w:rsidRPr="004B6528">
              <w:rPr>
                <w:sz w:val="26"/>
                <w:szCs w:val="26"/>
              </w:rPr>
              <w:t xml:space="preserve">Giải trình, làm rõ như sau: Nghị quyết là văn bản quy phạm pháp luật có hiệu lực thi hành kể từ ngày xác định tại Điều 7 và được thực hiện thường xuyên, lâu dài cho đến khi được sửa đổi, bổ sung hoặc thay thế; </w:t>
            </w:r>
            <w:r w:rsidRPr="004B6528">
              <w:rPr>
                <w:sz w:val="26"/>
                <w:szCs w:val="26"/>
              </w:rPr>
              <w:lastRenderedPageBreak/>
              <w:t>thời hạn hỗ trợ tự lo chỗ ở mới đối với từng trường hợp tối đa 24 tháng theo khoản 4 Điều 2.</w:t>
            </w:r>
          </w:p>
        </w:tc>
      </w:tr>
      <w:tr w:rsidR="004B23D2" w:rsidRPr="004B6528" w14:paraId="419388C1" w14:textId="77777777" w:rsidTr="005B5230">
        <w:trPr>
          <w:jc w:val="center"/>
        </w:trPr>
        <w:tc>
          <w:tcPr>
            <w:tcW w:w="590" w:type="dxa"/>
            <w:vAlign w:val="center"/>
          </w:tcPr>
          <w:p w14:paraId="066AF4F2" w14:textId="1CEC71A9" w:rsidR="004B23D2" w:rsidRPr="004B6528" w:rsidRDefault="004B23D2" w:rsidP="0047300D">
            <w:pPr>
              <w:spacing w:before="60" w:after="60"/>
              <w:jc w:val="center"/>
              <w:rPr>
                <w:b/>
                <w:bCs/>
                <w:sz w:val="26"/>
                <w:szCs w:val="26"/>
              </w:rPr>
            </w:pPr>
            <w:r w:rsidRPr="004B6528">
              <w:rPr>
                <w:b/>
                <w:bCs/>
                <w:sz w:val="26"/>
                <w:szCs w:val="26"/>
              </w:rPr>
              <w:lastRenderedPageBreak/>
              <w:t>3</w:t>
            </w:r>
          </w:p>
        </w:tc>
        <w:tc>
          <w:tcPr>
            <w:tcW w:w="14715" w:type="dxa"/>
            <w:gridSpan w:val="2"/>
            <w:vAlign w:val="center"/>
          </w:tcPr>
          <w:p w14:paraId="4E482A81" w14:textId="4F48178C" w:rsidR="004B23D2" w:rsidRPr="004B6528" w:rsidRDefault="004B23D2" w:rsidP="00B76BC8">
            <w:pPr>
              <w:spacing w:before="60" w:after="60"/>
              <w:jc w:val="both"/>
              <w:rPr>
                <w:b/>
                <w:bCs/>
                <w:sz w:val="26"/>
                <w:szCs w:val="26"/>
              </w:rPr>
            </w:pPr>
            <w:r w:rsidRPr="004B6528">
              <w:rPr>
                <w:b/>
                <w:bCs/>
                <w:sz w:val="26"/>
                <w:szCs w:val="26"/>
              </w:rPr>
              <w:t>UBND phường Nam Đồng tại Văn bản số 1395/UBND-KTHT&amp;ĐT ngày 23/6/2026</w:t>
            </w:r>
          </w:p>
        </w:tc>
      </w:tr>
      <w:tr w:rsidR="009E40B7" w:rsidRPr="004B6528" w14:paraId="244DB67B" w14:textId="77777777" w:rsidTr="00D96081">
        <w:trPr>
          <w:jc w:val="center"/>
        </w:trPr>
        <w:tc>
          <w:tcPr>
            <w:tcW w:w="590" w:type="dxa"/>
            <w:vAlign w:val="center"/>
          </w:tcPr>
          <w:p w14:paraId="450118E2" w14:textId="74D07150" w:rsidR="009E40B7" w:rsidRPr="004B6528" w:rsidRDefault="00172437" w:rsidP="0047300D">
            <w:pPr>
              <w:spacing w:before="60" w:after="60"/>
              <w:jc w:val="center"/>
              <w:rPr>
                <w:sz w:val="26"/>
                <w:szCs w:val="26"/>
              </w:rPr>
            </w:pPr>
            <w:r w:rsidRPr="004B6528">
              <w:rPr>
                <w:sz w:val="26"/>
                <w:szCs w:val="26"/>
              </w:rPr>
              <w:t>-</w:t>
            </w:r>
          </w:p>
        </w:tc>
        <w:tc>
          <w:tcPr>
            <w:tcW w:w="8903" w:type="dxa"/>
            <w:vAlign w:val="center"/>
          </w:tcPr>
          <w:p w14:paraId="56248020" w14:textId="65C791B1" w:rsidR="009E40B7" w:rsidRPr="004B6528" w:rsidRDefault="00172437" w:rsidP="00B76BC8">
            <w:pPr>
              <w:spacing w:before="60" w:after="60"/>
              <w:jc w:val="both"/>
              <w:rPr>
                <w:sz w:val="26"/>
                <w:szCs w:val="26"/>
              </w:rPr>
            </w:pPr>
            <w:r w:rsidRPr="004B6528">
              <w:rPr>
                <w:sz w:val="26"/>
                <w:szCs w:val="26"/>
              </w:rPr>
              <w:t>Nhằm bảo đảm Nghị quyết mang tầm nhìn dài hạn, không bị động trước tốc độ đô thị hóa và tiến trình phát triển nhà ở xã hội, kiến nghị Sở Xây dựng bổ sung một điều khoản mang tính mở tại mục b, khoản 1, Điều 1: “Và các khu chung cư thuộc tài sản công, nhà ở xã hội thuộc sở hữu nhà nước được hình thành hoặc tiếp nhận bàn giao mới sau ngày Nghị quyết này có hiệu lực”. Quy định mở này sẽ tránh được việc phải liên tục sửa đổi, bổ sung danh mục phụ lục Nghị quyết mỗi khi thành phố hoàn thành và đưa vào vận hành các dự án nhà ở công ích mới trong các năm tiếp theo.</w:t>
            </w:r>
          </w:p>
        </w:tc>
        <w:tc>
          <w:tcPr>
            <w:tcW w:w="5812" w:type="dxa"/>
            <w:vAlign w:val="center"/>
          </w:tcPr>
          <w:p w14:paraId="5154264A" w14:textId="0C7BC789" w:rsidR="009E40B7" w:rsidRPr="004B6528" w:rsidRDefault="00A830B6" w:rsidP="00A830B6">
            <w:pPr>
              <w:spacing w:before="60" w:after="60"/>
              <w:jc w:val="both"/>
              <w:rPr>
                <w:sz w:val="26"/>
                <w:szCs w:val="26"/>
              </w:rPr>
            </w:pPr>
            <w:r w:rsidRPr="004B6528">
              <w:rPr>
                <w:sz w:val="26"/>
                <w:szCs w:val="26"/>
              </w:rPr>
              <w:t xml:space="preserve">Tiếp thu, sửa đổi như sau: </w:t>
            </w:r>
            <w:r w:rsidRPr="004B6528">
              <w:rPr>
                <w:i/>
                <w:iCs/>
                <w:sz w:val="26"/>
                <w:szCs w:val="26"/>
              </w:rPr>
              <w:t>“... và các khu chung cư, nhà ở xã hội thuộc tài sản công được hình thành hoặc tiếp nhận bàn giao mới sau ngày Nghị quyết này có hiệu lực”</w:t>
            </w:r>
            <w:r w:rsidRPr="004B6528">
              <w:rPr>
                <w:sz w:val="26"/>
                <w:szCs w:val="26"/>
              </w:rPr>
              <w:t>.</w:t>
            </w:r>
          </w:p>
        </w:tc>
      </w:tr>
      <w:tr w:rsidR="004B23D2" w:rsidRPr="004B6528" w14:paraId="14B0EE95" w14:textId="77777777" w:rsidTr="00B66D0F">
        <w:trPr>
          <w:jc w:val="center"/>
        </w:trPr>
        <w:tc>
          <w:tcPr>
            <w:tcW w:w="590" w:type="dxa"/>
            <w:vAlign w:val="center"/>
          </w:tcPr>
          <w:p w14:paraId="442DE63C" w14:textId="2D933E65" w:rsidR="004B23D2" w:rsidRPr="004B6528" w:rsidRDefault="00426D03" w:rsidP="0047300D">
            <w:pPr>
              <w:spacing w:before="60" w:after="60"/>
              <w:jc w:val="center"/>
              <w:rPr>
                <w:b/>
                <w:bCs/>
                <w:sz w:val="26"/>
                <w:szCs w:val="26"/>
              </w:rPr>
            </w:pPr>
            <w:r w:rsidRPr="004B6528">
              <w:rPr>
                <w:b/>
                <w:bCs/>
                <w:sz w:val="26"/>
                <w:szCs w:val="26"/>
              </w:rPr>
              <w:t>4</w:t>
            </w:r>
          </w:p>
        </w:tc>
        <w:tc>
          <w:tcPr>
            <w:tcW w:w="14715" w:type="dxa"/>
            <w:gridSpan w:val="2"/>
            <w:vAlign w:val="center"/>
          </w:tcPr>
          <w:p w14:paraId="32662BF4" w14:textId="238F932D" w:rsidR="004B23D2" w:rsidRPr="004B6528" w:rsidRDefault="004B23D2" w:rsidP="00B76BC8">
            <w:pPr>
              <w:spacing w:before="60" w:after="60"/>
              <w:jc w:val="both"/>
              <w:rPr>
                <w:b/>
                <w:bCs/>
                <w:sz w:val="26"/>
                <w:szCs w:val="26"/>
              </w:rPr>
            </w:pPr>
            <w:r w:rsidRPr="004B6528">
              <w:rPr>
                <w:b/>
                <w:bCs/>
                <w:sz w:val="26"/>
                <w:szCs w:val="26"/>
              </w:rPr>
              <w:t xml:space="preserve">UBND xã Lạc Phượng tại Văn bản số </w:t>
            </w:r>
            <w:r w:rsidR="00BA60F1" w:rsidRPr="004B6528">
              <w:rPr>
                <w:b/>
                <w:bCs/>
                <w:sz w:val="26"/>
                <w:szCs w:val="26"/>
              </w:rPr>
              <w:t>1473/</w:t>
            </w:r>
            <w:r w:rsidRPr="004B6528">
              <w:rPr>
                <w:b/>
                <w:bCs/>
                <w:sz w:val="26"/>
                <w:szCs w:val="26"/>
              </w:rPr>
              <w:t>UBND-KT ngày 1</w:t>
            </w:r>
            <w:r w:rsidR="00BA60F1" w:rsidRPr="004B6528">
              <w:rPr>
                <w:b/>
                <w:bCs/>
                <w:sz w:val="26"/>
                <w:szCs w:val="26"/>
              </w:rPr>
              <w:t>5</w:t>
            </w:r>
            <w:r w:rsidRPr="004B6528">
              <w:rPr>
                <w:b/>
                <w:bCs/>
                <w:sz w:val="26"/>
                <w:szCs w:val="26"/>
              </w:rPr>
              <w:t>/6/2026</w:t>
            </w:r>
          </w:p>
        </w:tc>
      </w:tr>
      <w:tr w:rsidR="00FF4F4F" w:rsidRPr="004B6528" w14:paraId="7946E360" w14:textId="77777777" w:rsidTr="00D96081">
        <w:trPr>
          <w:jc w:val="center"/>
        </w:trPr>
        <w:tc>
          <w:tcPr>
            <w:tcW w:w="590" w:type="dxa"/>
            <w:vAlign w:val="center"/>
          </w:tcPr>
          <w:p w14:paraId="291FDA21" w14:textId="5871EB78" w:rsidR="00FF4F4F" w:rsidRPr="004B6528" w:rsidRDefault="00426D03" w:rsidP="0047300D">
            <w:pPr>
              <w:spacing w:before="60" w:after="60"/>
              <w:jc w:val="center"/>
              <w:rPr>
                <w:sz w:val="26"/>
                <w:szCs w:val="26"/>
              </w:rPr>
            </w:pPr>
            <w:r w:rsidRPr="004B6528">
              <w:rPr>
                <w:sz w:val="26"/>
                <w:szCs w:val="26"/>
              </w:rPr>
              <w:t>4</w:t>
            </w:r>
            <w:r w:rsidR="00431FAD" w:rsidRPr="004B6528">
              <w:rPr>
                <w:sz w:val="26"/>
                <w:szCs w:val="26"/>
              </w:rPr>
              <w:t>.1</w:t>
            </w:r>
          </w:p>
        </w:tc>
        <w:tc>
          <w:tcPr>
            <w:tcW w:w="8903" w:type="dxa"/>
            <w:vAlign w:val="center"/>
          </w:tcPr>
          <w:p w14:paraId="45FFE88C" w14:textId="40C0D29E" w:rsidR="00FF4F4F" w:rsidRPr="004B6528" w:rsidRDefault="00DB2700" w:rsidP="00B76BC8">
            <w:pPr>
              <w:spacing w:before="60" w:after="60"/>
              <w:jc w:val="both"/>
              <w:rPr>
                <w:sz w:val="26"/>
                <w:szCs w:val="26"/>
              </w:rPr>
            </w:pPr>
            <w:r w:rsidRPr="004B6528">
              <w:rPr>
                <w:sz w:val="26"/>
                <w:szCs w:val="26"/>
              </w:rPr>
              <w:t>Đối chiếu làm rõ về phạm vi điều chỉnh của chính sách (điểm a khoản 2 Văn bản)</w:t>
            </w:r>
          </w:p>
        </w:tc>
        <w:tc>
          <w:tcPr>
            <w:tcW w:w="5812" w:type="dxa"/>
            <w:vAlign w:val="center"/>
          </w:tcPr>
          <w:p w14:paraId="0589246B" w14:textId="01913071" w:rsidR="00FF4F4F" w:rsidRPr="004B6528" w:rsidRDefault="00DA75E3" w:rsidP="00B76BC8">
            <w:pPr>
              <w:spacing w:before="60" w:after="60"/>
              <w:jc w:val="both"/>
              <w:rPr>
                <w:sz w:val="26"/>
                <w:szCs w:val="26"/>
              </w:rPr>
            </w:pPr>
            <w:r w:rsidRPr="004B6528">
              <w:rPr>
                <w:sz w:val="26"/>
                <w:szCs w:val="26"/>
              </w:rPr>
              <w:t>Không tiếp thu, g</w:t>
            </w:r>
            <w:r w:rsidR="00DB2700" w:rsidRPr="004B6528">
              <w:rPr>
                <w:sz w:val="26"/>
                <w:szCs w:val="26"/>
              </w:rPr>
              <w:t>iải trình, làm rõ như sau: Nghị quyết này chỉ điều chỉnh hỗ trợ di dời khẩn cấp đối với chung cư hư hỏng do cháy, nổ, thiên tai, địch họa (điểm a, b khoản 2 Điều 59 Luật Nhà ở năm 2023, gắn với khoản 1 Điều 73). Các chung cư nguy hiểm cấp D do xuống cấp theo thời gian được xử lý bằng cơ chế cải tạo, xây dựng lại nhà chung cư theo Nghị định số 98/2024/NĐ-CP và Đề án về cải tạo, di dời 177 chung cư cũ không thuộc phạm vi Nghị quyết này.</w:t>
            </w:r>
          </w:p>
        </w:tc>
      </w:tr>
      <w:tr w:rsidR="00431FAD" w:rsidRPr="004B6528" w14:paraId="41F3690D" w14:textId="77777777" w:rsidTr="00D96081">
        <w:trPr>
          <w:jc w:val="center"/>
        </w:trPr>
        <w:tc>
          <w:tcPr>
            <w:tcW w:w="590" w:type="dxa"/>
            <w:vAlign w:val="center"/>
          </w:tcPr>
          <w:p w14:paraId="3B53CBC4" w14:textId="6B35689B" w:rsidR="00431FAD" w:rsidRPr="004B6528" w:rsidRDefault="00426D03" w:rsidP="0047300D">
            <w:pPr>
              <w:spacing w:before="60" w:after="60"/>
              <w:jc w:val="center"/>
              <w:rPr>
                <w:sz w:val="26"/>
                <w:szCs w:val="26"/>
              </w:rPr>
            </w:pPr>
            <w:r w:rsidRPr="004B6528">
              <w:rPr>
                <w:sz w:val="26"/>
                <w:szCs w:val="26"/>
              </w:rPr>
              <w:t>4</w:t>
            </w:r>
            <w:r w:rsidR="00431FAD" w:rsidRPr="004B6528">
              <w:rPr>
                <w:sz w:val="26"/>
                <w:szCs w:val="26"/>
              </w:rPr>
              <w:t>.2</w:t>
            </w:r>
          </w:p>
        </w:tc>
        <w:tc>
          <w:tcPr>
            <w:tcW w:w="8903" w:type="dxa"/>
            <w:vAlign w:val="center"/>
          </w:tcPr>
          <w:p w14:paraId="18BCEE14" w14:textId="27E61004" w:rsidR="00431FAD" w:rsidRPr="004B6528" w:rsidRDefault="00DB2700" w:rsidP="00B76BC8">
            <w:pPr>
              <w:spacing w:before="60" w:after="60"/>
              <w:jc w:val="both"/>
              <w:rPr>
                <w:sz w:val="26"/>
                <w:szCs w:val="26"/>
              </w:rPr>
            </w:pPr>
            <w:r w:rsidRPr="004B6528">
              <w:rPr>
                <w:sz w:val="26"/>
                <w:szCs w:val="26"/>
              </w:rPr>
              <w:t xml:space="preserve">Đề nghị bổ sung tài liệu xác định rõ căn cứ pháp lý về sở hữu, nguồn hình thành, cơ quan quản lý và hiện trạng hợp đồng thuê nhà đối với từng công trình được bổ sung sau hợp nhất, đặc biệt là nhà ở xã hội tại Khu dân cư phía Đông Ngô Quyền. Việc công trình có tên gọi là “nhà ở xã hội” chưa đủ căn cứ để xác định toàn bộ công trình là tài sản công và thuộc phạm vi áp dụng chính sách. Quy định mở rộng phạm vi đến “nhà ở để cho thuê do Quỹ nhà ở địa phương thành phố tạo lập, quản lý theo Nghị </w:t>
            </w:r>
            <w:r w:rsidRPr="004B6528">
              <w:rPr>
                <w:sz w:val="26"/>
                <w:szCs w:val="26"/>
              </w:rPr>
              <w:lastRenderedPageBreak/>
              <w:t>định số 302/2025/NĐ-CP” có phạm vi tương đối rộng, bao gồm cả quỹ nhà được hình thành trong tương lai. Đề nghị làm rõ tiêu chí xác định, cơ quan có thẩm quyền công bố danh mục và cơ chế cập nhật để bảo đảm xác định rõ phạm vi đối tượng áp dụng và dự kiến tác động đối với ngân sách thành phố.</w:t>
            </w:r>
          </w:p>
        </w:tc>
        <w:tc>
          <w:tcPr>
            <w:tcW w:w="5812" w:type="dxa"/>
            <w:vAlign w:val="center"/>
          </w:tcPr>
          <w:p w14:paraId="317F9767" w14:textId="77777777" w:rsidR="00DB2700" w:rsidRPr="004B6528" w:rsidRDefault="00DB2700" w:rsidP="00B76BC8">
            <w:pPr>
              <w:spacing w:before="60" w:after="60"/>
              <w:jc w:val="both"/>
              <w:rPr>
                <w:sz w:val="26"/>
                <w:szCs w:val="26"/>
              </w:rPr>
            </w:pPr>
            <w:r w:rsidRPr="004B6528">
              <w:rPr>
                <w:sz w:val="26"/>
                <w:szCs w:val="26"/>
              </w:rPr>
              <w:lastRenderedPageBreak/>
              <w:t xml:space="preserve">Tiếp thu. Bổ sung tài liệu xác định căn cứ pháp lý về sở hữu, nguồn hình thành, cơ quan quản lý và hiện trạng hợp đồng thuê đối với từng công trình bổ sung sau hợp nhất. </w:t>
            </w:r>
          </w:p>
          <w:p w14:paraId="230640DF" w14:textId="269DD477" w:rsidR="00431FAD" w:rsidRPr="004B6528" w:rsidRDefault="00DB2700" w:rsidP="00B76BC8">
            <w:pPr>
              <w:spacing w:before="60" w:after="60"/>
              <w:jc w:val="both"/>
              <w:rPr>
                <w:sz w:val="26"/>
                <w:szCs w:val="26"/>
              </w:rPr>
            </w:pPr>
            <w:r w:rsidRPr="004B6528">
              <w:rPr>
                <w:sz w:val="26"/>
                <w:szCs w:val="26"/>
              </w:rPr>
              <w:t xml:space="preserve">Đối với nội dung là </w:t>
            </w:r>
            <w:r w:rsidRPr="004B6528">
              <w:rPr>
                <w:i/>
                <w:iCs/>
                <w:sz w:val="26"/>
                <w:szCs w:val="26"/>
              </w:rPr>
              <w:t xml:space="preserve">“nhà ở để cho thuê do Quỹ nhà ở địa phương tạo lập, quản lý theo Nghị định số </w:t>
            </w:r>
            <w:r w:rsidRPr="004B6528">
              <w:rPr>
                <w:i/>
                <w:iCs/>
                <w:sz w:val="26"/>
                <w:szCs w:val="26"/>
              </w:rPr>
              <w:lastRenderedPageBreak/>
              <w:t xml:space="preserve">302/2025/NĐ-CP” </w:t>
            </w:r>
            <w:r w:rsidRPr="004B6528">
              <w:rPr>
                <w:sz w:val="26"/>
                <w:szCs w:val="26"/>
              </w:rPr>
              <w:t xml:space="preserve">chỉnh lý theo hướng </w:t>
            </w:r>
            <w:r w:rsidRPr="004B6528">
              <w:rPr>
                <w:i/>
                <w:iCs/>
                <w:sz w:val="26"/>
                <w:szCs w:val="26"/>
              </w:rPr>
              <w:t>“... và các khu chung cư, nhà ở xã hội thuộc tài sản công được hình thành hoặc tiếp nhận bàn giao mới sau ngày Nghị quyết này có hiệu lực”</w:t>
            </w:r>
            <w:r w:rsidRPr="004B6528">
              <w:rPr>
                <w:sz w:val="26"/>
                <w:szCs w:val="26"/>
              </w:rPr>
              <w:t>. Đồng thời trong quá trình tổ chức thực hiện, Ủy ban nhân dân thành phố (đại diện chủ sở hữu nhà ở thuộc tài sản công theo khoản 4 Điều 13 Luật Nhà ở) thực hiện công bố và cập nhật danh mục chung cư, nhà ở xã hội thuộc tài sản công áp dụng chính sách hỗ trợ tiền thuê nhà theo quy định.</w:t>
            </w:r>
          </w:p>
        </w:tc>
      </w:tr>
      <w:tr w:rsidR="00431FAD" w:rsidRPr="004B6528" w14:paraId="13C6A781" w14:textId="77777777" w:rsidTr="00D96081">
        <w:trPr>
          <w:jc w:val="center"/>
        </w:trPr>
        <w:tc>
          <w:tcPr>
            <w:tcW w:w="590" w:type="dxa"/>
            <w:vAlign w:val="center"/>
          </w:tcPr>
          <w:p w14:paraId="4D301A6E" w14:textId="060A41E7" w:rsidR="00431FAD" w:rsidRPr="004B6528" w:rsidRDefault="00426D03" w:rsidP="0047300D">
            <w:pPr>
              <w:spacing w:before="60" w:after="60"/>
              <w:jc w:val="center"/>
              <w:rPr>
                <w:sz w:val="26"/>
                <w:szCs w:val="26"/>
              </w:rPr>
            </w:pPr>
            <w:r w:rsidRPr="004B6528">
              <w:rPr>
                <w:sz w:val="26"/>
                <w:szCs w:val="26"/>
              </w:rPr>
              <w:lastRenderedPageBreak/>
              <w:t>4</w:t>
            </w:r>
            <w:r w:rsidR="00431FAD" w:rsidRPr="004B6528">
              <w:rPr>
                <w:sz w:val="26"/>
                <w:szCs w:val="26"/>
              </w:rPr>
              <w:t>.3</w:t>
            </w:r>
          </w:p>
        </w:tc>
        <w:tc>
          <w:tcPr>
            <w:tcW w:w="8903" w:type="dxa"/>
            <w:vAlign w:val="center"/>
          </w:tcPr>
          <w:p w14:paraId="4972DF54" w14:textId="32736FA2" w:rsidR="00431FAD" w:rsidRPr="004B6528" w:rsidRDefault="00D43A76" w:rsidP="00B76BC8">
            <w:pPr>
              <w:spacing w:before="60" w:after="60"/>
              <w:jc w:val="both"/>
              <w:rPr>
                <w:sz w:val="26"/>
                <w:szCs w:val="26"/>
              </w:rPr>
            </w:pPr>
            <w:r w:rsidRPr="004B6528">
              <w:rPr>
                <w:sz w:val="26"/>
                <w:szCs w:val="26"/>
              </w:rPr>
              <w:t>Việc thay điều kiện “không còn chỗ ở nào khác trong địa bàn cấp huyện” bằng “không có chỗ ở nào khác trong địa bàn cấp xã” không đơn thuần là thay đổi thuật ngữ do bỏ cấp huyện mà làm thay đổi đáng kể điều kiện thụ hưởng chính sách. Theo quy định dự thảo, người có nhà ở tại một xã, phường liền kề vẫn có thể thuộc diện được hỗ trợ, trong khi trước đây có thể không thuộc diện hỗ trợ nếu nhà ở đó nằm trong cùng địa bàn cấp huyện. Vì vậy, đề nghị đánh giá tác động về số lượng đối tượng, kinh phí, tính công bằng và khả năng kiểm tra, xác minh; đồng thời thuyết minh rõ lý do lựa chọn phạm vi cấp xã thay vì tiêu chí phản ánh thực chất tình trạng không có chỗ ở thay thế. Trường hợp tiếp tục lựa chọn tiêu chí này, đề nghị sử dụng thống nhất cụm từ “đơn vị hành chính cấp xã nơi có nhà ở phải di dời”, không sử dụng riêng từ “phường” vì chính sách còn có thể được áp dụng tại xã hoặc đặc khu.</w:t>
            </w:r>
          </w:p>
        </w:tc>
        <w:tc>
          <w:tcPr>
            <w:tcW w:w="5812" w:type="dxa"/>
            <w:vAlign w:val="center"/>
          </w:tcPr>
          <w:p w14:paraId="4B7863AE" w14:textId="575001B9" w:rsidR="00431FAD" w:rsidRPr="004B6528" w:rsidRDefault="00DA75E3" w:rsidP="00B76BC8">
            <w:pPr>
              <w:spacing w:before="60" w:after="60"/>
              <w:jc w:val="both"/>
              <w:rPr>
                <w:sz w:val="26"/>
                <w:szCs w:val="26"/>
              </w:rPr>
            </w:pPr>
            <w:r w:rsidRPr="004B6528">
              <w:rPr>
                <w:sz w:val="26"/>
                <w:szCs w:val="26"/>
              </w:rPr>
              <w:t>Không tiếp thu, g</w:t>
            </w:r>
            <w:r w:rsidR="00D43A76" w:rsidRPr="004B6528">
              <w:rPr>
                <w:sz w:val="26"/>
                <w:szCs w:val="26"/>
              </w:rPr>
              <w:t>iải trình, làm rõ như sau:</w:t>
            </w:r>
          </w:p>
          <w:p w14:paraId="2370C622" w14:textId="77777777" w:rsidR="00D43A76" w:rsidRPr="004B6528" w:rsidRDefault="00D43A76" w:rsidP="00B76BC8">
            <w:pPr>
              <w:spacing w:before="60" w:after="60"/>
              <w:jc w:val="both"/>
              <w:rPr>
                <w:i/>
                <w:iCs/>
                <w:sz w:val="26"/>
                <w:szCs w:val="26"/>
              </w:rPr>
            </w:pPr>
            <w:r w:rsidRPr="004B6528">
              <w:rPr>
                <w:sz w:val="26"/>
                <w:szCs w:val="26"/>
              </w:rPr>
              <w:t xml:space="preserve">- Điều kiện “không còn chỗ ở nào khác trong địa bàn cấp huyện” quy định tại Nghị quyết số 25/2024/NQ-HĐND căn cứ trên cơ sở khoản 2 Điều 24 Nghị định số 88/2024/NĐ-CP, cụ thể: </w:t>
            </w:r>
            <w:r w:rsidRPr="004B6528">
              <w:rPr>
                <w:i/>
                <w:iCs/>
                <w:sz w:val="26"/>
                <w:szCs w:val="26"/>
              </w:rPr>
              <w:t>“Người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w:t>
            </w:r>
          </w:p>
          <w:p w14:paraId="46FBA256" w14:textId="77777777" w:rsidR="00D43A76" w:rsidRPr="004B6528" w:rsidRDefault="00D43A76" w:rsidP="00B76BC8">
            <w:pPr>
              <w:spacing w:before="60" w:after="60"/>
              <w:jc w:val="both"/>
              <w:rPr>
                <w:sz w:val="26"/>
                <w:szCs w:val="26"/>
              </w:rPr>
            </w:pPr>
            <w:r w:rsidRPr="004B6528">
              <w:rPr>
                <w:sz w:val="26"/>
                <w:szCs w:val="26"/>
              </w:rPr>
              <w:t xml:space="preserve">- Theo quy định tại Nghị định số 226/2025/NĐ-CP ngày 15/8/2024 thì cụm từ “cấp huyện” được sửa đổi thành cụm từ “cấp xã” và sau điều chỉnh là: </w:t>
            </w:r>
            <w:r w:rsidRPr="004B6528">
              <w:rPr>
                <w:i/>
                <w:iCs/>
                <w:sz w:val="26"/>
                <w:szCs w:val="26"/>
              </w:rPr>
              <w:t>“Người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w:t>
            </w:r>
            <w:r w:rsidRPr="004B6528">
              <w:rPr>
                <w:sz w:val="26"/>
                <w:szCs w:val="26"/>
              </w:rPr>
              <w:t>.</w:t>
            </w:r>
          </w:p>
          <w:p w14:paraId="56EE6C89" w14:textId="0F4D3ED6" w:rsidR="00D43A76" w:rsidRPr="004B6528" w:rsidRDefault="00D43A76" w:rsidP="00B76BC8">
            <w:pPr>
              <w:spacing w:before="60" w:after="60"/>
              <w:jc w:val="both"/>
              <w:rPr>
                <w:sz w:val="26"/>
                <w:szCs w:val="26"/>
              </w:rPr>
            </w:pPr>
            <w:r w:rsidRPr="004B6528">
              <w:rPr>
                <w:sz w:val="26"/>
                <w:szCs w:val="26"/>
              </w:rPr>
              <w:lastRenderedPageBreak/>
              <w:t xml:space="preserve">Nghị định thay thế Nghị định số 25/2024/NĐ-CP tiếp tục kế thừa, bổ sung và sửa đổi thành </w:t>
            </w:r>
            <w:r w:rsidRPr="004B6528">
              <w:rPr>
                <w:i/>
                <w:iCs/>
                <w:sz w:val="26"/>
                <w:szCs w:val="26"/>
              </w:rPr>
              <w:t>“không còn chỗ ở nào khác trong địa bàn cấp xã”</w:t>
            </w:r>
          </w:p>
        </w:tc>
      </w:tr>
      <w:tr w:rsidR="00D43A76" w:rsidRPr="004B6528" w14:paraId="0215EA75" w14:textId="77777777" w:rsidTr="00D96081">
        <w:trPr>
          <w:jc w:val="center"/>
        </w:trPr>
        <w:tc>
          <w:tcPr>
            <w:tcW w:w="590" w:type="dxa"/>
            <w:vAlign w:val="center"/>
          </w:tcPr>
          <w:p w14:paraId="752623FD" w14:textId="4EB2FD81" w:rsidR="00D43A76" w:rsidRPr="004B6528" w:rsidRDefault="00426D03" w:rsidP="0047300D">
            <w:pPr>
              <w:spacing w:before="60" w:after="60"/>
              <w:jc w:val="center"/>
              <w:rPr>
                <w:sz w:val="26"/>
                <w:szCs w:val="26"/>
              </w:rPr>
            </w:pPr>
            <w:r w:rsidRPr="004B6528">
              <w:rPr>
                <w:sz w:val="26"/>
                <w:szCs w:val="26"/>
              </w:rPr>
              <w:lastRenderedPageBreak/>
              <w:t>4</w:t>
            </w:r>
            <w:r w:rsidR="00D43A76" w:rsidRPr="004B6528">
              <w:rPr>
                <w:sz w:val="26"/>
                <w:szCs w:val="26"/>
              </w:rPr>
              <w:t>.4</w:t>
            </w:r>
          </w:p>
        </w:tc>
        <w:tc>
          <w:tcPr>
            <w:tcW w:w="8903" w:type="dxa"/>
            <w:vAlign w:val="center"/>
          </w:tcPr>
          <w:p w14:paraId="533FA336" w14:textId="50CA6A00" w:rsidR="00D43A76" w:rsidRPr="004B6528" w:rsidRDefault="00D43A76" w:rsidP="00B76BC8">
            <w:pPr>
              <w:spacing w:before="60" w:after="60"/>
              <w:jc w:val="both"/>
              <w:rPr>
                <w:sz w:val="26"/>
                <w:szCs w:val="26"/>
              </w:rPr>
            </w:pPr>
            <w:r w:rsidRPr="004B6528">
              <w:rPr>
                <w:sz w:val="26"/>
                <w:szCs w:val="26"/>
              </w:rPr>
              <w:t>Cụm từ “hộ gia đình, cá nhân” và đơn vị tính “đồng/hộ gia đình, cá nhân” tại Điều 2 dự thảo chưa xác định rõ một suất hỗ trợ được tính theo căn hộ, hợp đồng thuê nhà, hộ gia đình hay từng cá nhân đang sử dụng nhà. Trong một căn hộ có thể có nhiều hộ, nhiều cá nhân cùng cư trú hoặc có sự khác nhau giữa người đứng tên hợp đồng và người thực tế sử dụng. Đề nghị quy định rõ nguyên tắc xác định một suất hỗ trợ, người đại diện nhận hỗ trợ và cách xử lý trường hợp nhiều hộ, nhiều cá nhân cùng sử dụng một căn hộ để tránh trùng lặp, phát sinh khiếu kiện hoặc lợi dụng chính sách.</w:t>
            </w:r>
          </w:p>
        </w:tc>
        <w:tc>
          <w:tcPr>
            <w:tcW w:w="5812" w:type="dxa"/>
            <w:vAlign w:val="center"/>
          </w:tcPr>
          <w:p w14:paraId="4B6523A9" w14:textId="080413E1" w:rsidR="00D43A76" w:rsidRPr="004B6528" w:rsidRDefault="00DA75E3" w:rsidP="00B76BC8">
            <w:pPr>
              <w:spacing w:before="60" w:after="60"/>
              <w:jc w:val="both"/>
              <w:rPr>
                <w:sz w:val="26"/>
                <w:szCs w:val="26"/>
              </w:rPr>
            </w:pPr>
            <w:r w:rsidRPr="004B6528">
              <w:rPr>
                <w:sz w:val="26"/>
                <w:szCs w:val="26"/>
              </w:rPr>
              <w:t>Không tiếp thu, giải trình, làm rõ như sau: Tại khoản 3 Điều 2 dự thảo Nghị quyết đã quy định các điều kiện được hưởng hỗ trợ kinh phí để các hộ gia đình, cá nhân tự lo chỗ ở mới. Cụ thể, các đối tượng được hưởng hỗ trợ phải có đầy đủ giấy tờ chứng minh việc bố trí sử dụng nhà ở hoặc giấy tờ chứng minh việc thanh lý, hóa giá nhà ở và chuyển quyền sở hữu nhà ở đối với các trường hợp đã thanh lý, hóa giá.</w:t>
            </w:r>
          </w:p>
        </w:tc>
      </w:tr>
      <w:tr w:rsidR="00D43A76" w:rsidRPr="004B6528" w14:paraId="5D8F2212" w14:textId="77777777" w:rsidTr="00D96081">
        <w:trPr>
          <w:jc w:val="center"/>
        </w:trPr>
        <w:tc>
          <w:tcPr>
            <w:tcW w:w="590" w:type="dxa"/>
            <w:vAlign w:val="center"/>
          </w:tcPr>
          <w:p w14:paraId="01E25152" w14:textId="6E576D90" w:rsidR="00D43A76" w:rsidRPr="004B6528" w:rsidRDefault="00426D03" w:rsidP="0047300D">
            <w:pPr>
              <w:spacing w:before="60" w:after="60"/>
              <w:jc w:val="center"/>
              <w:rPr>
                <w:sz w:val="26"/>
                <w:szCs w:val="26"/>
              </w:rPr>
            </w:pPr>
            <w:r w:rsidRPr="004B6528">
              <w:rPr>
                <w:sz w:val="26"/>
                <w:szCs w:val="26"/>
              </w:rPr>
              <w:t>4</w:t>
            </w:r>
            <w:r w:rsidR="00D43A76" w:rsidRPr="004B6528">
              <w:rPr>
                <w:sz w:val="26"/>
                <w:szCs w:val="26"/>
              </w:rPr>
              <w:t>.5</w:t>
            </w:r>
          </w:p>
        </w:tc>
        <w:tc>
          <w:tcPr>
            <w:tcW w:w="8903" w:type="dxa"/>
            <w:vAlign w:val="center"/>
          </w:tcPr>
          <w:p w14:paraId="62565D60" w14:textId="3E243518" w:rsidR="00D43A76" w:rsidRPr="004B6528" w:rsidRDefault="00D43A76" w:rsidP="00024B1D">
            <w:pPr>
              <w:spacing w:before="60" w:after="60"/>
              <w:jc w:val="both"/>
              <w:rPr>
                <w:sz w:val="26"/>
                <w:szCs w:val="26"/>
              </w:rPr>
            </w:pPr>
            <w:r w:rsidRPr="004B6528">
              <w:rPr>
                <w:sz w:val="26"/>
                <w:szCs w:val="26"/>
              </w:rPr>
              <w:t>Khoản 1 Điều 6 dự thảo quy định trường hợp đã có quyết định hỗ trợ theo Nghị quyết số 25/2024/NQ-HĐND thì tiếp tục hưởng theo quyết định đã ban hành, đồng thời quy định thời gian và mức kinh phí đã hỗ trợ được tính trừ vào thời gian, mức hỗ trợ theo Nghị quyết mới. Hai nội dung này chưa rõ về nguyên tắc áp dụng. Đề nghị phân định cụ thể: Trường hợp tiếp tục thực hiện đầy đủ quyết định đã ban hành theo Nghị quyết số 25/2024/NQ-HĐND thì không chuyển sang áp dụng Nghị quyết mới; Trường hợp được tiếp tục xem xét hưởng chính sách theo Nghị quyết mới thì phải quy định rõ phần thời gian, số tiền đã nhận được khấu trừ như thế nào. Đồng thời, cần làm rõ trên thực tế đã có bao nhiêu quyết định hỗ trợ thuộc trường hợp chuyển tiếp, trong khi Báo cáo đánh giá thực trạng xác định chính sách hỗ trợ tiền thuê nhà chưa được triển khai chi trả.</w:t>
            </w:r>
          </w:p>
        </w:tc>
        <w:tc>
          <w:tcPr>
            <w:tcW w:w="5812" w:type="dxa"/>
            <w:vAlign w:val="center"/>
          </w:tcPr>
          <w:p w14:paraId="26491AA0" w14:textId="41E86D81" w:rsidR="00D43A76" w:rsidRPr="004B6528" w:rsidRDefault="00024B1D" w:rsidP="00577DFF">
            <w:pPr>
              <w:spacing w:before="60" w:after="60"/>
              <w:jc w:val="center"/>
              <w:rPr>
                <w:sz w:val="26"/>
                <w:szCs w:val="26"/>
              </w:rPr>
            </w:pPr>
            <w:r w:rsidRPr="004B6528">
              <w:rPr>
                <w:sz w:val="26"/>
                <w:szCs w:val="26"/>
              </w:rPr>
              <w:t>Tiếp thu và bỏ nội dung này</w:t>
            </w:r>
          </w:p>
        </w:tc>
      </w:tr>
      <w:tr w:rsidR="00D43A76" w:rsidRPr="004B6528" w14:paraId="443260F2" w14:textId="77777777" w:rsidTr="00D96081">
        <w:trPr>
          <w:jc w:val="center"/>
        </w:trPr>
        <w:tc>
          <w:tcPr>
            <w:tcW w:w="590" w:type="dxa"/>
            <w:vAlign w:val="center"/>
          </w:tcPr>
          <w:p w14:paraId="02A9BACB" w14:textId="1548266F" w:rsidR="00D43A76" w:rsidRPr="004B6528" w:rsidRDefault="00426D03" w:rsidP="0047300D">
            <w:pPr>
              <w:spacing w:before="60" w:after="60"/>
              <w:jc w:val="center"/>
              <w:rPr>
                <w:sz w:val="26"/>
                <w:szCs w:val="26"/>
              </w:rPr>
            </w:pPr>
            <w:r w:rsidRPr="004B6528">
              <w:rPr>
                <w:sz w:val="26"/>
                <w:szCs w:val="26"/>
              </w:rPr>
              <w:t>4</w:t>
            </w:r>
            <w:r w:rsidR="00D43A76" w:rsidRPr="004B6528">
              <w:rPr>
                <w:sz w:val="26"/>
                <w:szCs w:val="26"/>
              </w:rPr>
              <w:t>.6</w:t>
            </w:r>
          </w:p>
        </w:tc>
        <w:tc>
          <w:tcPr>
            <w:tcW w:w="8903" w:type="dxa"/>
            <w:vAlign w:val="center"/>
          </w:tcPr>
          <w:p w14:paraId="446FB51E" w14:textId="786C52AF" w:rsidR="00D43A76" w:rsidRPr="004B6528" w:rsidRDefault="00D43A76" w:rsidP="00B76BC8">
            <w:pPr>
              <w:spacing w:before="60" w:after="60"/>
              <w:jc w:val="both"/>
              <w:rPr>
                <w:sz w:val="26"/>
                <w:szCs w:val="26"/>
              </w:rPr>
            </w:pPr>
            <w:r w:rsidRPr="004B6528">
              <w:rPr>
                <w:sz w:val="26"/>
                <w:szCs w:val="26"/>
              </w:rPr>
              <w:t xml:space="preserve">Dự thảo có sử dụng trực tiếp Nghị định số 302/2025/NĐ-CP để xác định phạm vi quỹ nhà nhưng phần căn cứ ban hành Nghị quyết chưa viện dẫn Nghị định này. Đề nghị rà soát, bổ sung nếu đây là văn bản được sử dụng làm căn cứ trực tiếp cho nội dung quy định; đồng thời rà soát tính cần thiết của từng văn bản trong phần căn cứ, </w:t>
            </w:r>
            <w:r w:rsidRPr="004B6528">
              <w:rPr>
                <w:sz w:val="26"/>
                <w:szCs w:val="26"/>
              </w:rPr>
              <w:lastRenderedPageBreak/>
              <w:t>bảo đảm chỉ viện dẫn văn bản có nội dung giao thẩm quyền hoặc có quy định trực tiếp liên quan đến nội dung Nghị quyết.</w:t>
            </w:r>
          </w:p>
        </w:tc>
        <w:tc>
          <w:tcPr>
            <w:tcW w:w="5812" w:type="dxa"/>
            <w:vAlign w:val="center"/>
          </w:tcPr>
          <w:p w14:paraId="0C8422A9" w14:textId="003B40F0" w:rsidR="00D43A76" w:rsidRPr="004B6528" w:rsidRDefault="00D43A76" w:rsidP="00577DFF">
            <w:pPr>
              <w:spacing w:before="60" w:after="60"/>
              <w:jc w:val="center"/>
              <w:rPr>
                <w:sz w:val="26"/>
                <w:szCs w:val="26"/>
              </w:rPr>
            </w:pPr>
            <w:r w:rsidRPr="004B6528">
              <w:rPr>
                <w:sz w:val="26"/>
                <w:szCs w:val="26"/>
              </w:rPr>
              <w:lastRenderedPageBreak/>
              <w:t>Tiếp thu</w:t>
            </w:r>
          </w:p>
        </w:tc>
      </w:tr>
      <w:tr w:rsidR="00431FAD" w:rsidRPr="004B6528" w14:paraId="7CF0774D" w14:textId="77777777" w:rsidTr="00D96081">
        <w:trPr>
          <w:jc w:val="center"/>
        </w:trPr>
        <w:tc>
          <w:tcPr>
            <w:tcW w:w="590" w:type="dxa"/>
            <w:vAlign w:val="center"/>
          </w:tcPr>
          <w:p w14:paraId="107F6909" w14:textId="23F157F7" w:rsidR="00431FAD" w:rsidRPr="004B6528" w:rsidRDefault="00426D03" w:rsidP="0047300D">
            <w:pPr>
              <w:spacing w:before="60" w:after="60"/>
              <w:jc w:val="center"/>
              <w:rPr>
                <w:sz w:val="26"/>
                <w:szCs w:val="26"/>
              </w:rPr>
            </w:pPr>
            <w:r w:rsidRPr="004B6528">
              <w:rPr>
                <w:sz w:val="26"/>
                <w:szCs w:val="26"/>
              </w:rPr>
              <w:t>4</w:t>
            </w:r>
            <w:r w:rsidR="00D43A76" w:rsidRPr="004B6528">
              <w:rPr>
                <w:sz w:val="26"/>
                <w:szCs w:val="26"/>
              </w:rPr>
              <w:t>.7</w:t>
            </w:r>
          </w:p>
        </w:tc>
        <w:tc>
          <w:tcPr>
            <w:tcW w:w="8903" w:type="dxa"/>
            <w:vAlign w:val="center"/>
          </w:tcPr>
          <w:p w14:paraId="02ED2935" w14:textId="4DEB6997" w:rsidR="00264932" w:rsidRPr="004B6528" w:rsidRDefault="00264932" w:rsidP="00B76BC8">
            <w:pPr>
              <w:spacing w:before="60" w:after="60"/>
              <w:jc w:val="both"/>
              <w:rPr>
                <w:sz w:val="26"/>
                <w:szCs w:val="26"/>
              </w:rPr>
            </w:pPr>
            <w:r w:rsidRPr="004B6528">
              <w:rPr>
                <w:sz w:val="26"/>
                <w:szCs w:val="26"/>
              </w:rPr>
              <w:t>Chỉnh lý thống nhất nội dung, số liệu giữa các tài liệu: Sửa khóa XVI thành Khóa XVII, thống nhất cấp xã/phường, thống nhất căn cứ Nghị định số 302/2025/NĐ-CP và tên công trình, làm rõ về dự toán kinh phí hỗ trợ tự lo chỗ ở và hỗ trợ tiền thuê, bổ sung số liệu tại báo cáo đánh giá thực trạng</w:t>
            </w:r>
            <w:r w:rsidR="00DB2700" w:rsidRPr="004B6528">
              <w:rPr>
                <w:sz w:val="26"/>
                <w:szCs w:val="26"/>
              </w:rPr>
              <w:t>, bổ sung báo cáo đánh giá tác dộng, đánh giá thủ tục hành chính.</w:t>
            </w:r>
          </w:p>
        </w:tc>
        <w:tc>
          <w:tcPr>
            <w:tcW w:w="5812" w:type="dxa"/>
            <w:vAlign w:val="center"/>
          </w:tcPr>
          <w:p w14:paraId="5F528CCD" w14:textId="0C5D411E" w:rsidR="00431FAD" w:rsidRPr="004B6528" w:rsidRDefault="00264932" w:rsidP="00577DFF">
            <w:pPr>
              <w:spacing w:before="60" w:after="60"/>
              <w:jc w:val="center"/>
              <w:rPr>
                <w:sz w:val="26"/>
                <w:szCs w:val="26"/>
              </w:rPr>
            </w:pPr>
            <w:r w:rsidRPr="004B6528">
              <w:rPr>
                <w:sz w:val="26"/>
                <w:szCs w:val="26"/>
              </w:rPr>
              <w:t>Tiếp thu</w:t>
            </w:r>
          </w:p>
        </w:tc>
      </w:tr>
      <w:tr w:rsidR="00426D03" w:rsidRPr="004B6528" w14:paraId="0856D35E" w14:textId="77777777" w:rsidTr="00D96081">
        <w:trPr>
          <w:jc w:val="center"/>
        </w:trPr>
        <w:tc>
          <w:tcPr>
            <w:tcW w:w="590" w:type="dxa"/>
            <w:vAlign w:val="center"/>
          </w:tcPr>
          <w:p w14:paraId="66281404" w14:textId="05F78070" w:rsidR="00426D03" w:rsidRPr="004B6528" w:rsidRDefault="00426D03" w:rsidP="0047300D">
            <w:pPr>
              <w:spacing w:before="60" w:after="60"/>
              <w:jc w:val="center"/>
              <w:rPr>
                <w:b/>
                <w:bCs/>
                <w:sz w:val="26"/>
                <w:szCs w:val="26"/>
              </w:rPr>
            </w:pPr>
            <w:r w:rsidRPr="004B6528">
              <w:rPr>
                <w:b/>
                <w:bCs/>
                <w:sz w:val="26"/>
                <w:szCs w:val="26"/>
              </w:rPr>
              <w:t>5</w:t>
            </w:r>
          </w:p>
        </w:tc>
        <w:tc>
          <w:tcPr>
            <w:tcW w:w="8903" w:type="dxa"/>
            <w:vAlign w:val="center"/>
          </w:tcPr>
          <w:p w14:paraId="2A94CC20" w14:textId="537A98E5" w:rsidR="00426D03" w:rsidRPr="004B6528" w:rsidRDefault="00426D03" w:rsidP="00B76BC8">
            <w:pPr>
              <w:spacing w:before="60" w:after="60"/>
              <w:jc w:val="both"/>
              <w:rPr>
                <w:b/>
                <w:bCs/>
                <w:sz w:val="26"/>
                <w:szCs w:val="26"/>
              </w:rPr>
            </w:pPr>
            <w:r w:rsidRPr="004B6528">
              <w:rPr>
                <w:b/>
                <w:bCs/>
                <w:sz w:val="26"/>
                <w:szCs w:val="26"/>
              </w:rPr>
              <w:t>Sở Tư pháp tại Công văn số 2800/STP-XDVB ngày 15/6/2026</w:t>
            </w:r>
          </w:p>
        </w:tc>
        <w:tc>
          <w:tcPr>
            <w:tcW w:w="5812" w:type="dxa"/>
            <w:vAlign w:val="center"/>
          </w:tcPr>
          <w:p w14:paraId="2967A5F8" w14:textId="77777777" w:rsidR="00426D03" w:rsidRPr="004B6528" w:rsidRDefault="00426D03" w:rsidP="00577DFF">
            <w:pPr>
              <w:spacing w:before="60" w:after="60"/>
              <w:jc w:val="center"/>
              <w:rPr>
                <w:b/>
                <w:bCs/>
                <w:sz w:val="26"/>
                <w:szCs w:val="26"/>
              </w:rPr>
            </w:pPr>
          </w:p>
        </w:tc>
      </w:tr>
      <w:tr w:rsidR="00426D03" w:rsidRPr="004B6528" w14:paraId="756D7FA0" w14:textId="77777777" w:rsidTr="00D96081">
        <w:trPr>
          <w:jc w:val="center"/>
        </w:trPr>
        <w:tc>
          <w:tcPr>
            <w:tcW w:w="590" w:type="dxa"/>
            <w:vAlign w:val="center"/>
          </w:tcPr>
          <w:p w14:paraId="68393B2F" w14:textId="109BBD38" w:rsidR="00426D03" w:rsidRPr="004B6528" w:rsidRDefault="00426D03" w:rsidP="0047300D">
            <w:pPr>
              <w:spacing w:before="60" w:after="60"/>
              <w:jc w:val="center"/>
              <w:rPr>
                <w:sz w:val="26"/>
                <w:szCs w:val="26"/>
              </w:rPr>
            </w:pPr>
            <w:r w:rsidRPr="004B6528">
              <w:rPr>
                <w:sz w:val="26"/>
                <w:szCs w:val="26"/>
              </w:rPr>
              <w:t>5.1</w:t>
            </w:r>
          </w:p>
        </w:tc>
        <w:tc>
          <w:tcPr>
            <w:tcW w:w="8903" w:type="dxa"/>
            <w:vAlign w:val="center"/>
          </w:tcPr>
          <w:p w14:paraId="76A056AF" w14:textId="1FBB6C84" w:rsidR="00426D03" w:rsidRPr="004B6528" w:rsidRDefault="00426D03" w:rsidP="00426D03">
            <w:pPr>
              <w:spacing w:before="60" w:after="60"/>
              <w:jc w:val="both"/>
              <w:rPr>
                <w:sz w:val="26"/>
                <w:szCs w:val="26"/>
              </w:rPr>
            </w:pPr>
            <w:r w:rsidRPr="004B6528">
              <w:rPr>
                <w:sz w:val="26"/>
                <w:szCs w:val="26"/>
              </w:rPr>
              <w:t>Điểm b khoản 1 Điều 1 về phạm vi điều chỉnh quy định: “Chung cư thuộc tài sản công (thuộc phạm vi chính sách hỗ trợ tiền thuê nhà) là nhà ở tại các nhà chung cư sau: Chung cư 5 tầng Khúc Thừa Dụ ... và nhà ở để cho thuê do Quỹ nhà ở địa phương thành phố tạo lập, quản lý theo Nghị định số 302/2025/NĐ-CP”. Đề nghị Sở Xây dựng giải trình, làm rõ “nhà ở để cho thuê do Quỹ nhà ở địa phương thành phố tạo lập, quản lý” có bao gồm các loại hình nhà ở khác ngoài nhà chung cư không? Trường hợp có có bao gồm các loại hình nhà ở khác ngoài nhà chung cư thì nội dung này sẽ không thống nhất với tên gọi và phạm vi điều chỉnh của dự thảo là “quy định chính sách hỗ trợ di dời khẩn cấp đối với các hộ gia đình, cá nhân đang sử dụng nhà tại các chung cư cũ nguy hiểm và hỗ trợ tiền thuê nhà tại các chung cư thuộc tài sản công trên địa bàn thành phố Hải Phòng”, cần chỉnh lý, bổ sung cho phù hợp.</w:t>
            </w:r>
          </w:p>
        </w:tc>
        <w:tc>
          <w:tcPr>
            <w:tcW w:w="5812" w:type="dxa"/>
            <w:vAlign w:val="center"/>
          </w:tcPr>
          <w:p w14:paraId="002A64E6" w14:textId="57650742" w:rsidR="00426D03" w:rsidRPr="004B6528" w:rsidRDefault="00426D03" w:rsidP="00426D03">
            <w:pPr>
              <w:spacing w:before="60" w:after="60"/>
              <w:jc w:val="both"/>
              <w:rPr>
                <w:sz w:val="26"/>
                <w:szCs w:val="26"/>
              </w:rPr>
            </w:pPr>
            <w:r w:rsidRPr="004B6528">
              <w:rPr>
                <w:sz w:val="26"/>
                <w:szCs w:val="26"/>
              </w:rPr>
              <w:t>Tiếp thu, chỉnh lý thành</w:t>
            </w:r>
            <w:r w:rsidRPr="004B6528">
              <w:rPr>
                <w:i/>
                <w:iCs/>
                <w:sz w:val="26"/>
                <w:szCs w:val="26"/>
              </w:rPr>
              <w:t>“... và các khu chung cư, nhà ở xã hội thuộc tài sản công được hình thành hoặc tiếp nhận bàn giao mới sau ngày Nghị quyết này có hiệu lực”</w:t>
            </w:r>
            <w:r w:rsidRPr="004B6528">
              <w:rPr>
                <w:sz w:val="26"/>
                <w:szCs w:val="26"/>
              </w:rPr>
              <w:t>.</w:t>
            </w:r>
          </w:p>
        </w:tc>
      </w:tr>
      <w:tr w:rsidR="00426D03" w:rsidRPr="004B6528" w14:paraId="5B7953A0" w14:textId="77777777" w:rsidTr="00D96081">
        <w:trPr>
          <w:jc w:val="center"/>
        </w:trPr>
        <w:tc>
          <w:tcPr>
            <w:tcW w:w="590" w:type="dxa"/>
            <w:vAlign w:val="center"/>
          </w:tcPr>
          <w:p w14:paraId="6C7A6EE4" w14:textId="1AFBEADE" w:rsidR="00426D03" w:rsidRPr="004B6528" w:rsidRDefault="00426D03" w:rsidP="0047300D">
            <w:pPr>
              <w:spacing w:before="60" w:after="60"/>
              <w:jc w:val="center"/>
              <w:rPr>
                <w:sz w:val="26"/>
                <w:szCs w:val="26"/>
              </w:rPr>
            </w:pPr>
            <w:r w:rsidRPr="004B6528">
              <w:rPr>
                <w:sz w:val="26"/>
                <w:szCs w:val="26"/>
              </w:rPr>
              <w:t>5.2</w:t>
            </w:r>
          </w:p>
        </w:tc>
        <w:tc>
          <w:tcPr>
            <w:tcW w:w="8903" w:type="dxa"/>
            <w:vAlign w:val="center"/>
          </w:tcPr>
          <w:p w14:paraId="2FFD1A5D" w14:textId="7F195C58" w:rsidR="00426D03" w:rsidRPr="004B6528" w:rsidRDefault="00426D03" w:rsidP="00426D03">
            <w:pPr>
              <w:spacing w:before="60" w:after="60"/>
              <w:jc w:val="both"/>
              <w:rPr>
                <w:sz w:val="26"/>
                <w:szCs w:val="26"/>
              </w:rPr>
            </w:pPr>
            <w:r w:rsidRPr="004B6528">
              <w:rPr>
                <w:sz w:val="26"/>
                <w:szCs w:val="26"/>
              </w:rPr>
              <w:t>Khoản 1 Điều 5 về tổ chức thực hiện quy định: “Giao Ủy ban nhân dân thành phố tổ chức triển khai thực hiện Nghị quyết này; ban hành Kế hoạch và quy định cụ thể trình tự, thủ tục, hồ sơ thực hiện ...” là chưa rõ ban hành Kế hoạch về nội dung gì? Trường hợp ban hành Kế hoạch thực hiện Nghị quyết thì việc này đã thuộc nội dung “tổ chức triển khai thực hiện Nghị quyết”, đề nghị lược bỏ để tránh trùng lặp</w:t>
            </w:r>
          </w:p>
        </w:tc>
        <w:tc>
          <w:tcPr>
            <w:tcW w:w="5812" w:type="dxa"/>
            <w:vAlign w:val="center"/>
          </w:tcPr>
          <w:p w14:paraId="1BE92D3E" w14:textId="40292325" w:rsidR="00426D03" w:rsidRPr="004B6528" w:rsidRDefault="00426D03" w:rsidP="00426D03">
            <w:pPr>
              <w:spacing w:before="60" w:after="60"/>
              <w:jc w:val="both"/>
              <w:rPr>
                <w:sz w:val="26"/>
                <w:szCs w:val="26"/>
              </w:rPr>
            </w:pPr>
            <w:r w:rsidRPr="004B6528">
              <w:rPr>
                <w:sz w:val="26"/>
                <w:szCs w:val="26"/>
              </w:rPr>
              <w:t>Tiếp thu, chỉnh lý</w:t>
            </w:r>
          </w:p>
        </w:tc>
      </w:tr>
      <w:tr w:rsidR="00426D03" w:rsidRPr="004B6528" w14:paraId="2FC39026" w14:textId="77777777" w:rsidTr="00D96081">
        <w:trPr>
          <w:jc w:val="center"/>
        </w:trPr>
        <w:tc>
          <w:tcPr>
            <w:tcW w:w="590" w:type="dxa"/>
            <w:vAlign w:val="center"/>
          </w:tcPr>
          <w:p w14:paraId="1B04A214" w14:textId="1362DE49" w:rsidR="00426D03" w:rsidRPr="004B6528" w:rsidRDefault="00426D03" w:rsidP="00426D03">
            <w:pPr>
              <w:spacing w:before="60" w:after="60"/>
              <w:jc w:val="center"/>
              <w:rPr>
                <w:sz w:val="26"/>
                <w:szCs w:val="26"/>
              </w:rPr>
            </w:pPr>
            <w:r w:rsidRPr="004B6528">
              <w:rPr>
                <w:sz w:val="26"/>
                <w:szCs w:val="26"/>
              </w:rPr>
              <w:t>5.3</w:t>
            </w:r>
          </w:p>
        </w:tc>
        <w:tc>
          <w:tcPr>
            <w:tcW w:w="8903" w:type="dxa"/>
            <w:vAlign w:val="center"/>
          </w:tcPr>
          <w:p w14:paraId="1BCA9D3B" w14:textId="648515E4" w:rsidR="00426D03" w:rsidRPr="004B6528" w:rsidRDefault="00426D03" w:rsidP="00426D03">
            <w:pPr>
              <w:spacing w:before="60" w:after="60"/>
              <w:jc w:val="both"/>
              <w:rPr>
                <w:sz w:val="26"/>
                <w:szCs w:val="26"/>
              </w:rPr>
            </w:pPr>
            <w:r w:rsidRPr="004B6528">
              <w:rPr>
                <w:sz w:val="26"/>
                <w:szCs w:val="26"/>
              </w:rPr>
              <w:t>c) Khoản 1 Điều 6 về Điều khoản chuyển tiếp quy định: “Các hộ gia đình, cá nhân đã được cấp có thẩm quyền quyết định hỗ trợ theo Nghị quyết số 25/2024/NQ-</w:t>
            </w:r>
            <w:r w:rsidRPr="004B6528">
              <w:rPr>
                <w:sz w:val="26"/>
                <w:szCs w:val="26"/>
              </w:rPr>
              <w:lastRenderedPageBreak/>
              <w:t>HĐND ngày 06 tháng 12 năm 2024 của Hội đồng nhân dân thành phố trước ngày Nghị quyết này có hiệu lực thi hành thì tiếp tục được hưởng theo quyết định đã ban hành; thời gian và mức kinh phí đã được hỗ trợ được tính trừ vào thời gian và mức hỗ trợ theo Nghị quyết này”. Việc dự thảo quy định: “thời gian và mức kinh phí đã được hỗ trợ được tính trừ vào thời gian và mức hỗ trợ theo Nghị quyết này” là chưa phù hợp, chưa thống nhất và chưa rõ áp dụng với trường hợp nào, do: các hộ gia đình, cá nhân đã được cấp có thẩm quyền quyết định hỗ trợ theo Nghị quyết số 25/2024/NQHĐND thì vẫn sẽ tiếp tục hưởng hỗ trợ theo quyết định đã ban hành cho đến hết thời gian được hỗ trợ, không phát sinh việc hưởng hỗ trợ theo Nghị quyết mới để phải tính trừ vào thời gian và mức hỗ trợ theo Nghị quyết mới. Đề nghị chỉnh lý, làm rõ.</w:t>
            </w:r>
          </w:p>
        </w:tc>
        <w:tc>
          <w:tcPr>
            <w:tcW w:w="5812" w:type="dxa"/>
            <w:vAlign w:val="center"/>
          </w:tcPr>
          <w:p w14:paraId="46FE95BF" w14:textId="2D4208CE" w:rsidR="00426D03" w:rsidRPr="004B6528" w:rsidRDefault="00426D03" w:rsidP="00426D03">
            <w:pPr>
              <w:spacing w:before="60" w:after="60"/>
              <w:jc w:val="both"/>
              <w:rPr>
                <w:sz w:val="26"/>
                <w:szCs w:val="26"/>
              </w:rPr>
            </w:pPr>
            <w:r w:rsidRPr="004B6528">
              <w:rPr>
                <w:sz w:val="26"/>
                <w:szCs w:val="26"/>
              </w:rPr>
              <w:lastRenderedPageBreak/>
              <w:t>Tiếp thu, chỉnh lý</w:t>
            </w:r>
          </w:p>
        </w:tc>
      </w:tr>
    </w:tbl>
    <w:p w14:paraId="28AC16FD" w14:textId="2495F146" w:rsidR="00C81451" w:rsidRPr="004B6528" w:rsidRDefault="00C81451" w:rsidP="00C81451">
      <w:pPr>
        <w:spacing w:before="144" w:after="144"/>
      </w:pPr>
    </w:p>
    <w:sectPr w:rsidR="00C81451" w:rsidRPr="004B6528" w:rsidSect="00DF7453">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EBD4" w14:textId="77777777" w:rsidR="008B5882" w:rsidRDefault="008B5882" w:rsidP="0081732D">
      <w:pPr>
        <w:spacing w:after="0" w:line="240" w:lineRule="auto"/>
      </w:pPr>
      <w:r>
        <w:separator/>
      </w:r>
    </w:p>
  </w:endnote>
  <w:endnote w:type="continuationSeparator" w:id="0">
    <w:p w14:paraId="2D43C971" w14:textId="77777777" w:rsidR="008B5882" w:rsidRDefault="008B5882" w:rsidP="0081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7550" w14:textId="77777777" w:rsidR="008B5882" w:rsidRDefault="008B5882" w:rsidP="0081732D">
      <w:pPr>
        <w:spacing w:after="0" w:line="240" w:lineRule="auto"/>
      </w:pPr>
      <w:r>
        <w:separator/>
      </w:r>
    </w:p>
  </w:footnote>
  <w:footnote w:type="continuationSeparator" w:id="0">
    <w:p w14:paraId="425C1D28" w14:textId="77777777" w:rsidR="008B5882" w:rsidRDefault="008B5882" w:rsidP="008173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63"/>
    <w:rsid w:val="0001257B"/>
    <w:rsid w:val="00020D29"/>
    <w:rsid w:val="00024B1D"/>
    <w:rsid w:val="00031278"/>
    <w:rsid w:val="00034283"/>
    <w:rsid w:val="000377A5"/>
    <w:rsid w:val="00042E2D"/>
    <w:rsid w:val="00087B40"/>
    <w:rsid w:val="000B4242"/>
    <w:rsid w:val="000E793E"/>
    <w:rsid w:val="0010318E"/>
    <w:rsid w:val="00106020"/>
    <w:rsid w:val="00123747"/>
    <w:rsid w:val="001427C6"/>
    <w:rsid w:val="00172437"/>
    <w:rsid w:val="00174604"/>
    <w:rsid w:val="001870AC"/>
    <w:rsid w:val="00191813"/>
    <w:rsid w:val="001955C8"/>
    <w:rsid w:val="001D3542"/>
    <w:rsid w:val="00226965"/>
    <w:rsid w:val="00251A1E"/>
    <w:rsid w:val="00261685"/>
    <w:rsid w:val="00264932"/>
    <w:rsid w:val="00275068"/>
    <w:rsid w:val="002D0455"/>
    <w:rsid w:val="002D67B1"/>
    <w:rsid w:val="002E2764"/>
    <w:rsid w:val="002E75E9"/>
    <w:rsid w:val="003029F1"/>
    <w:rsid w:val="00304918"/>
    <w:rsid w:val="00304AFD"/>
    <w:rsid w:val="00304F1E"/>
    <w:rsid w:val="00307AE8"/>
    <w:rsid w:val="00337729"/>
    <w:rsid w:val="003443FA"/>
    <w:rsid w:val="003469E3"/>
    <w:rsid w:val="00352A41"/>
    <w:rsid w:val="00384AD6"/>
    <w:rsid w:val="003B0F4B"/>
    <w:rsid w:val="003D463F"/>
    <w:rsid w:val="003E5195"/>
    <w:rsid w:val="003E7579"/>
    <w:rsid w:val="00415E9D"/>
    <w:rsid w:val="00426D03"/>
    <w:rsid w:val="00431FAD"/>
    <w:rsid w:val="0044326C"/>
    <w:rsid w:val="00447BEB"/>
    <w:rsid w:val="00452946"/>
    <w:rsid w:val="004816D2"/>
    <w:rsid w:val="004919D4"/>
    <w:rsid w:val="00491DA3"/>
    <w:rsid w:val="004A26E7"/>
    <w:rsid w:val="004B23D2"/>
    <w:rsid w:val="004B6528"/>
    <w:rsid w:val="004F5A1D"/>
    <w:rsid w:val="005137CD"/>
    <w:rsid w:val="005323AC"/>
    <w:rsid w:val="00546EFE"/>
    <w:rsid w:val="005625E5"/>
    <w:rsid w:val="00566E85"/>
    <w:rsid w:val="005765D7"/>
    <w:rsid w:val="00577DFF"/>
    <w:rsid w:val="005A3EE4"/>
    <w:rsid w:val="005A7CD0"/>
    <w:rsid w:val="005B0761"/>
    <w:rsid w:val="005B4812"/>
    <w:rsid w:val="005C4295"/>
    <w:rsid w:val="005F5F96"/>
    <w:rsid w:val="006061F5"/>
    <w:rsid w:val="00626FA4"/>
    <w:rsid w:val="00652963"/>
    <w:rsid w:val="006C5AAC"/>
    <w:rsid w:val="006D6D65"/>
    <w:rsid w:val="006F3539"/>
    <w:rsid w:val="00765C86"/>
    <w:rsid w:val="007A3CDF"/>
    <w:rsid w:val="007E60AB"/>
    <w:rsid w:val="00811A7C"/>
    <w:rsid w:val="00811AED"/>
    <w:rsid w:val="0081732D"/>
    <w:rsid w:val="00831C4E"/>
    <w:rsid w:val="008333ED"/>
    <w:rsid w:val="008611E0"/>
    <w:rsid w:val="00861B03"/>
    <w:rsid w:val="0088218E"/>
    <w:rsid w:val="008833A6"/>
    <w:rsid w:val="00885AFC"/>
    <w:rsid w:val="00894322"/>
    <w:rsid w:val="008A4D00"/>
    <w:rsid w:val="008B5882"/>
    <w:rsid w:val="008C6A4E"/>
    <w:rsid w:val="008D656B"/>
    <w:rsid w:val="008E56F6"/>
    <w:rsid w:val="0094715B"/>
    <w:rsid w:val="009523F7"/>
    <w:rsid w:val="009969B3"/>
    <w:rsid w:val="009C1F44"/>
    <w:rsid w:val="009E40B7"/>
    <w:rsid w:val="009F417F"/>
    <w:rsid w:val="00A115F1"/>
    <w:rsid w:val="00A36CCA"/>
    <w:rsid w:val="00A468F0"/>
    <w:rsid w:val="00A830B6"/>
    <w:rsid w:val="00A9420A"/>
    <w:rsid w:val="00A96F2E"/>
    <w:rsid w:val="00A9757E"/>
    <w:rsid w:val="00AB64AC"/>
    <w:rsid w:val="00AF7F92"/>
    <w:rsid w:val="00B145F4"/>
    <w:rsid w:val="00B27294"/>
    <w:rsid w:val="00B36CE4"/>
    <w:rsid w:val="00B4769F"/>
    <w:rsid w:val="00B651F9"/>
    <w:rsid w:val="00B76BC8"/>
    <w:rsid w:val="00B87642"/>
    <w:rsid w:val="00B95B7E"/>
    <w:rsid w:val="00BA60F1"/>
    <w:rsid w:val="00BC7315"/>
    <w:rsid w:val="00C23364"/>
    <w:rsid w:val="00C476D7"/>
    <w:rsid w:val="00C76A9C"/>
    <w:rsid w:val="00C81451"/>
    <w:rsid w:val="00CD086E"/>
    <w:rsid w:val="00CF2F07"/>
    <w:rsid w:val="00D03D04"/>
    <w:rsid w:val="00D044BB"/>
    <w:rsid w:val="00D32F8F"/>
    <w:rsid w:val="00D43A76"/>
    <w:rsid w:val="00D46498"/>
    <w:rsid w:val="00D82F90"/>
    <w:rsid w:val="00D9180E"/>
    <w:rsid w:val="00D96081"/>
    <w:rsid w:val="00DA75E3"/>
    <w:rsid w:val="00DB2700"/>
    <w:rsid w:val="00DD33F6"/>
    <w:rsid w:val="00DF7453"/>
    <w:rsid w:val="00E00C8E"/>
    <w:rsid w:val="00E22325"/>
    <w:rsid w:val="00E46E16"/>
    <w:rsid w:val="00E644E8"/>
    <w:rsid w:val="00E818D2"/>
    <w:rsid w:val="00E94655"/>
    <w:rsid w:val="00ED4D3C"/>
    <w:rsid w:val="00F04170"/>
    <w:rsid w:val="00F142F5"/>
    <w:rsid w:val="00F17A99"/>
    <w:rsid w:val="00F43A3B"/>
    <w:rsid w:val="00F82CC2"/>
    <w:rsid w:val="00FB4492"/>
    <w:rsid w:val="00FD0072"/>
    <w:rsid w:val="00FF4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69C7"/>
  <w15:chartTrackingRefBased/>
  <w15:docId w15:val="{A174BA74-9870-46EB-8A1C-762832E7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20" w:after="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51"/>
    <w:pPr>
      <w:spacing w:before="0" w:after="160" w:line="259" w:lineRule="auto"/>
      <w:ind w:firstLine="0"/>
      <w:jc w:val="left"/>
    </w:pPr>
    <w:rPr>
      <w:rFonts w:cstheme="minorBidi"/>
      <w:sz w:val="24"/>
      <w:szCs w:val="22"/>
    </w:rPr>
  </w:style>
  <w:style w:type="paragraph" w:styleId="Heading1">
    <w:name w:val="heading 1"/>
    <w:basedOn w:val="Normal"/>
    <w:next w:val="Normal"/>
    <w:link w:val="Heading1Char"/>
    <w:uiPriority w:val="9"/>
    <w:qFormat/>
    <w:rsid w:val="00652963"/>
    <w:pPr>
      <w:keepNext/>
      <w:keepLines/>
      <w:spacing w:before="360" w:after="80" w:line="240" w:lineRule="auto"/>
      <w:ind w:firstLine="709"/>
      <w:jc w:val="both"/>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963"/>
    <w:pPr>
      <w:keepNext/>
      <w:keepLines/>
      <w:spacing w:before="160" w:after="80" w:line="240" w:lineRule="auto"/>
      <w:ind w:firstLine="709"/>
      <w:jc w:val="both"/>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963"/>
    <w:pPr>
      <w:keepNext/>
      <w:keepLines/>
      <w:spacing w:before="160" w:after="80" w:line="240" w:lineRule="auto"/>
      <w:ind w:firstLine="709"/>
      <w:jc w:val="both"/>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963"/>
    <w:pPr>
      <w:keepNext/>
      <w:keepLines/>
      <w:spacing w:before="80" w:after="40" w:line="240" w:lineRule="auto"/>
      <w:ind w:firstLine="709"/>
      <w:jc w:val="both"/>
      <w:outlineLvl w:val="3"/>
    </w:pPr>
    <w:rPr>
      <w:rFonts w:asciiTheme="minorHAnsi" w:eastAsiaTheme="majorEastAsia" w:hAnsiTheme="minorHAnsi" w:cstheme="majorBidi"/>
      <w:i/>
      <w:iCs/>
      <w:color w:val="0F4761" w:themeColor="accent1" w:themeShade="BF"/>
      <w:sz w:val="28"/>
      <w:szCs w:val="28"/>
    </w:rPr>
  </w:style>
  <w:style w:type="paragraph" w:styleId="Heading5">
    <w:name w:val="heading 5"/>
    <w:basedOn w:val="Normal"/>
    <w:next w:val="Normal"/>
    <w:link w:val="Heading5Char"/>
    <w:uiPriority w:val="9"/>
    <w:semiHidden/>
    <w:unhideWhenUsed/>
    <w:qFormat/>
    <w:rsid w:val="00652963"/>
    <w:pPr>
      <w:keepNext/>
      <w:keepLines/>
      <w:spacing w:before="80" w:after="40" w:line="240" w:lineRule="auto"/>
      <w:ind w:firstLine="709"/>
      <w:jc w:val="both"/>
      <w:outlineLvl w:val="4"/>
    </w:pPr>
    <w:rPr>
      <w:rFonts w:asciiTheme="minorHAnsi" w:eastAsiaTheme="majorEastAsia" w:hAnsiTheme="minorHAnsi" w:cstheme="majorBidi"/>
      <w:color w:val="0F4761" w:themeColor="accent1" w:themeShade="BF"/>
      <w:sz w:val="28"/>
      <w:szCs w:val="28"/>
    </w:rPr>
  </w:style>
  <w:style w:type="paragraph" w:styleId="Heading6">
    <w:name w:val="heading 6"/>
    <w:basedOn w:val="Normal"/>
    <w:next w:val="Normal"/>
    <w:link w:val="Heading6Char"/>
    <w:uiPriority w:val="9"/>
    <w:semiHidden/>
    <w:unhideWhenUsed/>
    <w:qFormat/>
    <w:rsid w:val="00652963"/>
    <w:pPr>
      <w:keepNext/>
      <w:keepLines/>
      <w:spacing w:before="40" w:after="0" w:line="240" w:lineRule="auto"/>
      <w:ind w:firstLine="709"/>
      <w:jc w:val="both"/>
      <w:outlineLvl w:val="5"/>
    </w:pPr>
    <w:rPr>
      <w:rFonts w:asciiTheme="minorHAnsi" w:eastAsiaTheme="majorEastAsia" w:hAnsiTheme="minorHAnsi" w:cstheme="majorBidi"/>
      <w:i/>
      <w:iCs/>
      <w:color w:val="595959" w:themeColor="text1" w:themeTint="A6"/>
      <w:sz w:val="28"/>
      <w:szCs w:val="28"/>
    </w:rPr>
  </w:style>
  <w:style w:type="paragraph" w:styleId="Heading7">
    <w:name w:val="heading 7"/>
    <w:basedOn w:val="Normal"/>
    <w:next w:val="Normal"/>
    <w:link w:val="Heading7Char"/>
    <w:uiPriority w:val="9"/>
    <w:semiHidden/>
    <w:unhideWhenUsed/>
    <w:qFormat/>
    <w:rsid w:val="00652963"/>
    <w:pPr>
      <w:keepNext/>
      <w:keepLines/>
      <w:spacing w:before="40" w:after="0" w:line="240" w:lineRule="auto"/>
      <w:ind w:firstLine="709"/>
      <w:jc w:val="both"/>
      <w:outlineLvl w:val="6"/>
    </w:pPr>
    <w:rPr>
      <w:rFonts w:asciiTheme="minorHAnsi" w:eastAsiaTheme="majorEastAsia" w:hAnsiTheme="minorHAnsi" w:cstheme="majorBidi"/>
      <w:color w:val="595959" w:themeColor="text1" w:themeTint="A6"/>
      <w:sz w:val="28"/>
      <w:szCs w:val="28"/>
    </w:rPr>
  </w:style>
  <w:style w:type="paragraph" w:styleId="Heading8">
    <w:name w:val="heading 8"/>
    <w:basedOn w:val="Normal"/>
    <w:next w:val="Normal"/>
    <w:link w:val="Heading8Char"/>
    <w:uiPriority w:val="9"/>
    <w:semiHidden/>
    <w:unhideWhenUsed/>
    <w:qFormat/>
    <w:rsid w:val="00652963"/>
    <w:pPr>
      <w:keepNext/>
      <w:keepLines/>
      <w:spacing w:after="0" w:line="240" w:lineRule="auto"/>
      <w:ind w:firstLine="709"/>
      <w:jc w:val="both"/>
      <w:outlineLvl w:val="7"/>
    </w:pPr>
    <w:rPr>
      <w:rFonts w:asciiTheme="minorHAnsi" w:eastAsiaTheme="majorEastAsia" w:hAnsiTheme="minorHAnsi" w:cstheme="majorBidi"/>
      <w:i/>
      <w:iCs/>
      <w:color w:val="272727" w:themeColor="text1" w:themeTint="D8"/>
      <w:sz w:val="28"/>
      <w:szCs w:val="28"/>
    </w:rPr>
  </w:style>
  <w:style w:type="paragraph" w:styleId="Heading9">
    <w:name w:val="heading 9"/>
    <w:basedOn w:val="Normal"/>
    <w:next w:val="Normal"/>
    <w:link w:val="Heading9Char"/>
    <w:uiPriority w:val="9"/>
    <w:semiHidden/>
    <w:unhideWhenUsed/>
    <w:qFormat/>
    <w:rsid w:val="00652963"/>
    <w:pPr>
      <w:keepNext/>
      <w:keepLines/>
      <w:spacing w:after="0" w:line="240" w:lineRule="auto"/>
      <w:ind w:firstLine="709"/>
      <w:jc w:val="both"/>
      <w:outlineLvl w:val="8"/>
    </w:pPr>
    <w:rPr>
      <w:rFonts w:asciiTheme="minorHAnsi" w:eastAsiaTheme="majorEastAsia" w:hAnsiTheme="minorHAnsi" w:cstheme="majorBidi"/>
      <w:color w:val="272727" w:themeColor="text1" w:themeTint="D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96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6529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29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29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29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29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29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2963"/>
    <w:pPr>
      <w:spacing w:after="80" w:line="240" w:lineRule="auto"/>
      <w:ind w:firstLine="709"/>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63"/>
    <w:pPr>
      <w:numPr>
        <w:ilvl w:val="1"/>
      </w:numPr>
      <w:spacing w:before="20" w:line="240" w:lineRule="auto"/>
      <w:ind w:firstLine="709"/>
      <w:jc w:val="both"/>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6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52963"/>
    <w:pPr>
      <w:spacing w:before="160" w:line="240" w:lineRule="auto"/>
      <w:ind w:firstLine="709"/>
      <w:jc w:val="center"/>
    </w:pPr>
    <w:rPr>
      <w:rFonts w:cs="Times New Roman"/>
      <w:i/>
      <w:iCs/>
      <w:color w:val="404040" w:themeColor="text1" w:themeTint="BF"/>
      <w:sz w:val="28"/>
      <w:szCs w:val="28"/>
    </w:rPr>
  </w:style>
  <w:style w:type="character" w:customStyle="1" w:styleId="QuoteChar">
    <w:name w:val="Quote Char"/>
    <w:basedOn w:val="DefaultParagraphFont"/>
    <w:link w:val="Quote"/>
    <w:uiPriority w:val="29"/>
    <w:rsid w:val="00652963"/>
    <w:rPr>
      <w:i/>
      <w:iCs/>
      <w:color w:val="404040" w:themeColor="text1" w:themeTint="BF"/>
    </w:rPr>
  </w:style>
  <w:style w:type="paragraph" w:styleId="ListParagraph">
    <w:name w:val="List Paragraph"/>
    <w:basedOn w:val="Normal"/>
    <w:uiPriority w:val="34"/>
    <w:qFormat/>
    <w:rsid w:val="00652963"/>
    <w:pPr>
      <w:spacing w:before="20" w:after="20" w:line="240" w:lineRule="auto"/>
      <w:ind w:left="720" w:firstLine="709"/>
      <w:contextualSpacing/>
      <w:jc w:val="both"/>
    </w:pPr>
    <w:rPr>
      <w:rFonts w:cs="Times New Roman"/>
      <w:sz w:val="28"/>
      <w:szCs w:val="28"/>
    </w:rPr>
  </w:style>
  <w:style w:type="character" w:styleId="IntenseEmphasis">
    <w:name w:val="Intense Emphasis"/>
    <w:basedOn w:val="DefaultParagraphFont"/>
    <w:uiPriority w:val="21"/>
    <w:qFormat/>
    <w:rsid w:val="00652963"/>
    <w:rPr>
      <w:i/>
      <w:iCs/>
      <w:color w:val="0F4761" w:themeColor="accent1" w:themeShade="BF"/>
    </w:rPr>
  </w:style>
  <w:style w:type="paragraph" w:styleId="IntenseQuote">
    <w:name w:val="Intense Quote"/>
    <w:basedOn w:val="Normal"/>
    <w:next w:val="Normal"/>
    <w:link w:val="IntenseQuoteChar"/>
    <w:uiPriority w:val="30"/>
    <w:qFormat/>
    <w:rsid w:val="00652963"/>
    <w:pPr>
      <w:pBdr>
        <w:top w:val="single" w:sz="4" w:space="10" w:color="0F4761" w:themeColor="accent1" w:themeShade="BF"/>
        <w:bottom w:val="single" w:sz="4" w:space="10" w:color="0F4761" w:themeColor="accent1" w:themeShade="BF"/>
      </w:pBdr>
      <w:spacing w:before="360" w:after="360" w:line="240" w:lineRule="auto"/>
      <w:ind w:left="864" w:right="864" w:firstLine="709"/>
      <w:jc w:val="center"/>
    </w:pPr>
    <w:rPr>
      <w:rFonts w:cs="Times New Roman"/>
      <w:i/>
      <w:iCs/>
      <w:color w:val="0F4761" w:themeColor="accent1" w:themeShade="BF"/>
      <w:sz w:val="28"/>
      <w:szCs w:val="28"/>
    </w:rPr>
  </w:style>
  <w:style w:type="character" w:customStyle="1" w:styleId="IntenseQuoteChar">
    <w:name w:val="Intense Quote Char"/>
    <w:basedOn w:val="DefaultParagraphFont"/>
    <w:link w:val="IntenseQuote"/>
    <w:uiPriority w:val="30"/>
    <w:rsid w:val="00652963"/>
    <w:rPr>
      <w:i/>
      <w:iCs/>
      <w:color w:val="0F4761" w:themeColor="accent1" w:themeShade="BF"/>
    </w:rPr>
  </w:style>
  <w:style w:type="character" w:styleId="IntenseReference">
    <w:name w:val="Intense Reference"/>
    <w:basedOn w:val="DefaultParagraphFont"/>
    <w:uiPriority w:val="32"/>
    <w:qFormat/>
    <w:rsid w:val="00652963"/>
    <w:rPr>
      <w:b/>
      <w:bCs/>
      <w:smallCaps/>
      <w:color w:val="0F4761" w:themeColor="accent1" w:themeShade="BF"/>
      <w:spacing w:val="5"/>
    </w:rPr>
  </w:style>
  <w:style w:type="paragraph" w:styleId="Header">
    <w:name w:val="header"/>
    <w:basedOn w:val="Normal"/>
    <w:link w:val="HeaderChar"/>
    <w:uiPriority w:val="99"/>
    <w:unhideWhenUsed/>
    <w:rsid w:val="00817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2D"/>
    <w:rPr>
      <w:rFonts w:cstheme="minorBidi"/>
      <w:sz w:val="24"/>
      <w:szCs w:val="22"/>
    </w:rPr>
  </w:style>
  <w:style w:type="paragraph" w:styleId="Footer">
    <w:name w:val="footer"/>
    <w:basedOn w:val="Normal"/>
    <w:link w:val="FooterChar"/>
    <w:uiPriority w:val="99"/>
    <w:unhideWhenUsed/>
    <w:rsid w:val="00817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2D"/>
    <w:rPr>
      <w:rFonts w:cstheme="minorBidi"/>
      <w:sz w:val="24"/>
      <w:szCs w:val="22"/>
    </w:rPr>
  </w:style>
  <w:style w:type="table" w:styleId="TableGrid">
    <w:name w:val="Table Grid"/>
    <w:basedOn w:val="TableNormal"/>
    <w:uiPriority w:val="39"/>
    <w:rsid w:val="00B76BC8"/>
    <w:pPr>
      <w:spacing w:before="0" w:after="0"/>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7</Pages>
  <Words>2107</Words>
  <Characters>12016</Characters>
  <Application>Microsoft Office Word</Application>
  <DocSecurity>0</DocSecurity>
  <Lines>100</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Quách</dc:creator>
  <cp:keywords/>
  <dc:description/>
  <cp:lastModifiedBy>Minh Quách</cp:lastModifiedBy>
  <cp:revision>56</cp:revision>
  <cp:lastPrinted>2026-07-01T02:29:00Z</cp:lastPrinted>
  <dcterms:created xsi:type="dcterms:W3CDTF">2026-04-16T09:50:00Z</dcterms:created>
  <dcterms:modified xsi:type="dcterms:W3CDTF">2026-07-03T05:37:00Z</dcterms:modified>
</cp:coreProperties>
</file>