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38D19" w14:textId="6F357940" w:rsidR="00F11811" w:rsidRPr="00902D61" w:rsidRDefault="00F11811" w:rsidP="00D52132">
      <w:pPr>
        <w:shd w:val="clear" w:color="auto" w:fill="FFFFFF"/>
        <w:spacing w:before="120" w:after="120" w:line="240" w:lineRule="auto"/>
        <w:ind w:firstLine="709"/>
        <w:jc w:val="center"/>
        <w:outlineLvl w:val="2"/>
        <w:rPr>
          <w:rFonts w:eastAsia="Times New Roman" w:cs="Times New Roman"/>
          <w:b/>
          <w:bCs/>
          <w:szCs w:val="28"/>
        </w:rPr>
      </w:pPr>
      <w:r w:rsidRPr="00902D61">
        <w:rPr>
          <w:rFonts w:eastAsia="Times New Roman" w:cs="Times New Roman"/>
          <w:b/>
          <w:bCs/>
          <w:szCs w:val="28"/>
        </w:rPr>
        <w:t>VĂN BẢN</w:t>
      </w:r>
      <w:r w:rsidR="004F0340" w:rsidRPr="00902D61">
        <w:rPr>
          <w:rFonts w:eastAsia="Times New Roman" w:cs="Times New Roman"/>
          <w:b/>
          <w:bCs/>
          <w:szCs w:val="28"/>
        </w:rPr>
        <w:t xml:space="preserve"> PHÁP LUẬT</w:t>
      </w:r>
      <w:r w:rsidRPr="00902D61">
        <w:rPr>
          <w:rFonts w:eastAsia="Times New Roman" w:cs="Times New Roman"/>
          <w:b/>
          <w:bCs/>
          <w:szCs w:val="28"/>
        </w:rPr>
        <w:t xml:space="preserve"> CÓ HIỆU LỰC THÁNG </w:t>
      </w:r>
      <w:r w:rsidR="0036250F" w:rsidRPr="00902D61">
        <w:rPr>
          <w:rFonts w:eastAsia="Times New Roman" w:cs="Times New Roman"/>
          <w:b/>
          <w:bCs/>
          <w:szCs w:val="28"/>
        </w:rPr>
        <w:t>01/2025</w:t>
      </w:r>
    </w:p>
    <w:p w14:paraId="1B2186F6" w14:textId="5B55880B" w:rsidR="0036250F" w:rsidRPr="00902D61" w:rsidRDefault="0036250F" w:rsidP="00D52132">
      <w:pPr>
        <w:shd w:val="clear" w:color="auto" w:fill="FFFFFF"/>
        <w:spacing w:before="120" w:after="120" w:line="240" w:lineRule="auto"/>
        <w:ind w:firstLine="567"/>
        <w:jc w:val="both"/>
        <w:outlineLvl w:val="2"/>
        <w:rPr>
          <w:rFonts w:eastAsia="Times New Roman" w:cs="Times New Roman"/>
          <w:b/>
          <w:bCs/>
          <w:szCs w:val="28"/>
        </w:rPr>
      </w:pPr>
      <w:r w:rsidRPr="00902D61">
        <w:rPr>
          <w:rFonts w:eastAsia="Times New Roman" w:cs="Times New Roman"/>
          <w:b/>
          <w:bCs/>
          <w:szCs w:val="28"/>
        </w:rPr>
        <w:t xml:space="preserve">I. </w:t>
      </w:r>
      <w:r w:rsidR="009070D3" w:rsidRPr="00902D61">
        <w:rPr>
          <w:rFonts w:eastAsia="Times New Roman" w:cs="Times New Roman"/>
          <w:b/>
          <w:bCs/>
          <w:szCs w:val="28"/>
        </w:rPr>
        <w:t xml:space="preserve">Một số văn bản </w:t>
      </w:r>
      <w:r w:rsidRPr="00902D61">
        <w:rPr>
          <w:rFonts w:eastAsia="Times New Roman" w:cs="Times New Roman"/>
          <w:b/>
          <w:bCs/>
          <w:szCs w:val="28"/>
        </w:rPr>
        <w:t>Luật có hiệu lực từ 01/01/2025</w:t>
      </w:r>
    </w:p>
    <w:p w14:paraId="3D38C159" w14:textId="46A1E1E7"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1. Luật trật tự, an toàn giao thông đường bộ</w:t>
      </w:r>
    </w:p>
    <w:p w14:paraId="455E50EB" w14:textId="77777777" w:rsidR="0036250F" w:rsidRPr="00902D61" w:rsidRDefault="0036250F" w:rsidP="0036250F">
      <w:pPr>
        <w:pStyle w:val="NormalWeb"/>
        <w:spacing w:before="0" w:beforeAutospacing="0" w:after="0" w:afterAutospacing="0"/>
        <w:ind w:firstLine="567"/>
        <w:jc w:val="both"/>
        <w:rPr>
          <w:sz w:val="28"/>
          <w:szCs w:val="28"/>
        </w:rPr>
      </w:pPr>
      <w:hyperlink r:id="rId5" w:tgtFrame="_blank" w:tooltip="Luật trật tự, an toàn giao thông đường bộ" w:history="1">
        <w:r w:rsidRPr="00902D61">
          <w:rPr>
            <w:rStyle w:val="Hyperlink"/>
            <w:color w:val="auto"/>
            <w:sz w:val="28"/>
            <w:szCs w:val="28"/>
            <w:u w:val="none"/>
          </w:rPr>
          <w:t>Luật trật tự, an toàn giao thông đường bộ</w:t>
        </w:r>
      </w:hyperlink>
      <w:r w:rsidRPr="00902D61">
        <w:rPr>
          <w:sz w:val="28"/>
          <w:szCs w:val="28"/>
        </w:rPr>
        <w:t> được xây dựng nhằm tạo cơ sở pháp lý về bảo đảm trật tự, an toàn giao thông đường bộ, bảo đảm an toàn về tính mạng, sức khỏe cho người tham gia giao thông, xây dựng xã hội trật tự, kỷ cương, an toàn, góp phần bảo đảm tốt hơn quyền con người, quyền công dân theo quy định của Hiến pháp năm 2013 và cam kết thực hiện các điều ước quốc tế mà Việt Nam là thành viên.</w:t>
      </w:r>
    </w:p>
    <w:p w14:paraId="4E531C30"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t>Luật có bố cục gồm 9 chương với 89 điều, quy định các nội dung cụ thể về: nguyên tắc bảo đảm trật tự, an toàn giao thông đường bộ; chính sách của Nhà nước về trật tự, an toàn giao thông đường bộ; tuyên truyền, phổ biến pháp luật về trật tự, an toàn giao thông đường bộ; giáo dục kiến thức pháp luật về trật tự, an toàn giao thông đường bộ; các hành vi bị nghiêm cấm…</w:t>
      </w:r>
    </w:p>
    <w:p w14:paraId="656D4EF4" w14:textId="276B6C3D"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2. Luật sửa đổi bổ sung một số điều của Luật Đấu giá tài sản</w:t>
      </w:r>
    </w:p>
    <w:p w14:paraId="2D7AC799" w14:textId="77777777" w:rsidR="0036250F" w:rsidRPr="00902D61" w:rsidRDefault="0036250F" w:rsidP="0036250F">
      <w:pPr>
        <w:pStyle w:val="NormalWeb"/>
        <w:spacing w:before="0" w:beforeAutospacing="0" w:after="0" w:afterAutospacing="0"/>
        <w:ind w:firstLine="567"/>
        <w:jc w:val="both"/>
        <w:rPr>
          <w:sz w:val="28"/>
          <w:szCs w:val="28"/>
        </w:rPr>
      </w:pPr>
      <w:hyperlink r:id="rId6" w:tgtFrame="_blank" w:tooltip="Luật sửa đổi bổ sung một số điều của Luật Đấu giá tài sản" w:history="1">
        <w:r w:rsidRPr="00902D61">
          <w:rPr>
            <w:rStyle w:val="Hyperlink"/>
            <w:color w:val="auto"/>
            <w:sz w:val="28"/>
            <w:szCs w:val="28"/>
            <w:u w:val="none"/>
          </w:rPr>
          <w:t>Luật sửa đổi bổ sung một số điều của Luật Đấu giá tài sản</w:t>
        </w:r>
      </w:hyperlink>
      <w:r w:rsidRPr="00902D61">
        <w:rPr>
          <w:sz w:val="28"/>
          <w:szCs w:val="28"/>
        </w:rPr>
        <w:t> gồm 3 điều; trong đó sửa đổi, bổ sung 43 điều; bổ sung 02 điều mới; bãi bỏ 02 điều và một số điểm, khoản của Luật Đấu giá tài sản năm 2016.</w:t>
      </w:r>
    </w:p>
    <w:p w14:paraId="5A481411"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t>Luật đã sửa đổi về tài sản đấu giá; thêm trường hợp bị cấm trong đấu giá; thay đổi quy định về đấu giá viên và đào tạo đấu giá; thêm trường hợp đấu giá không thành; quy định mới về tiền đặt trước và xử lý tiền đặt trước trong đấu giá...</w:t>
      </w:r>
    </w:p>
    <w:p w14:paraId="1A36C810" w14:textId="3FDF7AEE"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3. Luật Thủ đô</w:t>
      </w:r>
    </w:p>
    <w:p w14:paraId="42A5D944" w14:textId="77777777" w:rsidR="0036250F" w:rsidRPr="00902D61" w:rsidRDefault="0036250F" w:rsidP="0036250F">
      <w:pPr>
        <w:pStyle w:val="NormalWeb"/>
        <w:spacing w:before="0" w:beforeAutospacing="0" w:after="0" w:afterAutospacing="0"/>
        <w:ind w:firstLine="567"/>
        <w:jc w:val="both"/>
        <w:rPr>
          <w:sz w:val="28"/>
          <w:szCs w:val="28"/>
        </w:rPr>
      </w:pPr>
      <w:r w:rsidRPr="00902D61">
        <w:rPr>
          <w:sz w:val="28"/>
          <w:szCs w:val="28"/>
        </w:rPr>
        <w:t>Mục tiêu xây dựng </w:t>
      </w:r>
      <w:hyperlink r:id="rId7" w:tgtFrame="_blank" w:tooltip="Luật Thủ đô" w:history="1">
        <w:r w:rsidRPr="00902D61">
          <w:rPr>
            <w:rStyle w:val="Hyperlink"/>
            <w:color w:val="auto"/>
            <w:sz w:val="28"/>
            <w:szCs w:val="28"/>
            <w:u w:val="none"/>
          </w:rPr>
          <w:t>Luật Thủ đô</w:t>
        </w:r>
      </w:hyperlink>
      <w:r w:rsidRPr="00902D61">
        <w:rPr>
          <w:sz w:val="28"/>
          <w:szCs w:val="28"/>
        </w:rPr>
        <w:t> nhằm tiếp tục hoàn thiện cơ sở pháp lý; xây dựng cơ chế đặc thù, vượt trội; khắc phục những khó khăn, vướng mắc, bất cập phát sinh trong quá trình thi hành Luật Thủ đô để xây dựng, phát triển Thủ đô với vị trí, vai trò là trung tâm chính trị, hành chính, kinh tế, văn hóa, hướng tới đô thị thông minh, hiện đại, xanh, sạch, đẹp, an ninh, an toàn; phát triển nhanh, bền vững, có sức lan tỏa để thúc đẩy vùng đồng bằng Sông Hồng, vùng kinh tế trọng điểm Bắc Bộ và cả nước cùng phát triển.</w:t>
      </w:r>
    </w:p>
    <w:p w14:paraId="6F8CDC2B"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t>Luật Thủ đô 2024 gồm 7 chương và 54 điều quy định vị trí, vai trò của Thủ đô; chính sách, trách nhiệm xây dựng, phát triển, quản lý và bảo vệ Thủ đô.</w:t>
      </w:r>
    </w:p>
    <w:p w14:paraId="09E74EFE" w14:textId="510587EA"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4. Luật Tổ chức Tòa án nhân dân</w:t>
      </w:r>
    </w:p>
    <w:p w14:paraId="09CE1302" w14:textId="77777777" w:rsidR="0036250F" w:rsidRPr="00902D61" w:rsidRDefault="0036250F" w:rsidP="0036250F">
      <w:pPr>
        <w:pStyle w:val="NormalWeb"/>
        <w:spacing w:before="0" w:beforeAutospacing="0" w:after="0" w:afterAutospacing="0"/>
        <w:ind w:firstLine="567"/>
        <w:jc w:val="both"/>
        <w:rPr>
          <w:sz w:val="28"/>
          <w:szCs w:val="28"/>
        </w:rPr>
      </w:pPr>
      <w:hyperlink r:id="rId8" w:tgtFrame="_blank" w:tooltip="Luật Tổ chức Tòa án nhân dân" w:history="1">
        <w:r w:rsidRPr="00902D61">
          <w:rPr>
            <w:rStyle w:val="Hyperlink"/>
            <w:color w:val="auto"/>
            <w:sz w:val="28"/>
            <w:szCs w:val="28"/>
            <w:u w:val="none"/>
          </w:rPr>
          <w:t>Luật Tổ chức Tòa án nhân dân</w:t>
        </w:r>
      </w:hyperlink>
      <w:r w:rsidRPr="00902D61">
        <w:rPr>
          <w:sz w:val="28"/>
          <w:szCs w:val="28"/>
        </w:rPr>
        <w:t> được xây dựng và ban hành nhằm tiếp tục hoàn thiện tổ chức bộ máy, nâng cao chất lượng, hiệu lực, hiệu quả hoạt động và uy tín của Tòa án nhân dân; xây dựng hệ thống Tòa án chuyên nghiệp, hiện đại, công bằng, nghiêm minh, liêm chính, phụng sự Tổ quốc, phục vụ nhân dân; hoàn thành trọng trách bảo vệ công lý, bảo vệ quyền con người, quyền công dân, bảo vệ chế độ xã hội chủ nghĩa, bảo vệ lợi ích của Nhà nước, bảo vệ quyền và lợi ích hợp pháp của tổ chức, cá nhân.</w:t>
      </w:r>
    </w:p>
    <w:p w14:paraId="41BBF810"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lastRenderedPageBreak/>
        <w:t>Luật gồm 9 chương, 152 điều, giảm 2 chương nhưng tăng 54 điều so với Luật Tổ chức Tòa án nhân dân số 62/2014/QH13; trong đó, sửa đổi, bổ sung 101 điều; bổ sung mới 48 điều và giữ nguyên 3 điều, có nhiều điểm mới về: vị trí, vai trò của Tòa án nhân dân; nhiệm vụ, quyền hạn của Tòa án nhân dân; đổi mới tổ chức bộ máy Tòa án; tổ chức xét xử;…</w:t>
      </w:r>
    </w:p>
    <w:p w14:paraId="63284A76" w14:textId="2126C10F"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5. Luật sửa đổi, bổ sung một số điều của Luật Cảnh vệ</w:t>
      </w:r>
    </w:p>
    <w:p w14:paraId="1BBD8A1B" w14:textId="77777777" w:rsidR="0036250F" w:rsidRPr="00902D61" w:rsidRDefault="0036250F" w:rsidP="0036250F">
      <w:pPr>
        <w:pStyle w:val="NormalWeb"/>
        <w:spacing w:before="0" w:beforeAutospacing="0" w:after="0" w:afterAutospacing="0"/>
        <w:ind w:firstLine="567"/>
        <w:jc w:val="both"/>
        <w:rPr>
          <w:sz w:val="28"/>
          <w:szCs w:val="28"/>
        </w:rPr>
      </w:pPr>
      <w:r w:rsidRPr="00902D61">
        <w:rPr>
          <w:sz w:val="28"/>
          <w:szCs w:val="28"/>
        </w:rPr>
        <w:t>Trước yêu cầu nhiệm vụ bảo đảm an ninh, trật tự trong tình hình mới, yêu cầu bảo đảm an ninh, an toàn đối tượng cảnh vệ và yêu cầu thực tiễn đặt ra cần tiếp tục hoàn thiện pháp luật về cảnh vệ; trong đó, việc xây dựng, ban hành </w:t>
      </w:r>
      <w:hyperlink r:id="rId9" w:tgtFrame="_blank" w:tooltip="Luật sửa đổi, bổ sung một số điều của Luật Cảnh vệ" w:history="1">
        <w:r w:rsidRPr="00902D61">
          <w:rPr>
            <w:rStyle w:val="Hyperlink"/>
            <w:color w:val="auto"/>
            <w:sz w:val="28"/>
            <w:szCs w:val="28"/>
            <w:u w:val="none"/>
          </w:rPr>
          <w:t>Luật sửa đổi, bổ sung một số điều của Luật Cảnh vệ</w:t>
        </w:r>
      </w:hyperlink>
      <w:r w:rsidRPr="00902D61">
        <w:rPr>
          <w:sz w:val="28"/>
          <w:szCs w:val="28"/>
        </w:rPr>
        <w:t> là cần thiết với những lý do là: Bổ sung đối tượng cảnh vệ phù hợp với quy định của Đảng và yêu cầu thực tiễn đặt ra. </w:t>
      </w:r>
    </w:p>
    <w:p w14:paraId="5167DD3D"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t>Tách biệt chế độ cảnh vệ và biện pháp cảnh vệ để thuận lợi áp dụng trên thực tế, đồng thời luật hóa một số biện pháp cảnh vệ lực lượng Cảnh vệ đang triển khai thực hiện góp phần nâng cao hơn nữa hiệu quả công tác cảnh vệ trong tình hình mới. </w:t>
      </w:r>
    </w:p>
    <w:p w14:paraId="189F462D" w14:textId="77777777" w:rsidR="0036250F" w:rsidRPr="00902D61" w:rsidRDefault="0036250F" w:rsidP="0036250F">
      <w:pPr>
        <w:pStyle w:val="NormalWeb"/>
        <w:spacing w:before="120" w:beforeAutospacing="0" w:after="120" w:afterAutospacing="0"/>
        <w:ind w:firstLine="567"/>
        <w:jc w:val="both"/>
        <w:rPr>
          <w:sz w:val="28"/>
          <w:szCs w:val="28"/>
        </w:rPr>
      </w:pPr>
      <w:r w:rsidRPr="00902D61">
        <w:rPr>
          <w:sz w:val="28"/>
          <w:szCs w:val="28"/>
        </w:rPr>
        <w:t>Bổ sung nhiệm vụ, quyền hạn của lực lượng Cảnh vệ và điều kiện bảo đảm thực hiện công tác cảnh vệ…</w:t>
      </w:r>
    </w:p>
    <w:p w14:paraId="3153FE18" w14:textId="64FEF8E8"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6. Luật Quản lý, sử dụng vũ khí, vật liệu nổ và công cụ hỗ trợ</w:t>
      </w:r>
    </w:p>
    <w:p w14:paraId="7E47BF13" w14:textId="77777777" w:rsidR="0036250F" w:rsidRPr="00902D61" w:rsidRDefault="0036250F" w:rsidP="0036250F">
      <w:pPr>
        <w:pStyle w:val="NormalWeb"/>
        <w:spacing w:before="0" w:beforeAutospacing="0" w:after="0" w:afterAutospacing="0"/>
        <w:ind w:firstLine="567"/>
        <w:jc w:val="both"/>
        <w:rPr>
          <w:sz w:val="28"/>
          <w:szCs w:val="28"/>
        </w:rPr>
      </w:pPr>
      <w:hyperlink r:id="rId10" w:tgtFrame="_blank" w:tooltip="Luật Quản lý, sử dụng vũ khí, vật liệu nổ và công cụ hỗ trợ" w:history="1">
        <w:r w:rsidRPr="00902D61">
          <w:rPr>
            <w:rStyle w:val="Hyperlink"/>
            <w:color w:val="auto"/>
            <w:sz w:val="28"/>
            <w:szCs w:val="28"/>
            <w:u w:val="none"/>
          </w:rPr>
          <w:t>Luật Quản lý, sử dụng vũ khí, vật liệu nổ và công cụ hỗ trợ</w:t>
        </w:r>
      </w:hyperlink>
      <w:r w:rsidRPr="00902D61">
        <w:rPr>
          <w:sz w:val="28"/>
          <w:szCs w:val="28"/>
        </w:rPr>
        <w:t> bao gồm 08 chương, 75 điều, quy định cụ thể các nội dung liên quan đến: nguyên tắc quản lý, sử dụng vũ khí, vật liệu nổ, tiền chất thuốc nổ; các hành vi bị nghiêm cấm trong quản lý, sử dụng vũ khí, vật liệu nổ, tiền chất thuốc nổ, công cụ hỗ trợ; trách nhiệm của người đứng đầu cơ quan, tổ chức, doanh nghiệp được trang bị, sử dụng vũ khí, vật liệu nổ, tiền chất thuốc nổ, công cụ hỗ trợ; điều kiện, trách nhiệm của người được giao sử dụng vũ khí, vật liệu nổ, công cụ hỗ trợ; điều kiện, trách nhiệm của người được giao quản lý kho, nơi cất giữ vũ khí, vật liệu nổ, tiền chất thuốc nổ, công cụ hỗ trợ; quản lý, bảo quản vũ khí, vật liệu nổ, tiền chất thuốc nổ, công cụ hỗ trợ; nghiên cứu, chế tạo, sản xuất, sửa chữa, kinh doanh, xuất khẩu, nhập khẩu vũ khí; thủ tục trang bị vũ khí quân dụng, thủ tục cấp giấy phép sử dụng vũ khí quân dụng; nguyên tắc sử dụng vũ khí quân dụng, các trường hợp nổ súng quân dụng khi thực hiện nhiệm vụ độc lập để bảo đảm an ninh, trật tự;…</w:t>
      </w:r>
    </w:p>
    <w:p w14:paraId="217A2C5F" w14:textId="184AB2DC" w:rsidR="0036250F" w:rsidRPr="00902D61" w:rsidRDefault="0036250F" w:rsidP="0036250F">
      <w:pPr>
        <w:pStyle w:val="Heading2"/>
        <w:spacing w:before="120" w:beforeAutospacing="0" w:after="120" w:afterAutospacing="0"/>
        <w:ind w:firstLine="567"/>
        <w:jc w:val="both"/>
        <w:rPr>
          <w:sz w:val="28"/>
          <w:szCs w:val="28"/>
        </w:rPr>
      </w:pPr>
      <w:r w:rsidRPr="00902D61">
        <w:rPr>
          <w:sz w:val="28"/>
          <w:szCs w:val="28"/>
        </w:rPr>
        <w:t>7. Luật Quản lý, bảo vệ công trình quốc phòng và khu quân sự</w:t>
      </w:r>
    </w:p>
    <w:p w14:paraId="670504B6" w14:textId="77777777" w:rsidR="0036250F" w:rsidRPr="00902D61" w:rsidRDefault="0036250F" w:rsidP="0036250F">
      <w:pPr>
        <w:pStyle w:val="NormalWeb"/>
        <w:spacing w:before="0" w:beforeAutospacing="0" w:after="0" w:afterAutospacing="0"/>
        <w:ind w:firstLine="567"/>
        <w:jc w:val="both"/>
        <w:rPr>
          <w:sz w:val="28"/>
          <w:szCs w:val="28"/>
        </w:rPr>
      </w:pPr>
      <w:hyperlink r:id="rId11" w:tgtFrame="_blank" w:tooltip="Luật Quản lý, bảo vệ công trình quốc phòng và khu quân sự" w:history="1">
        <w:r w:rsidRPr="00902D61">
          <w:rPr>
            <w:rStyle w:val="Hyperlink"/>
            <w:color w:val="auto"/>
            <w:sz w:val="28"/>
            <w:szCs w:val="28"/>
            <w:u w:val="none"/>
          </w:rPr>
          <w:t>Luật Quản lý, bảo vệ công trình quốc phòng và khu quân sự</w:t>
        </w:r>
      </w:hyperlink>
      <w:r w:rsidRPr="00902D61">
        <w:rPr>
          <w:sz w:val="28"/>
          <w:szCs w:val="28"/>
        </w:rPr>
        <w:t> gồm 6 chương, 34 điều. Một trong những nội dung cơ bản của luật là quy định nguyên tắc quản lý, bảo vệ công trình quốc phòng và khu quân sự; chính sách của Nhà nước trong quản lý, bảo vệ công trình quốc phòng và khu quân sự; phân loại và phân nhóm công trình quốc phòng và khu quân sự; quy định về quản lý công trình lưỡng dụng và những hành vi bị nghiêm cấm trong quản lý, bảo vệ công trình quốc phòng và khu quân sự.</w:t>
      </w:r>
    </w:p>
    <w:p w14:paraId="4692AFE8" w14:textId="129B221F" w:rsidR="0036250F" w:rsidRPr="00902D61" w:rsidRDefault="0036250F" w:rsidP="0036250F">
      <w:pPr>
        <w:pStyle w:val="Heading4"/>
        <w:spacing w:before="120" w:after="120"/>
        <w:ind w:firstLine="567"/>
        <w:jc w:val="both"/>
        <w:rPr>
          <w:rFonts w:ascii="Times New Roman" w:hAnsi="Times New Roman" w:cs="Times New Roman"/>
          <w:b/>
          <w:bCs/>
          <w:i w:val="0"/>
          <w:iCs w:val="0"/>
          <w:color w:val="auto"/>
          <w:szCs w:val="28"/>
        </w:rPr>
      </w:pPr>
      <w:r w:rsidRPr="00902D61">
        <w:rPr>
          <w:rFonts w:ascii="Times New Roman" w:hAnsi="Times New Roman" w:cs="Times New Roman"/>
          <w:b/>
          <w:bCs/>
          <w:i w:val="0"/>
          <w:iCs w:val="0"/>
          <w:color w:val="auto"/>
          <w:szCs w:val="28"/>
        </w:rPr>
        <w:lastRenderedPageBreak/>
        <w:t>8. Luật sửa đổi, bổ sung một số điều của Luật Chứng khoán, Luật Kế toán, Luật Kiểm toán độc lập, Luật Ngân sách nhà nhước, Luật quản lý, sử dụng tài sản công, Luật Quản lý thuế, Luật Dự trữ quốc gia, Luật Xử lý vi phạm hành chính</w:t>
      </w:r>
    </w:p>
    <w:p w14:paraId="27B6A09D" w14:textId="77777777" w:rsidR="00170E90" w:rsidRPr="00902D61" w:rsidRDefault="0036250F" w:rsidP="00170E90">
      <w:pPr>
        <w:pStyle w:val="NormalWeb"/>
        <w:spacing w:before="120" w:beforeAutospacing="0" w:after="120" w:afterAutospacing="0"/>
        <w:ind w:firstLine="567"/>
        <w:jc w:val="both"/>
        <w:rPr>
          <w:sz w:val="28"/>
          <w:szCs w:val="28"/>
        </w:rPr>
      </w:pPr>
      <w:r w:rsidRPr="00902D61">
        <w:rPr>
          <w:sz w:val="28"/>
          <w:szCs w:val="28"/>
        </w:rPr>
        <w:t>Luật gồm 11 Điều, trong đó sửa đổi, bổ sung một số điều của Luật Chứng khoán, Luật Kế toán, Luật Kiểm toán độc lập, Luật Ngân sách nhà nước, Luật Quản lý thuế, Luật Thuế thu nhập cá nhân, Luật Quản lý, sử dụng tài sản công, Luật Dự trữ quốc gia, Luật Xử lý vi phạm hành chính.</w:t>
      </w:r>
    </w:p>
    <w:p w14:paraId="45E1B5D4" w14:textId="62A9D0A8" w:rsidR="00170E90" w:rsidRPr="00902D61" w:rsidRDefault="00170E90" w:rsidP="00170E90">
      <w:pPr>
        <w:pStyle w:val="NormalWeb"/>
        <w:spacing w:before="120" w:beforeAutospacing="0" w:after="120" w:afterAutospacing="0"/>
        <w:ind w:firstLine="567"/>
        <w:jc w:val="both"/>
        <w:rPr>
          <w:sz w:val="28"/>
          <w:szCs w:val="28"/>
        </w:rPr>
      </w:pPr>
      <w:r w:rsidRPr="00902D61">
        <w:rPr>
          <w:b/>
          <w:bCs/>
          <w:sz w:val="28"/>
          <w:szCs w:val="28"/>
          <w:lang w:val="vi-VN"/>
        </w:rPr>
        <w:t>9. Luật sửa đổi, bổ sung 09 Luật 2024</w:t>
      </w:r>
    </w:p>
    <w:p w14:paraId="7F096ED6"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Ngày 29/11/2024, Quốc hội đã thông qua </w:t>
      </w:r>
      <w:hyperlink r:id="rId12" w:tgtFrame="_blank" w:history="1">
        <w:r w:rsidRPr="00902D61">
          <w:rPr>
            <w:rStyle w:val="Hyperlink"/>
            <w:color w:val="auto"/>
            <w:sz w:val="28"/>
            <w:szCs w:val="28"/>
            <w:u w:val="none"/>
            <w:lang w:val="vi-VN"/>
          </w:rPr>
          <w:t>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hyperlink>
      <w:r w:rsidRPr="00902D61">
        <w:rPr>
          <w:sz w:val="28"/>
          <w:szCs w:val="28"/>
          <w:lang w:val="vi-VN"/>
        </w:rPr>
        <w:t>(Luật số 56/2024/QH15).</w:t>
      </w:r>
    </w:p>
    <w:p w14:paraId="27EE0C5E"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Theo đó, </w:t>
      </w:r>
      <w:hyperlink r:id="rId13" w:tgtFrame="_blank" w:history="1">
        <w:r w:rsidRPr="00902D61">
          <w:rPr>
            <w:rStyle w:val="Hyperlink"/>
            <w:color w:val="auto"/>
            <w:sz w:val="28"/>
            <w:szCs w:val="28"/>
            <w:u w:val="none"/>
            <w:lang w:val="vi-VN"/>
          </w:rPr>
          <w:t>Luật số 56/2024/QH15</w:t>
        </w:r>
      </w:hyperlink>
      <w:r w:rsidRPr="00902D61">
        <w:rPr>
          <w:sz w:val="28"/>
          <w:szCs w:val="28"/>
          <w:lang w:val="vi-VN"/>
        </w:rPr>
        <w:t> có hiệu lực từ ngày 01/01/2025, trừ trường hợp quy định tại các khoản 2, 3, 4 và 5 Điều 10.</w:t>
      </w:r>
    </w:p>
    <w:p w14:paraId="725D391A"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b/>
          <w:bCs/>
          <w:sz w:val="28"/>
          <w:szCs w:val="28"/>
          <w:lang w:val="vi-VN"/>
        </w:rPr>
        <w:t>10. Luật Đầu tư công 2024</w:t>
      </w:r>
    </w:p>
    <w:p w14:paraId="7D649B2B"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Ngày 29/11/2024, Quốc hội ban hành </w:t>
      </w:r>
      <w:hyperlink r:id="rId14" w:tgtFrame="_blank" w:history="1">
        <w:r w:rsidRPr="00902D61">
          <w:rPr>
            <w:rStyle w:val="Hyperlink"/>
            <w:color w:val="auto"/>
            <w:sz w:val="28"/>
            <w:szCs w:val="28"/>
            <w:u w:val="none"/>
            <w:lang w:val="vi-VN"/>
          </w:rPr>
          <w:t>Luật Đầu tư công 2024</w:t>
        </w:r>
      </w:hyperlink>
      <w:r w:rsidRPr="00902D61">
        <w:rPr>
          <w:sz w:val="28"/>
          <w:szCs w:val="28"/>
          <w:lang w:val="vi-VN"/>
        </w:rPr>
        <w:t> gồm 7 chương, 103 Điều (bổ sung 01 chương, tăng thêm 02 Điều và sửa đổi 65 Điều so với </w:t>
      </w:r>
      <w:hyperlink r:id="rId15" w:tgtFrame="_blank" w:history="1">
        <w:r w:rsidRPr="00902D61">
          <w:rPr>
            <w:rStyle w:val="Hyperlink"/>
            <w:color w:val="auto"/>
            <w:sz w:val="28"/>
            <w:szCs w:val="28"/>
            <w:u w:val="none"/>
            <w:lang w:val="vi-VN"/>
          </w:rPr>
          <w:t>Luật hiện hành</w:t>
        </w:r>
      </w:hyperlink>
      <w:r w:rsidRPr="00902D61">
        <w:rPr>
          <w:sz w:val="28"/>
          <w:szCs w:val="28"/>
          <w:lang w:val="vi-VN"/>
        </w:rPr>
        <w:t>.</w:t>
      </w:r>
    </w:p>
    <w:p w14:paraId="17A1C339"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Theo đó, ngành, lĩnh vực sử dụng vốn đầu tư công theo quy định mới bao gồm: </w:t>
      </w:r>
    </w:p>
    <w:p w14:paraId="33CB2C43"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Quốc phòng;</w:t>
      </w:r>
    </w:p>
    <w:p w14:paraId="146DD5EB"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An ninh và trật tự, an toàn xã hội;</w:t>
      </w:r>
    </w:p>
    <w:p w14:paraId="54B44819"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Giáo dục, đào tạo và giáo dục nghề nghiệp;</w:t>
      </w:r>
    </w:p>
    <w:p w14:paraId="233EDBF9"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Khoa học, công nghệ;</w:t>
      </w:r>
    </w:p>
    <w:p w14:paraId="3D89A0B8"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Y tế, dân số và gia đình;</w:t>
      </w:r>
    </w:p>
    <w:p w14:paraId="63E794B3"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Văn hóa, thông tin;</w:t>
      </w:r>
    </w:p>
    <w:p w14:paraId="46407968"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Phát thanh, truyền hình, thông tấn;</w:t>
      </w:r>
    </w:p>
    <w:p w14:paraId="327E7794"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Thể dục, thể thao;</w:t>
      </w:r>
    </w:p>
    <w:p w14:paraId="38BE38B7"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Bảo vệ môi trường;</w:t>
      </w:r>
    </w:p>
    <w:p w14:paraId="7492970C"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Các hoạt động kinh tế;</w:t>
      </w:r>
    </w:p>
    <w:p w14:paraId="36B9AE02"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Hoạt động của cơ quan nhà nước, đơn vị sự nghiệp công lập, tổ chức chính trị và tổ chức chính trị - xã hội;</w:t>
      </w:r>
    </w:p>
    <w:p w14:paraId="0C5545F1" w14:textId="77777777" w:rsidR="00170E90" w:rsidRPr="00902D61" w:rsidRDefault="00170E90" w:rsidP="00170E90">
      <w:pPr>
        <w:pStyle w:val="NormalWeb"/>
        <w:spacing w:before="120" w:beforeAutospacing="0" w:after="120" w:afterAutospacing="0"/>
        <w:ind w:firstLine="567"/>
        <w:jc w:val="both"/>
        <w:rPr>
          <w:sz w:val="28"/>
          <w:szCs w:val="28"/>
          <w:lang w:val="vi-VN"/>
        </w:rPr>
      </w:pPr>
      <w:r w:rsidRPr="00902D61">
        <w:rPr>
          <w:sz w:val="28"/>
          <w:szCs w:val="28"/>
          <w:lang w:val="vi-VN"/>
        </w:rPr>
        <w:t>- Bảo đảm xã hội;</w:t>
      </w:r>
    </w:p>
    <w:p w14:paraId="44BD3117" w14:textId="63DD14FF" w:rsidR="00175DF6" w:rsidRPr="00902D61" w:rsidRDefault="00175DF6" w:rsidP="00175DF6">
      <w:pPr>
        <w:pStyle w:val="NormalWeb"/>
        <w:spacing w:before="120" w:beforeAutospacing="0" w:after="120" w:afterAutospacing="0"/>
        <w:ind w:firstLine="567"/>
        <w:jc w:val="both"/>
        <w:rPr>
          <w:b/>
          <w:bCs/>
          <w:sz w:val="28"/>
          <w:szCs w:val="28"/>
        </w:rPr>
      </w:pPr>
      <w:r w:rsidRPr="00902D61">
        <w:rPr>
          <w:b/>
          <w:bCs/>
          <w:sz w:val="28"/>
          <w:szCs w:val="28"/>
        </w:rPr>
        <w:t xml:space="preserve">II. Các chính sách mới có hiệu lực trong tháng </w:t>
      </w:r>
    </w:p>
    <w:p w14:paraId="2A3AFE91" w14:textId="324FCDE3"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 </w:t>
      </w:r>
      <w:r w:rsidRPr="00902D61">
        <w:rPr>
          <w:b/>
          <w:bCs/>
          <w:sz w:val="28"/>
          <w:szCs w:val="28"/>
          <w:lang w:val="vi-VN"/>
        </w:rPr>
        <w:t>Quy định mới về quản lý kho vật chứng và tài liệu, đồ vật</w:t>
      </w:r>
    </w:p>
    <w:p w14:paraId="3444C323"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lastRenderedPageBreak/>
        <w:t>Chính phủ ban hành Nghị định </w:t>
      </w:r>
      <w:hyperlink r:id="rId16" w:tgtFrame="_blank" w:tooltip="142/2024/NĐ-CP" w:history="1">
        <w:r w:rsidRPr="00902D61">
          <w:rPr>
            <w:rStyle w:val="Hyperlink"/>
            <w:color w:val="auto"/>
            <w:sz w:val="28"/>
            <w:szCs w:val="28"/>
            <w:u w:val="none"/>
            <w:lang w:val="vi-VN"/>
          </w:rPr>
          <w:t>142/2024/NĐ-CP</w:t>
        </w:r>
      </w:hyperlink>
      <w:r w:rsidRPr="00902D61">
        <w:rPr>
          <w:sz w:val="28"/>
          <w:szCs w:val="28"/>
          <w:lang w:val="vi-VN"/>
        </w:rPr>
        <w:t> ngày 30/10/2024 quy định về quản lý kho vật chứng và tài liệu, đồ vật. Nghị định có hiệu lực từ ngày 1/1/2025.</w:t>
      </w:r>
    </w:p>
    <w:p w14:paraId="4CFEF3F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nêu rõ, việc quản lý kho vật chứng và tài liệu, đồ vật phải tuân thủ các quy định của pháp luật và Nghị định này. Tiếp nhận, nhập, xuất vật chứng, tài liệu, đồ vật được thực hiện theo lệnh hoặc quyết định của cơ quan, người có thẩm quyền. Vật chứng, tài liệu, đồ vật được phân loại, bảo quản bảo đảm an toàn. Kho vật chứng và tài liệu, đồ vật được bảo vệ an toàn 24/24 giờ hằng ngày.</w:t>
      </w:r>
    </w:p>
    <w:p w14:paraId="6BE284A0" w14:textId="235BE2CE"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lang w:val="vi-VN"/>
        </w:rPr>
        <w:t>2</w:t>
      </w:r>
      <w:r w:rsidRPr="00902D61">
        <w:rPr>
          <w:b/>
          <w:bCs/>
          <w:sz w:val="28"/>
          <w:szCs w:val="28"/>
        </w:rPr>
        <w:t>.</w:t>
      </w:r>
      <w:r w:rsidRPr="00902D61">
        <w:rPr>
          <w:b/>
          <w:bCs/>
          <w:sz w:val="28"/>
          <w:szCs w:val="28"/>
          <w:lang w:val="vi-VN"/>
        </w:rPr>
        <w:t xml:space="preserve"> </w:t>
      </w:r>
      <w:r w:rsidRPr="00902D61">
        <w:rPr>
          <w:b/>
          <w:bCs/>
          <w:sz w:val="28"/>
          <w:szCs w:val="28"/>
        </w:rPr>
        <w:t>C</w:t>
      </w:r>
      <w:r w:rsidRPr="00902D61">
        <w:rPr>
          <w:b/>
          <w:bCs/>
          <w:sz w:val="28"/>
          <w:szCs w:val="28"/>
          <w:lang w:val="vi-VN"/>
        </w:rPr>
        <w:t>hế độ bảo hiểm tai nạn lao động tự nguyện</w:t>
      </w:r>
    </w:p>
    <w:p w14:paraId="6C06E0E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số </w:t>
      </w:r>
      <w:hyperlink r:id="rId17" w:tgtFrame="_blank" w:tooltip="143/2024/NĐ-CP" w:history="1">
        <w:r w:rsidRPr="00902D61">
          <w:rPr>
            <w:rStyle w:val="Hyperlink"/>
            <w:color w:val="auto"/>
            <w:sz w:val="28"/>
            <w:szCs w:val="28"/>
            <w:u w:val="none"/>
            <w:lang w:val="vi-VN"/>
          </w:rPr>
          <w:t>143/2024/NĐ-CP</w:t>
        </w:r>
      </w:hyperlink>
      <w:r w:rsidRPr="00902D61">
        <w:rPr>
          <w:sz w:val="28"/>
          <w:szCs w:val="28"/>
          <w:lang w:val="vi-VN"/>
        </w:rPr>
        <w:t> ngày 1/11/2024 của Chính phủ có hiệu lực từ ngày 1/1/2025 quy định về bảo hiểm tai nạn lao động theo hình thức tự nguyện đối với người lao động làm việc không theo hợp đồng lao động.</w:t>
      </w:r>
    </w:p>
    <w:p w14:paraId="5EEF5556"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143/2024/NĐ-CP quy định chế độ bảo hiểm tai nạn lao động tự nguyện gồm: Giám định mức suy giảm khả năng lao động; Trợ cấp tai nạn lao động.</w:t>
      </w:r>
    </w:p>
    <w:p w14:paraId="1EA9A67A" w14:textId="121D466F"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3. </w:t>
      </w:r>
      <w:r w:rsidRPr="00902D61">
        <w:rPr>
          <w:b/>
          <w:bCs/>
          <w:sz w:val="28"/>
          <w:szCs w:val="28"/>
          <w:lang w:val="vi-VN"/>
        </w:rPr>
        <w:t>Cơ cấu tổ chức mới của Ngân hàng Nhà nước áp dụng từ 5/1/2025</w:t>
      </w:r>
    </w:p>
    <w:p w14:paraId="6D644ED0"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w:t>
      </w:r>
      <w:hyperlink r:id="rId18" w:tgtFrame="_blank" w:tooltip="146/2024/NĐ-CP" w:history="1">
        <w:r w:rsidRPr="00902D61">
          <w:rPr>
            <w:rStyle w:val="Hyperlink"/>
            <w:color w:val="auto"/>
            <w:sz w:val="28"/>
            <w:szCs w:val="28"/>
            <w:u w:val="none"/>
            <w:lang w:val="vi-VN"/>
          </w:rPr>
          <w:t>146/2024/NĐ-CP</w:t>
        </w:r>
      </w:hyperlink>
      <w:r w:rsidRPr="00902D61">
        <w:rPr>
          <w:sz w:val="28"/>
          <w:szCs w:val="28"/>
          <w:lang w:val="vi-VN"/>
        </w:rPr>
        <w:t> ngày 6/11/2024, trong đó sửa đổi, bổ sung Điều 3 Nghị định 102/2022/NĐ-CP về cơ cấu tổ chức của Ngân hàng Nhà nước Việt Nam.</w:t>
      </w:r>
    </w:p>
    <w:p w14:paraId="3C30801E"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Cụ thể, nhập Vụ Dự báo, thống kê và Vụ Ổn định tiền tệ - tài chính thành Vụ Dự báo, thống kê - Ổn định tiền tệ, tài chính. Đồng thời, bổ sung 1 đơn vị là Cục phòng chống rửa tiền. Theo đó, Ngân hàng Nhà nước Việt Nam sẽ có cơ cấu tổ chức mới gồm 25 đơn vị.</w:t>
      </w:r>
    </w:p>
    <w:p w14:paraId="2BAFD0C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có hiệu lực từ ngày 5/1/2025.</w:t>
      </w:r>
    </w:p>
    <w:p w14:paraId="12E9EA0B" w14:textId="151692B9"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4. </w:t>
      </w:r>
      <w:r w:rsidRPr="00902D61">
        <w:rPr>
          <w:b/>
          <w:bCs/>
          <w:sz w:val="28"/>
          <w:szCs w:val="28"/>
          <w:lang w:val="vi-VN"/>
        </w:rPr>
        <w:t>Quy định quản lý, bảo quản vũ khí, vật liệu nổ quân dụng</w:t>
      </w:r>
    </w:p>
    <w:p w14:paraId="32C469D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w:t>
      </w:r>
      <w:hyperlink r:id="rId19" w:tgtFrame="_blank" w:tooltip="149/2024/NĐ-CP" w:history="1">
        <w:r w:rsidRPr="00902D61">
          <w:rPr>
            <w:rStyle w:val="Hyperlink"/>
            <w:color w:val="auto"/>
            <w:sz w:val="28"/>
            <w:szCs w:val="28"/>
            <w:u w:val="none"/>
            <w:lang w:val="vi-VN"/>
          </w:rPr>
          <w:t>149/2024/NĐ-CP</w:t>
        </w:r>
      </w:hyperlink>
      <w:r w:rsidRPr="00902D61">
        <w:rPr>
          <w:sz w:val="28"/>
          <w:szCs w:val="28"/>
          <w:lang w:val="vi-VN"/>
        </w:rPr>
        <w:t> ngày 15/11/2024 quy định chi tiết một số điều và biện pháp thi hành Luật Quản lý, sử dụng vũ khí, vật liệu nổ và công cụ hỗ trợ. Nghị định có hiệu lực từ ngày 1/1/2025.</w:t>
      </w:r>
    </w:p>
    <w:p w14:paraId="341DE9C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quy định: Cơ quan, tổ chức, doanh nghiệp được trang bị, sử dụng vũ khí, vật liệu nổ quân dụng, công cụ hỗ trợ phải lập hồ sơ, sổ theo dõi; khi xuất vũ khí, vật liệu nổ quân dụng, công cụ hỗ trợ ra khỏi kho, nơi cất giữ để sử dụng phải được người đứng đầu cơ quan, tổ chức, doanh nghiệp đồng ý và ghi đầy đủ thông tin vào hồ sơ, sổ theo dõi, có chữ ký xác nhận của người giao, người nhận; sau khi sử dụng vũ khí, công cụ hỗ trợ hoặc vật liệu nổ quân dụng không sử dụng hết phải báo cáo người đứng đầu cơ quan, tổ chức, doanh nghiệp và bàn giao cho người được giao quản lý kho, nơi cất giữ để bảo dưỡng, bảo quản, quản lý theo quy định.</w:t>
      </w:r>
    </w:p>
    <w:p w14:paraId="7A9F1EE2" w14:textId="7B6E4EAE"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5. </w:t>
      </w:r>
      <w:r w:rsidRPr="00902D61">
        <w:rPr>
          <w:b/>
          <w:bCs/>
          <w:sz w:val="28"/>
          <w:szCs w:val="28"/>
          <w:lang w:val="vi-VN"/>
        </w:rPr>
        <w:t>Từ 1/1/2025: Xe ô tô kinh doanh vận tải chở trẻ em mầm non, học sinh phải sơn màu vàng đậm</w:t>
      </w:r>
    </w:p>
    <w:p w14:paraId="4570B3E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lastRenderedPageBreak/>
        <w:t>Nghị định số </w:t>
      </w:r>
      <w:hyperlink r:id="rId20" w:tgtFrame="_blank" w:tooltip="151/2024/NĐ-CP" w:history="1">
        <w:r w:rsidRPr="00902D61">
          <w:rPr>
            <w:rStyle w:val="Hyperlink"/>
            <w:color w:val="auto"/>
            <w:sz w:val="28"/>
            <w:szCs w:val="28"/>
            <w:u w:val="none"/>
            <w:lang w:val="vi-VN"/>
          </w:rPr>
          <w:t>151/2024/NĐ-CP</w:t>
        </w:r>
      </w:hyperlink>
      <w:r w:rsidRPr="00902D61">
        <w:rPr>
          <w:sz w:val="28"/>
          <w:szCs w:val="28"/>
          <w:lang w:val="vi-VN"/>
        </w:rPr>
        <w:t> của Chính phủ quy định xe ô tô kinh doanh vận tải chở trẻ em mầm non, học sinh được quy định tại điểm a khoản 1 Điều 46 Luật Trật tự an toàn giao thông đường bộ phải được sơn màu vàng đậm phủ bên ngoài thân xe.</w:t>
      </w:r>
    </w:p>
    <w:p w14:paraId="0FB2325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Đồng thời, mặt trước và hai cạnh bên xe phía trên cửa sổ phải có biển báo dấu hiệu nhận biết là xe chuyên dùng chở trẻ em mầm non, học sinh.</w:t>
      </w:r>
    </w:p>
    <w:p w14:paraId="4241AE10"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Xe ô tô kinh doanh vận tải kết hợp với hoạt động đưa đón trẻ em mầm non, học sinh quy định tại khoản 2 Điều 46 Luật Trật tự, an toàn giao thông đường bộ phải có biển báo dấu hiệu nhận biết là xe chở trẻ em mầm non, học sinh đặt ở mặt trước và hai cạnh bên xe phía trên cửa sổ.</w:t>
      </w:r>
    </w:p>
    <w:p w14:paraId="6CBF64B7"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trên có hiệu lực từ ngày 1/1/2025.</w:t>
      </w:r>
    </w:p>
    <w:p w14:paraId="0587B692" w14:textId="539591D2"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6. </w:t>
      </w:r>
      <w:r w:rsidRPr="00902D61">
        <w:rPr>
          <w:b/>
          <w:bCs/>
          <w:sz w:val="28"/>
          <w:szCs w:val="28"/>
          <w:lang w:val="vi-VN"/>
        </w:rPr>
        <w:t>Bổ sung quy định về xử lý chứng khoán để bảo đảm thi hành án dân sự</w:t>
      </w:r>
    </w:p>
    <w:p w14:paraId="4273BCB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w:t>
      </w:r>
      <w:hyperlink r:id="rId21" w:tgtFrame="_blank" w:tooltip="152/2024/NĐ-CP" w:history="1">
        <w:r w:rsidRPr="00902D61">
          <w:rPr>
            <w:rStyle w:val="Hyperlink"/>
            <w:color w:val="auto"/>
            <w:sz w:val="28"/>
            <w:szCs w:val="28"/>
            <w:u w:val="none"/>
            <w:lang w:val="vi-VN"/>
          </w:rPr>
          <w:t>152/2024/NĐ-CP</w:t>
        </w:r>
      </w:hyperlink>
      <w:r w:rsidRPr="00902D61">
        <w:rPr>
          <w:sz w:val="28"/>
          <w:szCs w:val="28"/>
          <w:lang w:val="vi-VN"/>
        </w:rPr>
        <w:t> ngày 15/11/2024 sửa đổi, bổ sung một số điều của Nghị định số 62/2015/NĐ-CP quy định chi tiết và hướng dẫn thi hành một số điều của Luật Thi hành án dân sự được sửa đổi, bổ sung một số điều theo Nghị định số 33/2020/NĐ-CP.</w:t>
      </w:r>
    </w:p>
    <w:p w14:paraId="6D1B320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Trong đó, Nghị định số 152/2024/NĐ-CP bổ sung khoản 5 của Nghị định số 62/2015/NĐ-CP về việc áp dụng biện pháp bảo đảm và cưỡng chế thi hành án dân sự:</w:t>
      </w:r>
    </w:p>
    <w:p w14:paraId="475B6BA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Việc xử lý chứng khoán đang niêm yết hoặc đang đăng ký giao dịch tại các sở giao dịch chứng khoán được thực hiện như sau:</w:t>
      </w:r>
    </w:p>
    <w:p w14:paraId="193D73D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a) Chấp hành viên ra quyết định phong tỏa chứng khoán gửi Tổng công ty Lưu ký và Bù trừ chứng khoán Việt Nam (sau đây được viết tắt là VSDC) và cơ quan, tổ chức, cá nhân khác theo quy định tại Điều 67 của Luật Thi hành án dân sự. Trong thời hạn 01 ngày làm việc kể từ ngày nhận được quyết định của Chấp hành viên, VSDC thực hiện phong tỏa chứng khoán theo quy định của pháp luật về chứng khoán và gửi thông báo cho cơ quan thi hành án dân sự và thành viên lưu ký.</w:t>
      </w:r>
    </w:p>
    <w:p w14:paraId="65917284"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b) Chấp hành viên ra quyết định cưỡng chế kê biên, xử lý chứng khoán theo quy định tại khoản 3 Điều 71 của Luật Thi hành án dân sự.</w:t>
      </w:r>
    </w:p>
    <w:p w14:paraId="17E31E61"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có hiệu lực từ ngày 1/1/2025.</w:t>
      </w:r>
    </w:p>
    <w:p w14:paraId="7F111C57" w14:textId="6F5944C6" w:rsidR="00175DF6" w:rsidRPr="00902D61" w:rsidRDefault="00175DF6" w:rsidP="00175DF6">
      <w:pPr>
        <w:pStyle w:val="NormalWeb"/>
        <w:spacing w:before="120" w:beforeAutospacing="0" w:after="120" w:afterAutospacing="0"/>
        <w:ind w:left="567"/>
        <w:jc w:val="both"/>
        <w:rPr>
          <w:sz w:val="28"/>
          <w:szCs w:val="28"/>
          <w:lang w:val="vi-VN"/>
        </w:rPr>
      </w:pPr>
      <w:r w:rsidRPr="00902D61">
        <w:rPr>
          <w:b/>
          <w:bCs/>
          <w:sz w:val="28"/>
          <w:szCs w:val="28"/>
        </w:rPr>
        <w:t xml:space="preserve">7. </w:t>
      </w:r>
      <w:r w:rsidRPr="00902D61">
        <w:rPr>
          <w:b/>
          <w:bCs/>
          <w:sz w:val="28"/>
          <w:szCs w:val="28"/>
          <w:lang w:val="vi-VN"/>
        </w:rPr>
        <w:t>Mức phí bảo vệ môi trường đối với khí thải</w:t>
      </w:r>
    </w:p>
    <w:p w14:paraId="4E79432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Có hiệu lực từ ngày 5/1/2025, Nghị định số </w:t>
      </w:r>
      <w:hyperlink r:id="rId22" w:tgtFrame="_blank" w:tooltip="153/2024/NĐ-CP" w:history="1">
        <w:r w:rsidRPr="00902D61">
          <w:rPr>
            <w:rStyle w:val="Hyperlink"/>
            <w:color w:val="auto"/>
            <w:sz w:val="28"/>
            <w:szCs w:val="28"/>
            <w:u w:val="none"/>
            <w:lang w:val="vi-VN"/>
          </w:rPr>
          <w:t>153/2024/NĐ-CP</w:t>
        </w:r>
      </w:hyperlink>
      <w:r w:rsidRPr="00902D61">
        <w:rPr>
          <w:sz w:val="28"/>
          <w:szCs w:val="28"/>
          <w:lang w:val="vi-VN"/>
        </w:rPr>
        <w:t> ngày 21/11/2024 của Chính phủ quy định phí bảo vệ môi trường đối với khí thải.</w:t>
      </w:r>
    </w:p>
    <w:p w14:paraId="1D11C0EE"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quy định phí bảo vệ môi trường đối với khí thải phải nộp trong kỳ nộp phí được tính theo công thức sau: F = f + C.</w:t>
      </w:r>
    </w:p>
    <w:p w14:paraId="4D231FCF"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Trong đó, phí biến đổi của cơ sở xả khí thải (C) là tổng số phí biến đổi tại mỗi dòng khí thải (C</w:t>
      </w:r>
      <w:r w:rsidRPr="00902D61">
        <w:rPr>
          <w:sz w:val="28"/>
          <w:szCs w:val="28"/>
          <w:vertAlign w:val="subscript"/>
          <w:lang w:val="vi-VN"/>
        </w:rPr>
        <w:t>i</w:t>
      </w:r>
      <w:r w:rsidRPr="00902D61">
        <w:rPr>
          <w:sz w:val="28"/>
          <w:szCs w:val="28"/>
          <w:lang w:val="vi-VN"/>
        </w:rPr>
        <w:t>) được xác định theo công thức sau: C = ΣC</w:t>
      </w:r>
      <w:r w:rsidRPr="00902D61">
        <w:rPr>
          <w:sz w:val="28"/>
          <w:szCs w:val="28"/>
          <w:vertAlign w:val="subscript"/>
          <w:lang w:val="vi-VN"/>
        </w:rPr>
        <w:t>i</w:t>
      </w:r>
      <w:r w:rsidRPr="00902D61">
        <w:rPr>
          <w:sz w:val="28"/>
          <w:szCs w:val="28"/>
          <w:lang w:val="vi-VN"/>
        </w:rPr>
        <w:t>.</w:t>
      </w:r>
    </w:p>
    <w:p w14:paraId="57882EA0"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lastRenderedPageBreak/>
        <w:t>C</w:t>
      </w:r>
      <w:r w:rsidRPr="00902D61">
        <w:rPr>
          <w:sz w:val="28"/>
          <w:szCs w:val="28"/>
          <w:vertAlign w:val="subscript"/>
          <w:lang w:val="vi-VN"/>
        </w:rPr>
        <w:t>i</w:t>
      </w:r>
      <w:r w:rsidRPr="00902D61">
        <w:rPr>
          <w:sz w:val="28"/>
          <w:szCs w:val="28"/>
          <w:lang w:val="vi-VN"/>
        </w:rPr>
        <w:t>= C</w:t>
      </w:r>
      <w:r w:rsidRPr="00902D61">
        <w:rPr>
          <w:sz w:val="28"/>
          <w:szCs w:val="28"/>
          <w:vertAlign w:val="subscript"/>
          <w:lang w:val="vi-VN"/>
        </w:rPr>
        <w:t>i</w:t>
      </w:r>
      <w:r w:rsidRPr="00902D61">
        <w:rPr>
          <w:sz w:val="28"/>
          <w:szCs w:val="28"/>
          <w:lang w:val="vi-VN"/>
        </w:rPr>
        <w:t> </w:t>
      </w:r>
      <w:r w:rsidRPr="00902D61">
        <w:rPr>
          <w:sz w:val="28"/>
          <w:szCs w:val="28"/>
          <w:vertAlign w:val="subscript"/>
          <w:lang w:val="vi-VN"/>
        </w:rPr>
        <w:t>(Bụi)</w:t>
      </w:r>
      <w:r w:rsidRPr="00902D61">
        <w:rPr>
          <w:sz w:val="28"/>
          <w:szCs w:val="28"/>
          <w:lang w:val="vi-VN"/>
        </w:rPr>
        <w:t> + C</w:t>
      </w:r>
      <w:r w:rsidRPr="00902D61">
        <w:rPr>
          <w:sz w:val="28"/>
          <w:szCs w:val="28"/>
          <w:vertAlign w:val="subscript"/>
          <w:lang w:val="vi-VN"/>
        </w:rPr>
        <w:t>i (SOx)</w:t>
      </w:r>
      <w:r w:rsidRPr="00902D61">
        <w:rPr>
          <w:sz w:val="28"/>
          <w:szCs w:val="28"/>
          <w:lang w:val="vi-VN"/>
        </w:rPr>
        <w:t> + C</w:t>
      </w:r>
      <w:r w:rsidRPr="00902D61">
        <w:rPr>
          <w:sz w:val="28"/>
          <w:szCs w:val="28"/>
          <w:vertAlign w:val="subscript"/>
          <w:lang w:val="vi-VN"/>
        </w:rPr>
        <w:t>i (NOx)</w:t>
      </w:r>
      <w:r w:rsidRPr="00902D61">
        <w:rPr>
          <w:sz w:val="28"/>
          <w:szCs w:val="28"/>
          <w:lang w:val="vi-VN"/>
        </w:rPr>
        <w:t> + C</w:t>
      </w:r>
      <w:r w:rsidRPr="00902D61">
        <w:rPr>
          <w:sz w:val="28"/>
          <w:szCs w:val="28"/>
          <w:vertAlign w:val="subscript"/>
          <w:lang w:val="vi-VN"/>
        </w:rPr>
        <w:t>i (CO)</w:t>
      </w:r>
    </w:p>
    <w:p w14:paraId="1E71959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Đối với cơ sở xả khí thải không thuộc đối tượng phải quan trắc khí thải, mức thu phí cố định (f): 3.000.000 đồng/năm. Trường hợp người nộp phí nộp theo quý thì mức thu phí tính cho 01 quý là f/4.</w:t>
      </w:r>
    </w:p>
    <w:p w14:paraId="0684265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Đối với cơ sở xả khí thải thuộc đối tượng phải quan trắc khí thải, mức thu phí cố định (f): 3.000.000 đồng/năm. Trường hợp người nộp phí nộp theo quý thì mức thu phí tính cho 01 quý là f/4.</w:t>
      </w:r>
    </w:p>
    <w:p w14:paraId="16C057DD" w14:textId="1B69FE1E"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8. </w:t>
      </w:r>
      <w:r w:rsidRPr="00902D61">
        <w:rPr>
          <w:b/>
          <w:bCs/>
          <w:sz w:val="28"/>
          <w:szCs w:val="28"/>
          <w:lang w:val="vi-VN"/>
        </w:rPr>
        <w:t>Hướng dẫn đăng ký cư trú cho người chưa thành niên</w:t>
      </w:r>
    </w:p>
    <w:p w14:paraId="6BF774D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w:t>
      </w:r>
      <w:hyperlink r:id="rId23" w:tgtFrame="_blank" w:tooltip="154/2024/NĐ-CP" w:history="1">
        <w:r w:rsidRPr="00902D61">
          <w:rPr>
            <w:rStyle w:val="Hyperlink"/>
            <w:color w:val="auto"/>
            <w:sz w:val="28"/>
            <w:szCs w:val="28"/>
            <w:u w:val="none"/>
            <w:lang w:val="vi-VN"/>
          </w:rPr>
          <w:t>154/2024/NĐ-CP</w:t>
        </w:r>
      </w:hyperlink>
      <w:r w:rsidRPr="00902D61">
        <w:rPr>
          <w:sz w:val="28"/>
          <w:szCs w:val="28"/>
          <w:lang w:val="vi-VN"/>
        </w:rPr>
        <w:t> ngày 26/11/2024 quy định chi tiết một số điều và biện pháp thi hành Luật Cư trú. Trong đó, Nghị định quy định rõ về đăng ký cư trú cho người chưa thành niên.</w:t>
      </w:r>
    </w:p>
    <w:p w14:paraId="0F4AB88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số 154/2024/NĐ-CP quy định trường hợp người chưa thành niên đăng ký thường trú, đăng ký tạm trú tại nơi thường trú, nơi tạm trú của cha, mẹ hoặc cha hoặc mẹ thì cha hoặc mẹ hoặc người giám hộ thực hiện kê khai, xác nhận ý kiến vào Tờ khai thay đổi thông tin cư trú.</w:t>
      </w:r>
    </w:p>
    <w:p w14:paraId="40969552"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14:paraId="6BEB490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này có hiệu lực từ ngày 10/1/2025.</w:t>
      </w:r>
    </w:p>
    <w:p w14:paraId="3C5E3E88" w14:textId="0493BCF5"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9. </w:t>
      </w:r>
      <w:r w:rsidRPr="00902D61">
        <w:rPr>
          <w:b/>
          <w:bCs/>
          <w:sz w:val="28"/>
          <w:szCs w:val="28"/>
          <w:lang w:val="vi-VN"/>
        </w:rPr>
        <w:t>Giá khởi điểm đấu giá biển số xe ô tô là 40 triệu đồng</w:t>
      </w:r>
    </w:p>
    <w:p w14:paraId="0691B3E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w:t>
      </w:r>
      <w:hyperlink r:id="rId24" w:tgtFrame="_blank" w:tooltip="156/2024/NĐ-CP" w:history="1">
        <w:r w:rsidRPr="00902D61">
          <w:rPr>
            <w:rStyle w:val="Hyperlink"/>
            <w:color w:val="auto"/>
            <w:sz w:val="28"/>
            <w:szCs w:val="28"/>
            <w:u w:val="none"/>
            <w:lang w:val="vi-VN"/>
          </w:rPr>
          <w:t>156/2024/NĐ-CP</w:t>
        </w:r>
      </w:hyperlink>
      <w:r w:rsidRPr="00902D61">
        <w:rPr>
          <w:sz w:val="28"/>
          <w:szCs w:val="28"/>
          <w:lang w:val="vi-VN"/>
        </w:rPr>
        <w:t> ngày 10/12/2024 quy định về đấu giá biển số xe có hiệu lực từ ngày 1/1/2025.</w:t>
      </w:r>
    </w:p>
    <w:p w14:paraId="1EAFB69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quy định hình thức đấu giá biển số xe là đấu giá trực tuyến.</w:t>
      </w:r>
    </w:p>
    <w:p w14:paraId="55FC29C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Phương thức đấu giá là phương thức trả giá lên.</w:t>
      </w:r>
    </w:p>
    <w:p w14:paraId="45DC75B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Giá khởi điểm của một biển số xe ô tô đưa ra đấu giá là 40 triệu đồng, ba năm tăng một lần tính từ ngày 01/01/2025, mỗi lần tăng 5 triệu đồng.</w:t>
      </w:r>
    </w:p>
    <w:p w14:paraId="359DAC73"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Giá khởi điểm của một biển số xe mô tô, xe gắn máy đưa ra đấu giá là 5 triệu đồng, ba năm tăng một lần tính từ ngày 01/01/2025, mỗi lần tăng 1 triệu đồng.</w:t>
      </w:r>
    </w:p>
    <w:p w14:paraId="7CED9AFB"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Giá khởi điểm của biển số xe có định dạng AAAAA (A&gt;4), ABCDE ( A &lt; B &lt; C &lt; D &lt; E, A&gt;4) đưa ra đấu giá lại sau lần thứ hai là 500 triệu đồng đối với biển số xe ô tô và 50 triệu đồng đối với biển số xe mô tô, xe gắn máy.</w:t>
      </w:r>
    </w:p>
    <w:p w14:paraId="425F7BE8" w14:textId="4E7C06C9"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10. </w:t>
      </w:r>
      <w:r w:rsidRPr="00902D61">
        <w:rPr>
          <w:b/>
          <w:bCs/>
          <w:sz w:val="28"/>
          <w:szCs w:val="28"/>
          <w:lang w:val="vi-VN"/>
        </w:rPr>
        <w:t>Quy định về kinh doanh vận tải hành khách theo hợp đồng</w:t>
      </w:r>
    </w:p>
    <w:p w14:paraId="64213C56"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lastRenderedPageBreak/>
        <w:t>Nghị định số </w:t>
      </w:r>
      <w:hyperlink r:id="rId25" w:tgtFrame="_blank" w:history="1">
        <w:r w:rsidRPr="00902D61">
          <w:rPr>
            <w:rStyle w:val="Hyperlink"/>
            <w:color w:val="auto"/>
            <w:sz w:val="28"/>
            <w:szCs w:val="28"/>
            <w:u w:val="none"/>
            <w:lang w:val="vi-VN"/>
          </w:rPr>
          <w:t>158/2024/NĐ-CP</w:t>
        </w:r>
      </w:hyperlink>
      <w:r w:rsidRPr="00902D61">
        <w:rPr>
          <w:sz w:val="28"/>
          <w:szCs w:val="28"/>
          <w:lang w:val="vi-VN"/>
        </w:rPr>
        <w:t> ngày 8/12/2024 của Chính phủ quy định chi tiết về kinh doanh vận tải hành khách theo hợp đồng có hiệu lực từ ngày 1/1/2025.</w:t>
      </w:r>
    </w:p>
    <w:p w14:paraId="6A148CE6"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Theo quy định đơn vị kinh doanh vận tải có Giấy phép kinh doanh vận tải bằng ô tô, trong đó có loại hình kinh doanh vận tải hành khách theo hợp đồng thì được tham gia kinh doanh vận tải hành khách theo hợp đồng.</w:t>
      </w:r>
    </w:p>
    <w:p w14:paraId="316E55B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quy định điều kiện đối với xe ô tô kinh doanh vận tải hành khách theo hợp đồng:</w:t>
      </w:r>
    </w:p>
    <w:p w14:paraId="70DAC7C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Xe ô tô kinh doanh vận tải hành khách theo hợp đồng bảo đảm đúng quy định tại khoản 10 Điều 56 Luật Đường bộ;</w:t>
      </w:r>
    </w:p>
    <w:p w14:paraId="142F4B5B"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Phải có phù hiệu "XE HỢP ĐỒNG" theo Mẫu số 06 Phụ lục XIII kèm theo Nghị định này và được dán cố định tại góc trên bên phải ngay sát phía dưới vị trí của Tem kiểm định, mặt trong kính chắn gió phía trước của xe; phải niêm yết đầy đủ các thông tin khác trên xe theo quy định;</w:t>
      </w:r>
    </w:p>
    <w:p w14:paraId="756A93B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Phải được niêm yết (dán cố định) cụm từ "XE HỢP ĐỒNG" làm bằng vật liệu phản quang trên kính phía trước và kính phía sau xe; với kích thước tối thiểu của cụm từ "XE HỢP ĐỒNG" là 06 x 20 cm theo Mẫu số 07 Phụ lục XIII kèm theo Nghị định này. Trường hợp niêm yết bằng thiết bị điện tử phải bảo đảm cụm từ "XE HỢP ĐỒNG" luôn được bật sáng và có kích thước tối thiểu là 06 x 20 cm.</w:t>
      </w:r>
    </w:p>
    <w:p w14:paraId="14B27D8C" w14:textId="463B78A5"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11. </w:t>
      </w:r>
      <w:r w:rsidRPr="00902D61">
        <w:rPr>
          <w:b/>
          <w:bCs/>
          <w:sz w:val="28"/>
          <w:szCs w:val="28"/>
          <w:lang w:val="vi-VN"/>
        </w:rPr>
        <w:t>Quy định về hoạt động đào tạo và sát hạch lái xe</w:t>
      </w:r>
    </w:p>
    <w:p w14:paraId="1E872D37"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w:t>
      </w:r>
      <w:hyperlink r:id="rId26" w:tgtFrame="_blank" w:tooltip="160/2024/NĐ-CP" w:history="1">
        <w:r w:rsidRPr="00902D61">
          <w:rPr>
            <w:rStyle w:val="Hyperlink"/>
            <w:color w:val="auto"/>
            <w:sz w:val="28"/>
            <w:szCs w:val="28"/>
            <w:u w:val="none"/>
            <w:lang w:val="vi-VN"/>
          </w:rPr>
          <w:t>160/2024/NĐ-CP</w:t>
        </w:r>
      </w:hyperlink>
      <w:r w:rsidRPr="00902D61">
        <w:rPr>
          <w:sz w:val="28"/>
          <w:szCs w:val="28"/>
          <w:lang w:val="vi-VN"/>
        </w:rPr>
        <w:t> về hoạt động đào tạo và sát hạch lái xe. Nghị định có hiệu lực từ ngày 1/1/2025.</w:t>
      </w:r>
    </w:p>
    <w:p w14:paraId="42DE6A27"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nêu rõ, cơ sở đào tạo lái xe là loại hình doanh nghiệp hoặc hợp tác xã hoặc cơ sở giáo dục. </w:t>
      </w:r>
    </w:p>
    <w:p w14:paraId="699B2578" w14:textId="6E5D53C3"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12. </w:t>
      </w:r>
      <w:r w:rsidRPr="00902D61">
        <w:rPr>
          <w:b/>
          <w:bCs/>
          <w:sz w:val="28"/>
          <w:szCs w:val="28"/>
          <w:lang w:val="vi-VN"/>
        </w:rPr>
        <w:t>Tổ chức, hoạt động Ủy ban nhân dân phường của thành phố Hà Nội</w:t>
      </w:r>
    </w:p>
    <w:p w14:paraId="7FF95B7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169/2024/NĐ-CP ngày 27/12/2024 quy định chi tiết về tổ chức, hoạt động của Ủy ban nhân dân phường của thành phố Hà Nội.</w:t>
      </w:r>
    </w:p>
    <w:p w14:paraId="1C379DA8"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nêu rõ, cơ cấu tổ chức của Ủy ban nhân dân phường được thực hiện theo quy định tại điểm a khoản 3 Điều 13 </w:t>
      </w:r>
      <w:hyperlink r:id="rId27" w:tgtFrame="_blank" w:tooltip="Luật Thủ đô" w:history="1">
        <w:r w:rsidRPr="00902D61">
          <w:rPr>
            <w:rStyle w:val="Hyperlink"/>
            <w:color w:val="auto"/>
            <w:sz w:val="28"/>
            <w:szCs w:val="28"/>
            <w:u w:val="none"/>
            <w:lang w:val="vi-VN"/>
          </w:rPr>
          <w:t>Luật Thủ đô</w:t>
        </w:r>
      </w:hyperlink>
      <w:r w:rsidRPr="00902D61">
        <w:rPr>
          <w:sz w:val="28"/>
          <w:szCs w:val="28"/>
          <w:lang w:val="vi-VN"/>
        </w:rPr>
        <w:t>. Cụ thể, Ủy ban nhân dân phường gồm có: Chủ tịch, Phó Chủ tịch và các công chức khác của phường. Phường loại I và loại II có không quá 02 Phó Chủ tịch Ủy ban nhân dân, phường loại III có 01 Phó Chủ tịch Ủy ban nhân dân. Chủ tịch, Phó Chủ tịch Ủy ban nhân dân phường là công chức giữ chức danh lãnh đạo, quản lý của Ủy ban nhân dân phường.</w:t>
      </w:r>
    </w:p>
    <w:p w14:paraId="1CA80861"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Các công chức khác của Ủy ban nhân dân phường gồm: 1- Chỉ huy trưởng Ban Chỉ huy quân sự; 2- Văn phòng - thống kê; 3- Địa chính - xây dựng - đô thị và môi trường; 4- Tài chính - kế toán; 5- Tư pháp - hộ tịch; 6- Văn hóa - xã hội.</w:t>
      </w:r>
    </w:p>
    <w:p w14:paraId="75563C9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lastRenderedPageBreak/>
        <w:t>Nghị định này có hiệu lực từ ngày 1/1/2025.</w:t>
      </w:r>
    </w:p>
    <w:p w14:paraId="086048E7" w14:textId="5B5FB5D4"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13. </w:t>
      </w:r>
      <w:r w:rsidRPr="00902D61">
        <w:rPr>
          <w:b/>
          <w:bCs/>
          <w:sz w:val="28"/>
          <w:szCs w:val="28"/>
          <w:lang w:val="vi-VN"/>
        </w:rPr>
        <w:t>Những lỗi vi phạm giao thông thường gặp và mức phạt mới áp dụng từ 1/1/2025</w:t>
      </w:r>
    </w:p>
    <w:p w14:paraId="70D96EC0"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168/2024/NĐ-CP ngày 26/12/2024 quy định xử phạt vi phạm hành chính về trật tự, an toàn giao thông trong lĩnh vực giao thông đường bộ; trừ điểm, phục hồi điểm giấy phép lái xe, có hiệu lực từ 1/1/2025.</w:t>
      </w:r>
    </w:p>
    <w:p w14:paraId="607ABBB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Theo đó, người điều khiển xe ô tô không thắt dây đai an toàn khi điều khiển xe chạy trên đường; chở người trên xe ô tô không thắt dây đai an toàn (tại vị trí có trang bị dây đai an toàn) khi xe đang chạy sẽ bị phạt tiền từ 800.000 đồng đến 1.000.000 đồng.</w:t>
      </w:r>
    </w:p>
    <w:p w14:paraId="5F80B1B3"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Phạt tiền từ 4-6 triệu đồng đối với người điều khiển xe ô tô dùng tay cầm và sử dụng điện thoại hoặc các thiết bị điện tử khác khi điều khiển phương tiện tham gia giao thông đang di chuyển trên đường bộ; mở cửa xe, để cửa xe mở không bảo đảm an toàn; dừng xe, đỗ xe, quay đầu xe trái quy định gây ùn tắc giao thông...</w:t>
      </w:r>
    </w:p>
    <w:p w14:paraId="672E05C7"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Người điều khiển xe ô tô không chấp hành hiệu lệnh của đèn tín hiệu giao thông, đi ngược chiều sẽ bị phạt từ 18-20 triệu đồng.</w:t>
      </w:r>
    </w:p>
    <w:p w14:paraId="6BA096C1"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Người điều khiển xe mô tô, xe gắn máy đi ngược chiều, đi trên vỉa hè (trừ trường hợp điều khiển xe đi qua vỉa hè để vào nhà, cơ quan); không chấp hành hiệu lệnh của đèn tín hiệu giao thông sẽ bị phạt tiền từ 4-6 triệu đồng.</w:t>
      </w:r>
    </w:p>
    <w:p w14:paraId="0AC466CC" w14:textId="1E44CC34"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14. </w:t>
      </w:r>
      <w:r w:rsidRPr="00902D61">
        <w:rPr>
          <w:b/>
          <w:bCs/>
          <w:sz w:val="28"/>
          <w:szCs w:val="28"/>
          <w:lang w:val="vi-VN"/>
        </w:rPr>
        <w:t>Quản lý, sử dụng kinh phí thu từ xử phạt vi phạm trật tự, an toàn giao thông đường bộ</w:t>
      </w:r>
    </w:p>
    <w:p w14:paraId="2BA85D2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176/2024/NĐ-CP ngày 30/12/2024 quy định quản lý, sử dụng kinh phí thu từ xử phạt vi phạm hành chính về trật tự, an toàn giao thông đường bộ và đấu giá biển số xe sau khi nộp vào ngân sách nhà nước.</w:t>
      </w:r>
    </w:p>
    <w:p w14:paraId="750B629B"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này quy định về lập dự toán, quản lý, sử dụng, quyết toán kinh phí; nội dung chi, mức chi cho hoạt động bảo đảm trật tự, an toàn giao thông đối với kinh phí thu từ xử phạt vi phạm hành chính về trật tự, an toàn giao thông đường bộ và đấu giá biển số xe sau khi nộp vào ngân sách nhà nước.</w:t>
      </w:r>
    </w:p>
    <w:p w14:paraId="50D2DDA7"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Nghị định có hiệu lực từ ngày 1/1/2025.</w:t>
      </w:r>
    </w:p>
    <w:p w14:paraId="448E278F" w14:textId="1F4DFB12"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15. </w:t>
      </w:r>
      <w:r w:rsidRPr="00902D61">
        <w:rPr>
          <w:b/>
          <w:bCs/>
          <w:sz w:val="28"/>
          <w:szCs w:val="28"/>
          <w:lang w:val="vi-VN"/>
        </w:rPr>
        <w:t>Quy định chi tiết về tổ chức chính quyền đô thị tại TP Đà Nẵng </w:t>
      </w:r>
    </w:p>
    <w:p w14:paraId="1C907543"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Chính phủ ban hành Nghị định số 170/2024/NĐ-CP ngày 27/12/2024 quy định chi tiết về tổ chức chính quyền đô thị tại thành phố Đà Nẵng. Nghị định có hiệu lực từ ngày 1/1/2025.</w:t>
      </w:r>
    </w:p>
    <w:p w14:paraId="6CEF5CC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xml:space="preserve">Nghị định này quy định cụ thể về tổ chức hoạt động của UBND quận và chế độ trách nhiệm của Chủ tịch UBND quận; tổ chức hoạt động của UBND phường và chế độ trách nhiệm của Chủ tịch UBND phường; bầu cử, tuyển dụng, quản lý, sử dụng công chức làm việc tại UBND quận và cán bộ, công chức làm </w:t>
      </w:r>
      <w:r w:rsidRPr="00902D61">
        <w:rPr>
          <w:sz w:val="28"/>
          <w:szCs w:val="28"/>
          <w:lang w:val="vi-VN"/>
        </w:rPr>
        <w:lastRenderedPageBreak/>
        <w:t>việc tại phường, xã; lập dự toán, chấp hành và quyết toán ngân sách quận, phường trên địa bàn thành phố Đà Nẵng.</w:t>
      </w:r>
    </w:p>
    <w:p w14:paraId="35C775DE" w14:textId="2CD0D02F"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16. </w:t>
      </w:r>
      <w:r w:rsidRPr="00902D61">
        <w:rPr>
          <w:b/>
          <w:bCs/>
          <w:sz w:val="28"/>
          <w:szCs w:val="28"/>
          <w:lang w:val="vi-VN"/>
        </w:rPr>
        <w:t>Để giấy phép lái xe quá hạn 1 ngày phải thi lại lý thuyết</w:t>
      </w:r>
    </w:p>
    <w:p w14:paraId="4001A063"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Theo quy định tại Thông tư </w:t>
      </w:r>
      <w:hyperlink r:id="rId28" w:tgtFrame="_blank" w:tooltip="35/2024/TT-BGTVT" w:history="1">
        <w:r w:rsidRPr="00902D61">
          <w:rPr>
            <w:rStyle w:val="Hyperlink"/>
            <w:color w:val="auto"/>
            <w:sz w:val="28"/>
            <w:szCs w:val="28"/>
            <w:u w:val="none"/>
            <w:lang w:val="vi-VN"/>
          </w:rPr>
          <w:t>35/2024/TT-BGTVT</w:t>
        </w:r>
      </w:hyperlink>
      <w:r w:rsidRPr="00902D61">
        <w:rPr>
          <w:sz w:val="28"/>
          <w:szCs w:val="28"/>
          <w:lang w:val="vi-VN"/>
        </w:rPr>
        <w:t> ngày 15/11/2024 người có giấy phép lái xe các hạng B, C1, C, D1, D2, D, BE, C1E, CE, D1E, D2E, DE để quá thời hạn sử dụng dưới 1 năm phải sát hạch lý thuyết theo quy định để cấp giấy phép lái xe; quá hạn từ 1 năm trở lên phải sát hạch lý thuyết lẫn thực hành lái xe trong hình và trên đường để cấp lại. Như vậy, trường hợp để giấy phép lái xe quá hạn dù chỉ 1 ngày thì phải thi lại lý thuyết.</w:t>
      </w:r>
    </w:p>
    <w:p w14:paraId="1972CE88"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Quy định trên có hiệu lực từ ngày 1/1/2025.</w:t>
      </w:r>
    </w:p>
    <w:p w14:paraId="646A05B4" w14:textId="7B2CF3B3"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17. </w:t>
      </w:r>
      <w:r w:rsidRPr="00902D61">
        <w:rPr>
          <w:b/>
          <w:bCs/>
          <w:sz w:val="28"/>
          <w:szCs w:val="28"/>
          <w:lang w:val="vi-VN"/>
        </w:rPr>
        <w:t>Kiểm định khí thải xe máy </w:t>
      </w:r>
    </w:p>
    <w:p w14:paraId="5269C37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Theo quy định tại Thông tư 47/2024/TT-BCA ngày 15/11/2024 có hiệu lực từ ngày 1/1/2025, xe mô tô, xe máy dưới 5 năm được miễn kiểm định khí thải. Đối với xe mô tô, xe gắn máy có thời gian sản xuất trên 5 năm đến 12 năm, chu kỳ kiểm định khí thải định kỳ là 24 tháng. Thời gian sản xuất trên 12 năm, chu kỳ kiểm định khí thải định kỳ là 12 tháng.</w:t>
      </w:r>
    </w:p>
    <w:p w14:paraId="3E7CE72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Tuy nhiên, Đại diện Cục Đăng kiểm Việt Nam cho biết: thời gian, lộ trình thực hiện kiểm định khí thải mô tô, xe gắn máy sẽ thực hiện theo Luật Bảo vệ môi trường. Luật này do Bộ Tài nguyên và Môi trường là cơ quan chủ trì, phối hợp cùng Bộ Giao thông vận tải xây dựng, trình Chính phủ ban hành quyết định lộ trình thực hiện kiểm định khí thải định kỳ với mô tô, xe gắn máy.</w:t>
      </w:r>
    </w:p>
    <w:p w14:paraId="58BD8A9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Được biết, hiện, Bộ Tài nguyên và Môi trường chưa trình dự thảo Luật Bảo vệ môi trường (sửa đổi) lên Chính phủ. Do còn chờ quyết định về lộ trình thực hiện nên việc kiểm định khí thải mô tô, xe gắn máy chưa thực hiện ngay từ 1/1/2025.</w:t>
      </w:r>
    </w:p>
    <w:p w14:paraId="7A7B2D4E" w14:textId="0200D2DB"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18. </w:t>
      </w:r>
      <w:r w:rsidRPr="00902D61">
        <w:rPr>
          <w:b/>
          <w:bCs/>
          <w:sz w:val="28"/>
          <w:szCs w:val="28"/>
          <w:lang w:val="vi-VN"/>
        </w:rPr>
        <w:t>Người dân có thể được đăng ký xe ngoài giờ làm việc, ngày nghỉ, ngày lễ</w:t>
      </w:r>
    </w:p>
    <w:p w14:paraId="6285F0BC"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Thông tư số</w:t>
      </w:r>
      <w:hyperlink r:id="rId29" w:tgtFrame="_blank" w:tooltip=" 79/2024/TT-BCA" w:history="1">
        <w:r w:rsidRPr="00902D61">
          <w:rPr>
            <w:rStyle w:val="Hyperlink"/>
            <w:color w:val="auto"/>
            <w:sz w:val="28"/>
            <w:szCs w:val="28"/>
            <w:u w:val="none"/>
            <w:lang w:val="vi-VN"/>
          </w:rPr>
          <w:t> 79/2024/TT-BCA</w:t>
        </w:r>
      </w:hyperlink>
      <w:r w:rsidRPr="00902D61">
        <w:rPr>
          <w:sz w:val="28"/>
          <w:szCs w:val="28"/>
          <w:lang w:val="vi-VN"/>
        </w:rPr>
        <w:t> ngày 15/11/2024 quy định về cấp, thu hồi chứng nhận đăng ký xe, biển số xe cơ giới, xe máy chuyên dùng có hiệu lực từ ngày 1/1/2025.</w:t>
      </w:r>
    </w:p>
    <w:p w14:paraId="47714F9D"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Thông tư quy định Giám đốc Công an cấp tỉnh được quyết định và thông báo công khai việc tổ chức tiếp nhận đăng ký xe ngoài giờ làm việc, ngày nghỉ, ngày lễ trong trường hợp cần thiết.</w:t>
      </w:r>
    </w:p>
    <w:p w14:paraId="6108026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Đồng thời, bố trí cán bộ đăng ký xe thường xuyên kiểm tra hệ thống đăng ký, quản lý xe, tiếp nhận hồ sơ để đảm bảo giải quyết đăng ký xe đúng thời gian theo quy định.</w:t>
      </w:r>
    </w:p>
    <w:p w14:paraId="0B51882F" w14:textId="577CF84B" w:rsidR="00175DF6" w:rsidRPr="00902D61" w:rsidRDefault="00175DF6" w:rsidP="00175DF6">
      <w:pPr>
        <w:pStyle w:val="NormalWeb"/>
        <w:spacing w:before="120" w:beforeAutospacing="0" w:after="120" w:afterAutospacing="0"/>
        <w:ind w:left="567"/>
        <w:jc w:val="both"/>
        <w:rPr>
          <w:b/>
          <w:bCs/>
          <w:sz w:val="28"/>
          <w:szCs w:val="28"/>
          <w:lang w:val="vi-VN"/>
        </w:rPr>
      </w:pPr>
      <w:r w:rsidRPr="00902D61">
        <w:rPr>
          <w:b/>
          <w:bCs/>
          <w:sz w:val="28"/>
          <w:szCs w:val="28"/>
        </w:rPr>
        <w:t xml:space="preserve">19. </w:t>
      </w:r>
      <w:r w:rsidRPr="00902D61">
        <w:rPr>
          <w:b/>
          <w:bCs/>
          <w:sz w:val="28"/>
          <w:szCs w:val="28"/>
          <w:lang w:val="vi-VN"/>
        </w:rPr>
        <w:t>Tăng xét nghiệm ma túy khi khám sức khỏe lái xe từ năm 2025</w:t>
      </w:r>
    </w:p>
    <w:p w14:paraId="51E2273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xml:space="preserve">Theo Thông tư 36/2024/TT-BYT ngày 16/11/2024 của Bộ Y tế thì từ ngày 1/1/2025, khi khám sức khỏe lái xe thì bắt buộc phải xét nghiệm ma túy (xét </w:t>
      </w:r>
      <w:r w:rsidRPr="00902D61">
        <w:rPr>
          <w:sz w:val="28"/>
          <w:szCs w:val="28"/>
          <w:lang w:val="vi-VN"/>
        </w:rPr>
        <w:lastRenderedPageBreak/>
        <w:t>nghiệm sàng lọc và định tính các loại ma túy theo quy định của Bộ Y tế: Amphetamin, Marijuana, Morphin, Codein, Heroin).</w:t>
      </w:r>
    </w:p>
    <w:p w14:paraId="6C079FB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Còn hiện nay, theo Thông tư liên tịch 24/2015/TTLT-BYT-BGTVT, khi khám sức khỏe lái xe thì bắt buộc phải xét nghiệm ma túy với 04 loại: Morphin/Heroin, Amphetamin, Methamphetamin, Marijuana (cần sa).</w:t>
      </w:r>
    </w:p>
    <w:p w14:paraId="7B87A398" w14:textId="5712ECCD" w:rsidR="00175DF6" w:rsidRPr="00902D61" w:rsidRDefault="00175DF6" w:rsidP="00175DF6">
      <w:pPr>
        <w:pStyle w:val="NormalWeb"/>
        <w:spacing w:before="120" w:beforeAutospacing="0" w:after="120" w:afterAutospacing="0"/>
        <w:ind w:firstLine="567"/>
        <w:jc w:val="both"/>
        <w:rPr>
          <w:b/>
          <w:bCs/>
          <w:sz w:val="28"/>
          <w:szCs w:val="28"/>
          <w:lang w:val="vi-VN"/>
        </w:rPr>
      </w:pPr>
      <w:r w:rsidRPr="00902D61">
        <w:rPr>
          <w:b/>
          <w:bCs/>
          <w:sz w:val="28"/>
          <w:szCs w:val="28"/>
        </w:rPr>
        <w:t xml:space="preserve">20. </w:t>
      </w:r>
      <w:r w:rsidRPr="00902D61">
        <w:rPr>
          <w:b/>
          <w:bCs/>
          <w:sz w:val="28"/>
          <w:szCs w:val="28"/>
          <w:lang w:val="vi-VN"/>
        </w:rPr>
        <w:t>Thông tư hướng dẫn Chế độ kế toán hành chính, sự nghiệp có hiệu lực từ ngày 01/01/2025</w:t>
      </w:r>
    </w:p>
    <w:p w14:paraId="1D9BF65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Thông tư 24/2024/TT-BTC ngày 17/4/2024 hướng dẫn Chế độ kế toán hành chính, sự nghiệp thay thế Thông tư 107/2017/TT-BTC, sẽ có hiệu lực từ ngày 01/01/20205.</w:t>
      </w:r>
    </w:p>
    <w:p w14:paraId="0345D4F4"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Thông tư 24/2024/TT-BTC hướng dẫn kế toán áp dụng cho các đơn vị kế toán, bao gồm:</w:t>
      </w:r>
    </w:p>
    <w:p w14:paraId="29073F5A"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Cơ quan nhà nước (trừ Ủy ban nhân dân xã, phường, thị trấn sử dụng ngân sách cấp xã);</w:t>
      </w:r>
    </w:p>
    <w:p w14:paraId="161627B5"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Đơn vị sự nghiệp công lập (trừ các đơn vị sự nghiệp công lập tự đảm bảo chi thường xuyên và chi đầu tư được cơ quan có thẩm quyền cho phép áp dụng chế độ kế toán doanh nghiệp; tuy nhiên trường hợp các đơn vị này được bố trí dự toán ngân sách nhà nước từ nguồn kinh phí trong nước, tiếp nhận kinh phí viện trợ không hoàn lại của nước ngoài thuộc nguồn thu của ngân sách nhà nước, tiếp nhận kinh phí vay nợ nước ngoài theo dự án, có phát sinh kinh phí từ nguồn phí được khấu trừ, để lại theo pháp luật phí, lệ phí, thì phải lập báo cáo quyết toán kinh phí hoạt động quy định tại Phụ lục III kèm theo Thông tư 24/2024/TT-BTC);</w:t>
      </w:r>
    </w:p>
    <w:p w14:paraId="6AFE0439" w14:textId="77777777" w:rsidR="00175DF6" w:rsidRPr="00902D61" w:rsidRDefault="00175DF6" w:rsidP="00175DF6">
      <w:pPr>
        <w:pStyle w:val="NormalWeb"/>
        <w:spacing w:before="120" w:beforeAutospacing="0" w:after="120" w:afterAutospacing="0"/>
        <w:ind w:firstLine="567"/>
        <w:jc w:val="both"/>
        <w:rPr>
          <w:sz w:val="28"/>
          <w:szCs w:val="28"/>
          <w:lang w:val="vi-VN"/>
        </w:rPr>
      </w:pPr>
      <w:r w:rsidRPr="00902D61">
        <w:rPr>
          <w:sz w:val="28"/>
          <w:szCs w:val="28"/>
          <w:lang w:val="vi-VN"/>
        </w:rPr>
        <w:t>- Tổ chức chính trị; tổ chức chính trị - xã hội; Mặt trận Tổ quốc Việt Nam và tổ chức, cơ quan, đơn vị khác là đơn vị sử dụng ngân sách nhà nước;</w:t>
      </w:r>
    </w:p>
    <w:p w14:paraId="1FE2C149" w14:textId="2AAE0018" w:rsidR="00175DF6" w:rsidRPr="00902D61" w:rsidRDefault="00175DF6" w:rsidP="00175DF6">
      <w:pPr>
        <w:pStyle w:val="NormalWeb"/>
        <w:spacing w:before="120" w:beforeAutospacing="0" w:after="120" w:afterAutospacing="0"/>
        <w:ind w:firstLine="567"/>
        <w:jc w:val="both"/>
        <w:rPr>
          <w:sz w:val="28"/>
          <w:szCs w:val="28"/>
        </w:rPr>
      </w:pPr>
      <w:r w:rsidRPr="00902D61">
        <w:rPr>
          <w:sz w:val="28"/>
          <w:szCs w:val="28"/>
          <w:lang w:val="vi-VN"/>
        </w:rPr>
        <w:t>- Tổ chức, cơ quan, đơn vị thực hiện cơ chế tài chính của đơn vị sự nghiệp công lập.</w:t>
      </w:r>
    </w:p>
    <w:p w14:paraId="36EEFCDC" w14:textId="3B4D3316" w:rsidR="008501F4" w:rsidRPr="00902D61" w:rsidRDefault="008501F4" w:rsidP="008501F4">
      <w:pPr>
        <w:shd w:val="clear" w:color="auto" w:fill="FFFFFF"/>
        <w:spacing w:before="120" w:after="120" w:line="240" w:lineRule="auto"/>
        <w:ind w:firstLine="709"/>
        <w:jc w:val="right"/>
        <w:outlineLvl w:val="2"/>
        <w:rPr>
          <w:rFonts w:cs="Times New Roman"/>
          <w:b/>
          <w:bCs/>
          <w:szCs w:val="28"/>
        </w:rPr>
      </w:pPr>
      <w:r w:rsidRPr="00902D61">
        <w:rPr>
          <w:rFonts w:cs="Times New Roman"/>
          <w:b/>
          <w:szCs w:val="28"/>
        </w:rPr>
        <w:t xml:space="preserve">Tài liệu HĐ PHPBGDPl huyện Kiến Thụy – Tháng </w:t>
      </w:r>
      <w:r w:rsidR="0036250F" w:rsidRPr="00902D61">
        <w:rPr>
          <w:rFonts w:cs="Times New Roman"/>
          <w:b/>
          <w:szCs w:val="28"/>
        </w:rPr>
        <w:t>01.2025</w:t>
      </w:r>
    </w:p>
    <w:p w14:paraId="759FC36A" w14:textId="77777777" w:rsidR="00287305" w:rsidRPr="00902D61" w:rsidRDefault="00287305" w:rsidP="008501F4">
      <w:pPr>
        <w:shd w:val="clear" w:color="auto" w:fill="FFFFFF"/>
        <w:spacing w:before="120" w:after="120" w:line="240" w:lineRule="auto"/>
        <w:ind w:firstLine="709"/>
        <w:jc w:val="right"/>
        <w:outlineLvl w:val="2"/>
        <w:rPr>
          <w:rFonts w:cs="Times New Roman"/>
          <w:szCs w:val="28"/>
        </w:rPr>
      </w:pPr>
    </w:p>
    <w:sectPr w:rsidR="00287305" w:rsidRPr="00902D61"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94A7C"/>
    <w:multiLevelType w:val="hybridMultilevel"/>
    <w:tmpl w:val="6D523B46"/>
    <w:lvl w:ilvl="0" w:tplc="BAA24A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2DC239FC"/>
    <w:multiLevelType w:val="hybridMultilevel"/>
    <w:tmpl w:val="338C04A8"/>
    <w:lvl w:ilvl="0" w:tplc="2F3C86A0">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37EF1858"/>
    <w:multiLevelType w:val="hybridMultilevel"/>
    <w:tmpl w:val="23C47744"/>
    <w:lvl w:ilvl="0" w:tplc="D84A3BB6">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668E324B"/>
    <w:multiLevelType w:val="hybridMultilevel"/>
    <w:tmpl w:val="D5A0046C"/>
    <w:lvl w:ilvl="0" w:tplc="C0A053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5691820">
    <w:abstractNumId w:val="3"/>
  </w:num>
  <w:num w:numId="2" w16cid:durableId="221448880">
    <w:abstractNumId w:val="1"/>
  </w:num>
  <w:num w:numId="3" w16cid:durableId="1579364160">
    <w:abstractNumId w:val="0"/>
  </w:num>
  <w:num w:numId="4" w16cid:durableId="116755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AF"/>
    <w:rsid w:val="00126BC7"/>
    <w:rsid w:val="00170E90"/>
    <w:rsid w:val="00175DF6"/>
    <w:rsid w:val="00241601"/>
    <w:rsid w:val="00247238"/>
    <w:rsid w:val="00250185"/>
    <w:rsid w:val="00287305"/>
    <w:rsid w:val="0036250F"/>
    <w:rsid w:val="00386F2A"/>
    <w:rsid w:val="004F0340"/>
    <w:rsid w:val="004F63EF"/>
    <w:rsid w:val="00690F52"/>
    <w:rsid w:val="006B2BD1"/>
    <w:rsid w:val="00703079"/>
    <w:rsid w:val="007A25AE"/>
    <w:rsid w:val="008501F4"/>
    <w:rsid w:val="00902D61"/>
    <w:rsid w:val="009070D3"/>
    <w:rsid w:val="009D7FAF"/>
    <w:rsid w:val="00A34023"/>
    <w:rsid w:val="00B835B1"/>
    <w:rsid w:val="00C57165"/>
    <w:rsid w:val="00C60DDC"/>
    <w:rsid w:val="00CB0D2F"/>
    <w:rsid w:val="00D52132"/>
    <w:rsid w:val="00EC5C48"/>
    <w:rsid w:val="00F10D69"/>
    <w:rsid w:val="00F11811"/>
    <w:rsid w:val="00F1190D"/>
    <w:rsid w:val="00FA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92FE"/>
  <w15:docId w15:val="{B2F5DA33-6BC6-4A6C-BD8F-44B427C9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7FA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D7FA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3625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FAF"/>
    <w:rPr>
      <w:rFonts w:eastAsia="Times New Roman" w:cs="Times New Roman"/>
      <w:b/>
      <w:bCs/>
      <w:sz w:val="36"/>
      <w:szCs w:val="36"/>
    </w:rPr>
  </w:style>
  <w:style w:type="character" w:customStyle="1" w:styleId="Heading3Char">
    <w:name w:val="Heading 3 Char"/>
    <w:basedOn w:val="DefaultParagraphFont"/>
    <w:link w:val="Heading3"/>
    <w:uiPriority w:val="9"/>
    <w:rsid w:val="009D7FAF"/>
    <w:rPr>
      <w:rFonts w:eastAsia="Times New Roman" w:cs="Times New Roman"/>
      <w:b/>
      <w:bCs/>
      <w:sz w:val="27"/>
      <w:szCs w:val="27"/>
    </w:rPr>
  </w:style>
  <w:style w:type="paragraph" w:styleId="NormalWeb">
    <w:name w:val="Normal (Web)"/>
    <w:basedOn w:val="Normal"/>
    <w:uiPriority w:val="99"/>
    <w:unhideWhenUsed/>
    <w:rsid w:val="009D7FA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9D7FAF"/>
    <w:rPr>
      <w:color w:val="0000FF"/>
      <w:u w:val="single"/>
    </w:rPr>
  </w:style>
  <w:style w:type="paragraph" w:styleId="ListParagraph">
    <w:name w:val="List Paragraph"/>
    <w:basedOn w:val="Normal"/>
    <w:uiPriority w:val="34"/>
    <w:qFormat/>
    <w:rsid w:val="00F10D69"/>
    <w:pPr>
      <w:ind w:left="720"/>
      <w:contextualSpacing/>
    </w:pPr>
  </w:style>
  <w:style w:type="character" w:styleId="Strong">
    <w:name w:val="Strong"/>
    <w:basedOn w:val="DefaultParagraphFont"/>
    <w:uiPriority w:val="22"/>
    <w:qFormat/>
    <w:rsid w:val="00F11811"/>
    <w:rPr>
      <w:b/>
      <w:bCs/>
    </w:rPr>
  </w:style>
  <w:style w:type="character" w:styleId="Emphasis">
    <w:name w:val="Emphasis"/>
    <w:basedOn w:val="DefaultParagraphFont"/>
    <w:uiPriority w:val="20"/>
    <w:qFormat/>
    <w:rsid w:val="00F11811"/>
    <w:rPr>
      <w:i/>
      <w:iCs/>
    </w:rPr>
  </w:style>
  <w:style w:type="character" w:customStyle="1" w:styleId="Heading4Char">
    <w:name w:val="Heading 4 Char"/>
    <w:basedOn w:val="DefaultParagraphFont"/>
    <w:link w:val="Heading4"/>
    <w:uiPriority w:val="9"/>
    <w:semiHidden/>
    <w:rsid w:val="0036250F"/>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7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0186">
      <w:bodyDiv w:val="1"/>
      <w:marLeft w:val="0"/>
      <w:marRight w:val="0"/>
      <w:marTop w:val="0"/>
      <w:marBottom w:val="0"/>
      <w:divBdr>
        <w:top w:val="none" w:sz="0" w:space="0" w:color="auto"/>
        <w:left w:val="none" w:sz="0" w:space="0" w:color="auto"/>
        <w:bottom w:val="none" w:sz="0" w:space="0" w:color="auto"/>
        <w:right w:val="none" w:sz="0" w:space="0" w:color="auto"/>
      </w:divBdr>
    </w:div>
    <w:div w:id="118300495">
      <w:bodyDiv w:val="1"/>
      <w:marLeft w:val="0"/>
      <w:marRight w:val="0"/>
      <w:marTop w:val="0"/>
      <w:marBottom w:val="0"/>
      <w:divBdr>
        <w:top w:val="none" w:sz="0" w:space="0" w:color="auto"/>
        <w:left w:val="none" w:sz="0" w:space="0" w:color="auto"/>
        <w:bottom w:val="none" w:sz="0" w:space="0" w:color="auto"/>
        <w:right w:val="none" w:sz="0" w:space="0" w:color="auto"/>
      </w:divBdr>
    </w:div>
    <w:div w:id="190798873">
      <w:bodyDiv w:val="1"/>
      <w:marLeft w:val="0"/>
      <w:marRight w:val="0"/>
      <w:marTop w:val="0"/>
      <w:marBottom w:val="0"/>
      <w:divBdr>
        <w:top w:val="none" w:sz="0" w:space="0" w:color="auto"/>
        <w:left w:val="none" w:sz="0" w:space="0" w:color="auto"/>
        <w:bottom w:val="none" w:sz="0" w:space="0" w:color="auto"/>
        <w:right w:val="none" w:sz="0" w:space="0" w:color="auto"/>
      </w:divBdr>
    </w:div>
    <w:div w:id="200284767">
      <w:bodyDiv w:val="1"/>
      <w:marLeft w:val="0"/>
      <w:marRight w:val="0"/>
      <w:marTop w:val="0"/>
      <w:marBottom w:val="0"/>
      <w:divBdr>
        <w:top w:val="none" w:sz="0" w:space="0" w:color="auto"/>
        <w:left w:val="none" w:sz="0" w:space="0" w:color="auto"/>
        <w:bottom w:val="none" w:sz="0" w:space="0" w:color="auto"/>
        <w:right w:val="none" w:sz="0" w:space="0" w:color="auto"/>
      </w:divBdr>
    </w:div>
    <w:div w:id="227768233">
      <w:bodyDiv w:val="1"/>
      <w:marLeft w:val="0"/>
      <w:marRight w:val="0"/>
      <w:marTop w:val="0"/>
      <w:marBottom w:val="0"/>
      <w:divBdr>
        <w:top w:val="none" w:sz="0" w:space="0" w:color="auto"/>
        <w:left w:val="none" w:sz="0" w:space="0" w:color="auto"/>
        <w:bottom w:val="none" w:sz="0" w:space="0" w:color="auto"/>
        <w:right w:val="none" w:sz="0" w:space="0" w:color="auto"/>
      </w:divBdr>
    </w:div>
    <w:div w:id="305284492">
      <w:bodyDiv w:val="1"/>
      <w:marLeft w:val="0"/>
      <w:marRight w:val="0"/>
      <w:marTop w:val="0"/>
      <w:marBottom w:val="0"/>
      <w:divBdr>
        <w:top w:val="none" w:sz="0" w:space="0" w:color="auto"/>
        <w:left w:val="none" w:sz="0" w:space="0" w:color="auto"/>
        <w:bottom w:val="none" w:sz="0" w:space="0" w:color="auto"/>
        <w:right w:val="none" w:sz="0" w:space="0" w:color="auto"/>
      </w:divBdr>
    </w:div>
    <w:div w:id="488331298">
      <w:bodyDiv w:val="1"/>
      <w:marLeft w:val="0"/>
      <w:marRight w:val="0"/>
      <w:marTop w:val="0"/>
      <w:marBottom w:val="0"/>
      <w:divBdr>
        <w:top w:val="none" w:sz="0" w:space="0" w:color="auto"/>
        <w:left w:val="none" w:sz="0" w:space="0" w:color="auto"/>
        <w:bottom w:val="none" w:sz="0" w:space="0" w:color="auto"/>
        <w:right w:val="none" w:sz="0" w:space="0" w:color="auto"/>
      </w:divBdr>
    </w:div>
    <w:div w:id="666521121">
      <w:bodyDiv w:val="1"/>
      <w:marLeft w:val="0"/>
      <w:marRight w:val="0"/>
      <w:marTop w:val="0"/>
      <w:marBottom w:val="0"/>
      <w:divBdr>
        <w:top w:val="none" w:sz="0" w:space="0" w:color="auto"/>
        <w:left w:val="none" w:sz="0" w:space="0" w:color="auto"/>
        <w:bottom w:val="none" w:sz="0" w:space="0" w:color="auto"/>
        <w:right w:val="none" w:sz="0" w:space="0" w:color="auto"/>
      </w:divBdr>
    </w:div>
    <w:div w:id="803082997">
      <w:bodyDiv w:val="1"/>
      <w:marLeft w:val="0"/>
      <w:marRight w:val="0"/>
      <w:marTop w:val="0"/>
      <w:marBottom w:val="0"/>
      <w:divBdr>
        <w:top w:val="none" w:sz="0" w:space="0" w:color="auto"/>
        <w:left w:val="none" w:sz="0" w:space="0" w:color="auto"/>
        <w:bottom w:val="none" w:sz="0" w:space="0" w:color="auto"/>
        <w:right w:val="none" w:sz="0" w:space="0" w:color="auto"/>
      </w:divBdr>
    </w:div>
    <w:div w:id="920985969">
      <w:bodyDiv w:val="1"/>
      <w:marLeft w:val="0"/>
      <w:marRight w:val="0"/>
      <w:marTop w:val="0"/>
      <w:marBottom w:val="0"/>
      <w:divBdr>
        <w:top w:val="none" w:sz="0" w:space="0" w:color="auto"/>
        <w:left w:val="none" w:sz="0" w:space="0" w:color="auto"/>
        <w:bottom w:val="none" w:sz="0" w:space="0" w:color="auto"/>
        <w:right w:val="none" w:sz="0" w:space="0" w:color="auto"/>
      </w:divBdr>
    </w:div>
    <w:div w:id="988360419">
      <w:bodyDiv w:val="1"/>
      <w:marLeft w:val="0"/>
      <w:marRight w:val="0"/>
      <w:marTop w:val="0"/>
      <w:marBottom w:val="0"/>
      <w:divBdr>
        <w:top w:val="none" w:sz="0" w:space="0" w:color="auto"/>
        <w:left w:val="none" w:sz="0" w:space="0" w:color="auto"/>
        <w:bottom w:val="none" w:sz="0" w:space="0" w:color="auto"/>
        <w:right w:val="none" w:sz="0" w:space="0" w:color="auto"/>
      </w:divBdr>
    </w:div>
    <w:div w:id="1119569453">
      <w:bodyDiv w:val="1"/>
      <w:marLeft w:val="0"/>
      <w:marRight w:val="0"/>
      <w:marTop w:val="0"/>
      <w:marBottom w:val="0"/>
      <w:divBdr>
        <w:top w:val="none" w:sz="0" w:space="0" w:color="auto"/>
        <w:left w:val="none" w:sz="0" w:space="0" w:color="auto"/>
        <w:bottom w:val="none" w:sz="0" w:space="0" w:color="auto"/>
        <w:right w:val="none" w:sz="0" w:space="0" w:color="auto"/>
      </w:divBdr>
    </w:div>
    <w:div w:id="1374034565">
      <w:bodyDiv w:val="1"/>
      <w:marLeft w:val="0"/>
      <w:marRight w:val="0"/>
      <w:marTop w:val="0"/>
      <w:marBottom w:val="0"/>
      <w:divBdr>
        <w:top w:val="none" w:sz="0" w:space="0" w:color="auto"/>
        <w:left w:val="none" w:sz="0" w:space="0" w:color="auto"/>
        <w:bottom w:val="none" w:sz="0" w:space="0" w:color="auto"/>
        <w:right w:val="none" w:sz="0" w:space="0" w:color="auto"/>
      </w:divBdr>
    </w:div>
    <w:div w:id="1570187600">
      <w:bodyDiv w:val="1"/>
      <w:marLeft w:val="0"/>
      <w:marRight w:val="0"/>
      <w:marTop w:val="0"/>
      <w:marBottom w:val="0"/>
      <w:divBdr>
        <w:top w:val="none" w:sz="0" w:space="0" w:color="auto"/>
        <w:left w:val="none" w:sz="0" w:space="0" w:color="auto"/>
        <w:bottom w:val="none" w:sz="0" w:space="0" w:color="auto"/>
        <w:right w:val="none" w:sz="0" w:space="0" w:color="auto"/>
      </w:divBdr>
    </w:div>
    <w:div w:id="1605305299">
      <w:bodyDiv w:val="1"/>
      <w:marLeft w:val="0"/>
      <w:marRight w:val="0"/>
      <w:marTop w:val="0"/>
      <w:marBottom w:val="0"/>
      <w:divBdr>
        <w:top w:val="none" w:sz="0" w:space="0" w:color="auto"/>
        <w:left w:val="none" w:sz="0" w:space="0" w:color="auto"/>
        <w:bottom w:val="none" w:sz="0" w:space="0" w:color="auto"/>
        <w:right w:val="none" w:sz="0" w:space="0" w:color="auto"/>
      </w:divBdr>
    </w:div>
    <w:div w:id="1968703006">
      <w:bodyDiv w:val="1"/>
      <w:marLeft w:val="0"/>
      <w:marRight w:val="0"/>
      <w:marTop w:val="0"/>
      <w:marBottom w:val="0"/>
      <w:divBdr>
        <w:top w:val="none" w:sz="0" w:space="0" w:color="auto"/>
        <w:left w:val="none" w:sz="0" w:space="0" w:color="auto"/>
        <w:bottom w:val="none" w:sz="0" w:space="0" w:color="auto"/>
        <w:right w:val="none" w:sz="0" w:space="0" w:color="auto"/>
      </w:divBdr>
    </w:div>
    <w:div w:id="1978681165">
      <w:bodyDiv w:val="1"/>
      <w:marLeft w:val="0"/>
      <w:marRight w:val="0"/>
      <w:marTop w:val="0"/>
      <w:marBottom w:val="0"/>
      <w:divBdr>
        <w:top w:val="none" w:sz="0" w:space="0" w:color="auto"/>
        <w:left w:val="none" w:sz="0" w:space="0" w:color="auto"/>
        <w:bottom w:val="none" w:sz="0" w:space="0" w:color="auto"/>
        <w:right w:val="none" w:sz="0" w:space="0" w:color="auto"/>
      </w:divBdr>
    </w:div>
    <w:div w:id="21211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hphu.vn/?pageid=27160&amp;docid=211192&amp;classid=1&amp;orggroupid=1" TargetMode="External"/><Relationship Id="rId13" Type="http://schemas.openxmlformats.org/officeDocument/2006/relationships/hyperlink" Target="https://thuvienphapluat.vn/van-ban/Thue-Phi-Le-Phi/Luat-sua-doi-Luat-Chung-khoan-Ke-toan-Ngan-sach-Nha-nuoc-Thue-thu-nhap-ca-nhan-2024-622318.aspx" TargetMode="External"/><Relationship Id="rId18" Type="http://schemas.openxmlformats.org/officeDocument/2006/relationships/hyperlink" Target="https://vanban.chinhphu.vn/?pageid=27160&amp;docid=211636" TargetMode="External"/><Relationship Id="rId26" Type="http://schemas.openxmlformats.org/officeDocument/2006/relationships/hyperlink" Target="https://vanban.chinhphu.vn/?pageid=27160&amp;docid=212126" TargetMode="External"/><Relationship Id="rId3" Type="http://schemas.openxmlformats.org/officeDocument/2006/relationships/settings" Target="settings.xml"/><Relationship Id="rId21" Type="http://schemas.openxmlformats.org/officeDocument/2006/relationships/hyperlink" Target="https://vanban.chinhphu.vn/?pageid=27160&amp;docid=211739" TargetMode="External"/><Relationship Id="rId7" Type="http://schemas.openxmlformats.org/officeDocument/2006/relationships/hyperlink" Target="https://chinhphu.vn/?pageid=27160&amp;docid=211197&amp;classid=1&amp;orggroupid=1" TargetMode="External"/><Relationship Id="rId12" Type="http://schemas.openxmlformats.org/officeDocument/2006/relationships/hyperlink" Target="https://thuvienphapluat.vn/van-ban/Thue-Phi-Le-Phi/Luat-sua-doi-Luat-Chung-khoan-Ke-toan-Ngan-sach-Nha-nuoc-Thue-thu-nhap-ca-nhan-2024-622318.aspx" TargetMode="External"/><Relationship Id="rId17" Type="http://schemas.openxmlformats.org/officeDocument/2006/relationships/hyperlink" Target="https://vanban.chinhphu.vn/?pageid=27160&amp;docid=211619" TargetMode="External"/><Relationship Id="rId25" Type="http://schemas.openxmlformats.org/officeDocument/2006/relationships/hyperlink" Target="https://vanban.chinhphu.vn/?pageid=27160&amp;docid=212082" TargetMode="External"/><Relationship Id="rId2" Type="http://schemas.openxmlformats.org/officeDocument/2006/relationships/styles" Target="styles.xml"/><Relationship Id="rId16" Type="http://schemas.openxmlformats.org/officeDocument/2006/relationships/hyperlink" Target="https://vanban.chinhphu.vn/?pageid=27160&amp;docid=211557" TargetMode="External"/><Relationship Id="rId20" Type="http://schemas.openxmlformats.org/officeDocument/2006/relationships/hyperlink" Target="https://vanban.chinhphu.vn/?pageid=27160&amp;docid=211956" TargetMode="External"/><Relationship Id="rId29" Type="http://schemas.openxmlformats.org/officeDocument/2006/relationships/hyperlink" Target="https://chinhphu.vn/?pageid=27160&amp;docid=211945&amp;classid=1&amp;orggroupid=4" TargetMode="External"/><Relationship Id="rId1" Type="http://schemas.openxmlformats.org/officeDocument/2006/relationships/numbering" Target="numbering.xml"/><Relationship Id="rId6" Type="http://schemas.openxmlformats.org/officeDocument/2006/relationships/hyperlink" Target="https://chinhphu.vn/?pageid=27160&amp;docid=211195&amp;classid=1&amp;orggroupid=1" TargetMode="External"/><Relationship Id="rId11" Type="http://schemas.openxmlformats.org/officeDocument/2006/relationships/hyperlink" Target="https://chinhphu.vn/?pageid=27160&amp;docid=209630&amp;classid=1&amp;typegroupid=3" TargetMode="External"/><Relationship Id="rId24" Type="http://schemas.openxmlformats.org/officeDocument/2006/relationships/hyperlink" Target="https://vanban.chinhphu.vn/?pageid=27160&amp;docid=211979" TargetMode="External"/><Relationship Id="rId5" Type="http://schemas.openxmlformats.org/officeDocument/2006/relationships/hyperlink" Target="https://chinhphu.vn/?pageid=27160&amp;docid=211194&amp;classid=1&amp;orggroupid=1" TargetMode="External"/><Relationship Id="rId15" Type="http://schemas.openxmlformats.org/officeDocument/2006/relationships/hyperlink" Target="https://thuvienphapluat.vn/van-ban/Dau-tu/Luat-Dau-tu-cong-2019-362113.aspx" TargetMode="External"/><Relationship Id="rId23" Type="http://schemas.openxmlformats.org/officeDocument/2006/relationships/hyperlink" Target="https://vanban.chinhphu.vn/?pageid=27160&amp;docid=211821" TargetMode="External"/><Relationship Id="rId28" Type="http://schemas.openxmlformats.org/officeDocument/2006/relationships/hyperlink" Target="https://vanban.chinhphu.vn/?pageid=27160&amp;docid=211984" TargetMode="External"/><Relationship Id="rId10" Type="http://schemas.openxmlformats.org/officeDocument/2006/relationships/hyperlink" Target="https://chinhphu.vn/?pageid=27160&amp;docid=211200&amp;classid=1&amp;typegroupid=3" TargetMode="External"/><Relationship Id="rId19" Type="http://schemas.openxmlformats.org/officeDocument/2006/relationships/hyperlink" Target="https://vanban.chinhphu.vn/?pageid=27160&amp;docid=21174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inhphu.vn/?pageid=27160&amp;docid=211198&amp;classid=1&amp;orggroupid=1" TargetMode="External"/><Relationship Id="rId14" Type="http://schemas.openxmlformats.org/officeDocument/2006/relationships/hyperlink" Target="https://thuvienphapluat.vn/van-ban/Dau-tu/Luat-Dau-tu-cong-2024-so-58-2024-QH15-621645.aspx" TargetMode="External"/><Relationship Id="rId22" Type="http://schemas.openxmlformats.org/officeDocument/2006/relationships/hyperlink" Target="https://vanban.chinhphu.vn/?pageid=27160&amp;docid=211782" TargetMode="External"/><Relationship Id="rId27" Type="http://schemas.openxmlformats.org/officeDocument/2006/relationships/hyperlink" Target="https://chinhphu.vn/?pageid=27160&amp;docid=211197&amp;classid=1&amp;orggroupid=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3942</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2025-01-08T04:02:00Z</dcterms:created>
  <dcterms:modified xsi:type="dcterms:W3CDTF">2025-01-08T04:57:00Z</dcterms:modified>
</cp:coreProperties>
</file>