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jc w:val="center"/>
        <w:rPr>
          <w:b/>
        </w:rPr>
      </w:pPr>
      <w:r>
        <w:rPr>
          <w:b/>
        </w:rPr>
        <w:t>Phụ lục</w:t>
      </w:r>
    </w:p>
    <w:p>
      <w:pPr>
        <w:spacing w:before="0" w:after="0"/>
        <w:jc w:val="center"/>
        <w:rPr>
          <w:b/>
        </w:rPr>
      </w:pPr>
      <w:r>
        <w:rPr>
          <w:b/>
        </w:rPr>
        <w:t xml:space="preserve">BẢN ĐĂNG KÝ THAM GIA CÁC NỘI DUNG </w:t>
      </w:r>
    </w:p>
    <w:p>
      <w:pPr>
        <w:spacing w:before="0" w:after="0"/>
        <w:jc w:val="center"/>
        <w:rPr>
          <w:b/>
        </w:rPr>
      </w:pPr>
      <w:r>
        <w:rPr>
          <w:b/>
        </w:rPr>
        <w:t>KẾ HOẠCH SỐ</w:t>
      </w:r>
      <w:r>
        <w:rPr>
          <w:b/>
          <w:spacing w:val="-2"/>
        </w:rPr>
        <w:t xml:space="preserve"> 104/KH-UBND NGÀY 13/4/2026</w:t>
      </w:r>
    </w:p>
    <w:p>
      <w:pPr>
        <w:spacing w:before="0" w:after="0"/>
        <w:jc w:val="center"/>
        <w:rPr>
          <w:i/>
        </w:rPr>
      </w:pPr>
      <w:r>
        <w:rPr>
          <w:i/>
        </w:rPr>
        <w:t xml:space="preserve">(Kèm theo Công văn số            /SNNMT-CLCBTT ngày       /9/2026 </w:t>
      </w:r>
    </w:p>
    <w:p>
      <w:pPr>
        <w:spacing w:before="0" w:after="0"/>
        <w:jc w:val="center"/>
        <w:rPr>
          <w:i/>
        </w:rPr>
      </w:pPr>
      <w:r>
        <w:rPr>
          <w:i/>
        </w:rPr>
        <w:t>của Sở Nông nghiệp và Môi trường)</w:t>
      </w:r>
    </w:p>
    <w:p>
      <w:pPr>
        <w:spacing w:before="0" w:after="120"/>
        <w:jc w:val="center"/>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2014855</wp:posOffset>
                </wp:positionH>
                <wp:positionV relativeFrom="paragraph">
                  <wp:posOffset>10160</wp:posOffset>
                </wp:positionV>
                <wp:extent cx="1666875" cy="9525"/>
                <wp:effectExtent l="0" t="0" r="28575" b="28575"/>
                <wp:wrapNone/>
                <wp:docPr id="1" name="Straight Connector 1"/>
                <wp:cNvGraphicFramePr/>
                <a:graphic xmlns:a="http://schemas.openxmlformats.org/drawingml/2006/main">
                  <a:graphicData uri="http://schemas.microsoft.com/office/word/2010/wordprocessingShape">
                    <wps:wsp>
                      <wps:cNvCnPr/>
                      <wps:spPr>
                        <a:xfrm>
                          <a:off x="0" y="0"/>
                          <a:ext cx="16668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8.65pt,.8pt" to="289.9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" strokecolor="#4579b8 [3044]"/>
            </w:pict>
          </mc:Fallback>
        </mc:AlternateContent>
      </w:r>
    </w:p>
    <w:p>
      <w:pPr>
        <w:spacing w:before="0" w:after="0"/>
        <w:rPr>
          <w:b/>
        </w:rPr>
      </w:pPr>
      <w:r>
        <w:rPr>
          <w:b/>
        </w:rPr>
        <w:t xml:space="preserve">I. </w:t>
      </w:r>
      <w:r>
        <w:rPr>
          <w:b/>
          <w:spacing w:val="2"/>
          <w:shd w:val="clear" w:color="auto" w:fill="FFFFFF"/>
        </w:rPr>
        <w:t>THÔNG TIN ĐƠN VỊ ĐĂNG KÝ THAM GIA</w:t>
      </w:r>
    </w:p>
    <w:p>
      <w:pPr>
        <w:spacing w:before="0" w:after="0"/>
      </w:pPr>
      <w:r>
        <w:t>- Tên đơn vị:………………………………………………………………………</w:t>
      </w:r>
    </w:p>
    <w:p>
      <w:pPr>
        <w:spacing w:before="0" w:after="0"/>
      </w:pPr>
      <w:r>
        <w:t>- Địa chỉ:……………………………………………………………………..……</w:t>
      </w:r>
    </w:p>
    <w:p>
      <w:pPr>
        <w:spacing w:before="0" w:after="0"/>
      </w:pPr>
      <w:r>
        <w:t>- Người đại diện ……………..chức vụ …………….... ĐT…………...………….</w:t>
      </w:r>
    </w:p>
    <w:p>
      <w:pPr>
        <w:spacing w:before="0" w:after="0"/>
      </w:pPr>
      <w:r>
        <w:t>- Đầu mối liên hệ …………....chức vụ ………………. ĐT……………………...</w:t>
      </w:r>
    </w:p>
    <w:p>
      <w:pPr>
        <w:rPr>
          <w:b/>
          <w:spacing w:val="2"/>
          <w:shd w:val="clear" w:color="auto" w:fill="FFFFFF"/>
        </w:rPr>
      </w:pPr>
      <w:r>
        <w:rPr>
          <w:b/>
          <w:spacing w:val="2"/>
          <w:shd w:val="clear" w:color="auto" w:fill="FFFFFF"/>
        </w:rPr>
        <w:t xml:space="preserve">II. CÁC NỘI DUNG ĐĂNG KÝ THAM GIA </w:t>
      </w:r>
    </w:p>
    <w:p>
      <w:pPr>
        <w:rPr>
          <w:b/>
          <w:spacing w:val="2"/>
          <w:shd w:val="clear" w:color="auto" w:fill="FFFFFF"/>
        </w:rPr>
      </w:pPr>
      <w:r>
        <w:rPr>
          <w:b/>
          <w:spacing w:val="2"/>
          <w:shd w:val="clear" w:color="auto" w:fill="FFFFFF"/>
        </w:rPr>
        <w:t xml:space="preserve">1. Tham gia gian hàng trưng bày giới thiệu sản phẩm theo </w:t>
      </w:r>
      <w:r>
        <w:rPr>
          <w:b/>
        </w:rPr>
        <w:t>Kế hoạch 104/KH-UBND (Đề nghị Sở Nông nghiệp và Môi trường giới thiệu và đăng ký tham gia)</w:t>
      </w:r>
    </w:p>
    <w:p>
      <w:pPr>
        <w:spacing w:before="120" w:after="120"/>
        <w:rPr>
          <w:spacing w:val="-6"/>
        </w:rPr>
      </w:pPr>
      <w:r>
        <w:rPr>
          <w:spacing w:val="-6"/>
          <w:shd w:val="clear" w:color="auto" w:fill="FFFFFF"/>
        </w:rPr>
        <w:t xml:space="preserve">1.1. Số lượng: ………. gian hàng </w:t>
      </w:r>
      <w:r>
        <w:rPr>
          <w:spacing w:val="-6"/>
        </w:rPr>
        <w:t>(m</w:t>
      </w:r>
      <w:r>
        <w:rPr>
          <w:spacing w:val="-6"/>
          <w:lang w:val="vi-VN"/>
        </w:rPr>
        <w:t>ỗi tỉnh, thành tham gia: 02 gian hàng</w:t>
      </w:r>
      <w:r>
        <w:rPr>
          <w:spacing w:val="-6"/>
        </w:rPr>
        <w:t>)</w:t>
      </w:r>
    </w:p>
    <w:p>
      <w:pPr>
        <w:rPr>
          <w:i/>
          <w:spacing w:val="2"/>
          <w:shd w:val="clear" w:color="auto" w:fill="FFFFFF"/>
        </w:rPr>
      </w:pPr>
      <w:r>
        <w:rPr>
          <w:i/>
        </w:rPr>
        <w:t>(Quy cách gian hàng: Gian hàng tiêu chuẩn).</w:t>
      </w:r>
    </w:p>
    <w:p>
      <w:pPr>
        <w:rPr>
          <w:spacing w:val="2"/>
          <w:shd w:val="clear" w:color="auto" w:fill="FFFFFF"/>
        </w:rPr>
      </w:pPr>
      <w:r>
        <w:rPr>
          <w:spacing w:val="2"/>
          <w:shd w:val="clear" w:color="auto" w:fill="FFFFFF"/>
        </w:rPr>
        <w:t>1.2. Các sản phẩm trưng bày giới thiệu, quảng bá, bán trong gian hàng: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1843"/>
        <w:gridCol w:w="1701"/>
        <w:gridCol w:w="3544"/>
        <w:gridCol w:w="1383"/>
      </w:tblGrid>
      <w:tr>
        <w:tc>
          <w:tcPr>
            <w:tcW w:w="817" w:type="dxa"/>
            <w:shd w:val="clear" w:color="auto" w:fill="auto"/>
            <w:vAlign w:val="center"/>
          </w:tcPr>
          <w:p>
            <w:pPr>
              <w:jc w:val="center"/>
              <w:rPr>
                <w:spacing w:val="2"/>
                <w:shd w:val="clear" w:color="auto" w:fill="FFFFFF"/>
              </w:rPr>
            </w:pPr>
            <w:r>
              <w:rPr>
                <w:spacing w:val="2"/>
                <w:shd w:val="clear" w:color="auto" w:fill="FFFFFF"/>
              </w:rPr>
              <w:t>TT</w:t>
            </w:r>
          </w:p>
        </w:tc>
        <w:tc>
          <w:tcPr>
            <w:tcW w:w="1843" w:type="dxa"/>
            <w:shd w:val="clear" w:color="auto" w:fill="auto"/>
            <w:vAlign w:val="center"/>
          </w:tcPr>
          <w:p>
            <w:pPr>
              <w:jc w:val="center"/>
              <w:rPr>
                <w:spacing w:val="2"/>
                <w:shd w:val="clear" w:color="auto" w:fill="FFFFFF"/>
              </w:rPr>
            </w:pPr>
            <w:r>
              <w:rPr>
                <w:spacing w:val="2"/>
                <w:shd w:val="clear" w:color="auto" w:fill="FFFFFF"/>
              </w:rPr>
              <w:t>Tên sản phẩm</w:t>
            </w:r>
          </w:p>
        </w:tc>
        <w:tc>
          <w:tcPr>
            <w:tcW w:w="1701" w:type="dxa"/>
            <w:shd w:val="clear" w:color="auto" w:fill="auto"/>
            <w:vAlign w:val="center"/>
          </w:tcPr>
          <w:p>
            <w:pPr>
              <w:jc w:val="center"/>
              <w:rPr>
                <w:spacing w:val="2"/>
                <w:shd w:val="clear" w:color="auto" w:fill="FFFFFF"/>
              </w:rPr>
            </w:pPr>
            <w:r>
              <w:rPr>
                <w:spacing w:val="2"/>
                <w:shd w:val="clear" w:color="auto" w:fill="FFFFFF"/>
              </w:rPr>
              <w:t>Số lượng, khối lượng</w:t>
            </w:r>
          </w:p>
        </w:tc>
        <w:tc>
          <w:tcPr>
            <w:tcW w:w="3544" w:type="dxa"/>
            <w:shd w:val="clear" w:color="auto" w:fill="auto"/>
            <w:vAlign w:val="center"/>
          </w:tcPr>
          <w:p>
            <w:pPr>
              <w:jc w:val="center"/>
              <w:rPr>
                <w:spacing w:val="2"/>
                <w:shd w:val="clear" w:color="auto" w:fill="FFFFFF"/>
              </w:rPr>
            </w:pPr>
            <w:r>
              <w:rPr>
                <w:spacing w:val="2"/>
                <w:shd w:val="clear" w:color="auto" w:fill="FFFFFF"/>
              </w:rPr>
              <w:t>Chứng nhận chất lượng sản phẩm trưng bày (chứng nhận ATTP, OCOP, ISO, HACCP, VietGAP…)</w:t>
            </w:r>
          </w:p>
        </w:tc>
        <w:tc>
          <w:tcPr>
            <w:tcW w:w="1383" w:type="dxa"/>
            <w:shd w:val="clear" w:color="auto" w:fill="auto"/>
            <w:vAlign w:val="center"/>
          </w:tcPr>
          <w:p>
            <w:pPr>
              <w:jc w:val="center"/>
              <w:rPr>
                <w:spacing w:val="2"/>
                <w:shd w:val="clear" w:color="auto" w:fill="FFFFFF"/>
              </w:rPr>
            </w:pPr>
            <w:r>
              <w:rPr>
                <w:spacing w:val="2"/>
                <w:shd w:val="clear" w:color="auto" w:fill="FFFFFF"/>
              </w:rPr>
              <w:t>Ghi chú</w:t>
            </w:r>
          </w:p>
        </w:tc>
      </w:tr>
      <w:tr>
        <w:tc>
          <w:tcPr>
            <w:tcW w:w="817" w:type="dxa"/>
            <w:shd w:val="clear" w:color="auto" w:fill="auto"/>
          </w:tcPr>
          <w:p>
            <w:pPr>
              <w:rPr>
                <w:spacing w:val="2"/>
                <w:shd w:val="clear" w:color="auto" w:fill="FFFFFF"/>
              </w:rPr>
            </w:pPr>
          </w:p>
        </w:tc>
        <w:tc>
          <w:tcPr>
            <w:tcW w:w="1843" w:type="dxa"/>
            <w:shd w:val="clear" w:color="auto" w:fill="auto"/>
          </w:tcPr>
          <w:p>
            <w:pPr>
              <w:rPr>
                <w:spacing w:val="2"/>
                <w:shd w:val="clear" w:color="auto" w:fill="FFFFFF"/>
              </w:rPr>
            </w:pPr>
          </w:p>
        </w:tc>
        <w:tc>
          <w:tcPr>
            <w:tcW w:w="1701" w:type="dxa"/>
            <w:shd w:val="clear" w:color="auto" w:fill="auto"/>
          </w:tcPr>
          <w:p>
            <w:pPr>
              <w:rPr>
                <w:spacing w:val="2"/>
                <w:shd w:val="clear" w:color="auto" w:fill="FFFFFF"/>
              </w:rPr>
            </w:pPr>
          </w:p>
        </w:tc>
        <w:tc>
          <w:tcPr>
            <w:tcW w:w="3544" w:type="dxa"/>
            <w:shd w:val="clear" w:color="auto" w:fill="auto"/>
          </w:tcPr>
          <w:p>
            <w:pPr>
              <w:rPr>
                <w:spacing w:val="2"/>
                <w:shd w:val="clear" w:color="auto" w:fill="FFFFFF"/>
              </w:rPr>
            </w:pPr>
          </w:p>
        </w:tc>
        <w:tc>
          <w:tcPr>
            <w:tcW w:w="1383" w:type="dxa"/>
            <w:shd w:val="clear" w:color="auto" w:fill="auto"/>
          </w:tcPr>
          <w:p>
            <w:pPr>
              <w:rPr>
                <w:spacing w:val="2"/>
                <w:shd w:val="clear" w:color="auto" w:fill="FFFFFF"/>
              </w:rPr>
            </w:pPr>
          </w:p>
        </w:tc>
      </w:tr>
      <w:tr>
        <w:tc>
          <w:tcPr>
            <w:tcW w:w="817" w:type="dxa"/>
            <w:shd w:val="clear" w:color="auto" w:fill="auto"/>
          </w:tcPr>
          <w:p>
            <w:pPr>
              <w:rPr>
                <w:spacing w:val="2"/>
                <w:shd w:val="clear" w:color="auto" w:fill="FFFFFF"/>
              </w:rPr>
            </w:pPr>
          </w:p>
        </w:tc>
        <w:tc>
          <w:tcPr>
            <w:tcW w:w="1843" w:type="dxa"/>
            <w:shd w:val="clear" w:color="auto" w:fill="auto"/>
          </w:tcPr>
          <w:p>
            <w:pPr>
              <w:rPr>
                <w:spacing w:val="2"/>
                <w:shd w:val="clear" w:color="auto" w:fill="FFFFFF"/>
              </w:rPr>
            </w:pPr>
          </w:p>
        </w:tc>
        <w:tc>
          <w:tcPr>
            <w:tcW w:w="1701" w:type="dxa"/>
            <w:shd w:val="clear" w:color="auto" w:fill="auto"/>
          </w:tcPr>
          <w:p>
            <w:pPr>
              <w:rPr>
                <w:spacing w:val="2"/>
                <w:shd w:val="clear" w:color="auto" w:fill="FFFFFF"/>
              </w:rPr>
            </w:pPr>
          </w:p>
        </w:tc>
        <w:tc>
          <w:tcPr>
            <w:tcW w:w="3544" w:type="dxa"/>
            <w:shd w:val="clear" w:color="auto" w:fill="auto"/>
          </w:tcPr>
          <w:p>
            <w:pPr>
              <w:rPr>
                <w:spacing w:val="2"/>
                <w:shd w:val="clear" w:color="auto" w:fill="FFFFFF"/>
              </w:rPr>
            </w:pPr>
          </w:p>
        </w:tc>
        <w:tc>
          <w:tcPr>
            <w:tcW w:w="1383" w:type="dxa"/>
            <w:shd w:val="clear" w:color="auto" w:fill="auto"/>
          </w:tcPr>
          <w:p>
            <w:pPr>
              <w:rPr>
                <w:spacing w:val="2"/>
                <w:shd w:val="clear" w:color="auto" w:fill="FFFFFF"/>
              </w:rPr>
            </w:pPr>
          </w:p>
        </w:tc>
      </w:tr>
      <w:tr>
        <w:tc>
          <w:tcPr>
            <w:tcW w:w="817" w:type="dxa"/>
            <w:shd w:val="clear" w:color="auto" w:fill="auto"/>
          </w:tcPr>
          <w:p>
            <w:pPr>
              <w:rPr>
                <w:spacing w:val="2"/>
                <w:shd w:val="clear" w:color="auto" w:fill="FFFFFF"/>
              </w:rPr>
            </w:pPr>
          </w:p>
        </w:tc>
        <w:tc>
          <w:tcPr>
            <w:tcW w:w="1843" w:type="dxa"/>
            <w:shd w:val="clear" w:color="auto" w:fill="auto"/>
          </w:tcPr>
          <w:p>
            <w:pPr>
              <w:rPr>
                <w:spacing w:val="2"/>
                <w:shd w:val="clear" w:color="auto" w:fill="FFFFFF"/>
              </w:rPr>
            </w:pPr>
          </w:p>
        </w:tc>
        <w:tc>
          <w:tcPr>
            <w:tcW w:w="1701" w:type="dxa"/>
            <w:shd w:val="clear" w:color="auto" w:fill="auto"/>
          </w:tcPr>
          <w:p>
            <w:pPr>
              <w:rPr>
                <w:spacing w:val="2"/>
                <w:shd w:val="clear" w:color="auto" w:fill="FFFFFF"/>
              </w:rPr>
            </w:pPr>
          </w:p>
        </w:tc>
        <w:tc>
          <w:tcPr>
            <w:tcW w:w="3544" w:type="dxa"/>
            <w:shd w:val="clear" w:color="auto" w:fill="auto"/>
          </w:tcPr>
          <w:p>
            <w:pPr>
              <w:rPr>
                <w:spacing w:val="2"/>
                <w:shd w:val="clear" w:color="auto" w:fill="FFFFFF"/>
              </w:rPr>
            </w:pPr>
          </w:p>
        </w:tc>
        <w:tc>
          <w:tcPr>
            <w:tcW w:w="1383" w:type="dxa"/>
            <w:shd w:val="clear" w:color="auto" w:fill="auto"/>
          </w:tcPr>
          <w:p>
            <w:pPr>
              <w:rPr>
                <w:spacing w:val="2"/>
                <w:shd w:val="clear" w:color="auto" w:fill="FFFFFF"/>
              </w:rPr>
            </w:pPr>
          </w:p>
        </w:tc>
      </w:tr>
    </w:tbl>
    <w:p>
      <w:pPr>
        <w:rPr>
          <w:b/>
          <w:spacing w:val="2"/>
          <w:shd w:val="clear" w:color="auto" w:fill="FFFFFF"/>
        </w:rPr>
      </w:pPr>
      <w:r>
        <w:rPr>
          <w:b/>
          <w:spacing w:val="2"/>
          <w:shd w:val="clear" w:color="auto" w:fill="FFFFFF"/>
        </w:rPr>
        <w:t>2. Đăng ký dự Tiệc chiêu đãi của UBND tỉnh Thanh Hóa</w:t>
      </w:r>
    </w:p>
    <w:p>
      <w:pPr>
        <w:rPr>
          <w:bCs/>
          <w:spacing w:val="2"/>
          <w:shd w:val="clear" w:color="auto" w:fill="FFFFFF"/>
        </w:rPr>
      </w:pPr>
      <w:r>
        <w:rPr>
          <w:bCs/>
          <w:spacing w:val="2"/>
          <w:shd w:val="clear" w:color="auto" w:fill="FFFFFF"/>
        </w:rPr>
        <w:t>- Thời gian: 18h – 19h30 ngày 16/10/2026 (Thứ 6)</w:t>
      </w:r>
    </w:p>
    <w:p>
      <w:pPr>
        <w:rPr>
          <w:bCs/>
          <w:spacing w:val="2"/>
          <w:shd w:val="clear" w:color="auto" w:fill="FFFFFF"/>
        </w:rPr>
      </w:pPr>
      <w:r>
        <w:rPr>
          <w:bCs/>
          <w:spacing w:val="2"/>
          <w:shd w:val="clear" w:color="auto" w:fill="FFFFFF"/>
        </w:rPr>
        <w:t>- Địa điểm: phường Hạc Thành, tỉnh Thanh Hóa</w:t>
      </w:r>
    </w:p>
    <w:p>
      <w:pPr>
        <w:rPr>
          <w:bCs/>
          <w:spacing w:val="2"/>
          <w:shd w:val="clear" w:color="auto" w:fill="FFFFFF"/>
        </w:rPr>
      </w:pPr>
      <w:r>
        <w:rPr>
          <w:bCs/>
          <w:spacing w:val="2"/>
          <w:shd w:val="clear" w:color="auto" w:fill="FFFFFF"/>
        </w:rPr>
        <w:t xml:space="preserve">- Đăng ký đại biểu tham dự </w:t>
      </w:r>
      <w:r>
        <w:rPr>
          <w:spacing w:val="2"/>
          <w:shd w:val="clear" w:color="auto" w:fill="FFFFFF"/>
        </w:rPr>
        <w:t>(Đại diện lãnh đạo Sở Nông nghiệp và Môi trường và Sở Công Thương: 04 đại biểu/tỉnh)</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8"/>
        <w:gridCol w:w="1947"/>
        <w:gridCol w:w="1727"/>
        <w:gridCol w:w="1964"/>
        <w:gridCol w:w="1904"/>
        <w:gridCol w:w="1134"/>
      </w:tblGrid>
      <w:tr>
        <w:tc>
          <w:tcPr>
            <w:tcW w:w="788" w:type="dxa"/>
            <w:shd w:val="clear" w:color="auto" w:fill="auto"/>
          </w:tcPr>
          <w:p>
            <w:pPr>
              <w:jc w:val="center"/>
              <w:rPr>
                <w:spacing w:val="2"/>
                <w:shd w:val="clear" w:color="auto" w:fill="FFFFFF"/>
              </w:rPr>
            </w:pPr>
            <w:r>
              <w:rPr>
                <w:spacing w:val="2"/>
                <w:shd w:val="clear" w:color="auto" w:fill="FFFFFF"/>
              </w:rPr>
              <w:t>TT</w:t>
            </w:r>
          </w:p>
        </w:tc>
        <w:tc>
          <w:tcPr>
            <w:tcW w:w="1947" w:type="dxa"/>
            <w:shd w:val="clear" w:color="auto" w:fill="auto"/>
          </w:tcPr>
          <w:p>
            <w:pPr>
              <w:jc w:val="center"/>
              <w:rPr>
                <w:spacing w:val="2"/>
                <w:shd w:val="clear" w:color="auto" w:fill="FFFFFF"/>
              </w:rPr>
            </w:pPr>
            <w:r>
              <w:rPr>
                <w:spacing w:val="2"/>
                <w:shd w:val="clear" w:color="auto" w:fill="FFFFFF"/>
              </w:rPr>
              <w:t>Họ và tên</w:t>
            </w:r>
          </w:p>
        </w:tc>
        <w:tc>
          <w:tcPr>
            <w:tcW w:w="1727" w:type="dxa"/>
            <w:shd w:val="clear" w:color="auto" w:fill="auto"/>
          </w:tcPr>
          <w:p>
            <w:pPr>
              <w:jc w:val="center"/>
              <w:rPr>
                <w:spacing w:val="2"/>
                <w:shd w:val="clear" w:color="auto" w:fill="FFFFFF"/>
              </w:rPr>
            </w:pPr>
            <w:r>
              <w:rPr>
                <w:spacing w:val="2"/>
                <w:shd w:val="clear" w:color="auto" w:fill="FFFFFF"/>
              </w:rPr>
              <w:t>Chức vụ</w:t>
            </w:r>
          </w:p>
        </w:tc>
        <w:tc>
          <w:tcPr>
            <w:tcW w:w="1964" w:type="dxa"/>
            <w:shd w:val="clear" w:color="auto" w:fill="auto"/>
          </w:tcPr>
          <w:p>
            <w:pPr>
              <w:jc w:val="center"/>
              <w:rPr>
                <w:spacing w:val="2"/>
                <w:shd w:val="clear" w:color="auto" w:fill="FFFFFF"/>
              </w:rPr>
            </w:pPr>
            <w:r>
              <w:rPr>
                <w:spacing w:val="2"/>
                <w:shd w:val="clear" w:color="auto" w:fill="FFFFFF"/>
              </w:rPr>
              <w:t>Đơn vị</w:t>
            </w:r>
          </w:p>
        </w:tc>
        <w:tc>
          <w:tcPr>
            <w:tcW w:w="1904" w:type="dxa"/>
          </w:tcPr>
          <w:p>
            <w:pPr>
              <w:jc w:val="center"/>
              <w:rPr>
                <w:spacing w:val="2"/>
                <w:shd w:val="clear" w:color="auto" w:fill="FFFFFF"/>
              </w:rPr>
            </w:pPr>
            <w:r>
              <w:rPr>
                <w:spacing w:val="2"/>
                <w:shd w:val="clear" w:color="auto" w:fill="FFFFFF"/>
              </w:rPr>
              <w:t>Số điện thoại</w:t>
            </w:r>
          </w:p>
        </w:tc>
        <w:tc>
          <w:tcPr>
            <w:tcW w:w="1134" w:type="dxa"/>
            <w:shd w:val="clear" w:color="auto" w:fill="auto"/>
          </w:tcPr>
          <w:p>
            <w:pPr>
              <w:jc w:val="center"/>
              <w:rPr>
                <w:spacing w:val="2"/>
                <w:shd w:val="clear" w:color="auto" w:fill="FFFFFF"/>
              </w:rPr>
            </w:pPr>
            <w:r>
              <w:rPr>
                <w:spacing w:val="2"/>
                <w:shd w:val="clear" w:color="auto" w:fill="FFFFFF"/>
              </w:rPr>
              <w:t>Ghi chú</w:t>
            </w:r>
          </w:p>
        </w:tc>
      </w:tr>
      <w:tr>
        <w:tc>
          <w:tcPr>
            <w:tcW w:w="788" w:type="dxa"/>
            <w:shd w:val="clear" w:color="auto" w:fill="auto"/>
          </w:tcPr>
          <w:p>
            <w:pPr>
              <w:rPr>
                <w:spacing w:val="2"/>
                <w:shd w:val="clear" w:color="auto" w:fill="FFFFFF"/>
              </w:rPr>
            </w:pPr>
          </w:p>
        </w:tc>
        <w:tc>
          <w:tcPr>
            <w:tcW w:w="1947" w:type="dxa"/>
            <w:shd w:val="clear" w:color="auto" w:fill="auto"/>
          </w:tcPr>
          <w:p>
            <w:pPr>
              <w:rPr>
                <w:spacing w:val="2"/>
                <w:shd w:val="clear" w:color="auto" w:fill="FFFFFF"/>
              </w:rPr>
            </w:pPr>
          </w:p>
        </w:tc>
        <w:tc>
          <w:tcPr>
            <w:tcW w:w="1727" w:type="dxa"/>
            <w:shd w:val="clear" w:color="auto" w:fill="auto"/>
          </w:tcPr>
          <w:p>
            <w:pPr>
              <w:rPr>
                <w:spacing w:val="2"/>
                <w:shd w:val="clear" w:color="auto" w:fill="FFFFFF"/>
              </w:rPr>
            </w:pPr>
          </w:p>
        </w:tc>
        <w:tc>
          <w:tcPr>
            <w:tcW w:w="1964" w:type="dxa"/>
            <w:shd w:val="clear" w:color="auto" w:fill="auto"/>
          </w:tcPr>
          <w:p>
            <w:pPr>
              <w:rPr>
                <w:spacing w:val="2"/>
                <w:shd w:val="clear" w:color="auto" w:fill="FFFFFF"/>
              </w:rPr>
            </w:pPr>
          </w:p>
        </w:tc>
        <w:tc>
          <w:tcPr>
            <w:tcW w:w="1904" w:type="dxa"/>
          </w:tcPr>
          <w:p>
            <w:pPr>
              <w:rPr>
                <w:spacing w:val="2"/>
                <w:shd w:val="clear" w:color="auto" w:fill="FFFFFF"/>
              </w:rPr>
            </w:pPr>
          </w:p>
        </w:tc>
        <w:tc>
          <w:tcPr>
            <w:tcW w:w="1134" w:type="dxa"/>
            <w:shd w:val="clear" w:color="auto" w:fill="auto"/>
          </w:tcPr>
          <w:p>
            <w:pPr>
              <w:rPr>
                <w:spacing w:val="2"/>
                <w:shd w:val="clear" w:color="auto" w:fill="FFFFFF"/>
              </w:rPr>
            </w:pPr>
          </w:p>
        </w:tc>
      </w:tr>
      <w:tr>
        <w:tc>
          <w:tcPr>
            <w:tcW w:w="788" w:type="dxa"/>
            <w:shd w:val="clear" w:color="auto" w:fill="auto"/>
          </w:tcPr>
          <w:p>
            <w:pPr>
              <w:rPr>
                <w:spacing w:val="2"/>
                <w:shd w:val="clear" w:color="auto" w:fill="FFFFFF"/>
              </w:rPr>
            </w:pPr>
          </w:p>
        </w:tc>
        <w:tc>
          <w:tcPr>
            <w:tcW w:w="1947" w:type="dxa"/>
            <w:shd w:val="clear" w:color="auto" w:fill="auto"/>
          </w:tcPr>
          <w:p>
            <w:pPr>
              <w:rPr>
                <w:spacing w:val="2"/>
                <w:shd w:val="clear" w:color="auto" w:fill="FFFFFF"/>
              </w:rPr>
            </w:pPr>
          </w:p>
        </w:tc>
        <w:tc>
          <w:tcPr>
            <w:tcW w:w="1727" w:type="dxa"/>
            <w:shd w:val="clear" w:color="auto" w:fill="auto"/>
          </w:tcPr>
          <w:p>
            <w:pPr>
              <w:rPr>
                <w:spacing w:val="2"/>
                <w:shd w:val="clear" w:color="auto" w:fill="FFFFFF"/>
              </w:rPr>
            </w:pPr>
          </w:p>
        </w:tc>
        <w:tc>
          <w:tcPr>
            <w:tcW w:w="1964" w:type="dxa"/>
            <w:shd w:val="clear" w:color="auto" w:fill="auto"/>
          </w:tcPr>
          <w:p>
            <w:pPr>
              <w:rPr>
                <w:spacing w:val="2"/>
                <w:shd w:val="clear" w:color="auto" w:fill="FFFFFF"/>
              </w:rPr>
            </w:pPr>
          </w:p>
        </w:tc>
        <w:tc>
          <w:tcPr>
            <w:tcW w:w="1904" w:type="dxa"/>
          </w:tcPr>
          <w:p>
            <w:pPr>
              <w:rPr>
                <w:spacing w:val="2"/>
                <w:shd w:val="clear" w:color="auto" w:fill="FFFFFF"/>
              </w:rPr>
            </w:pPr>
          </w:p>
        </w:tc>
        <w:tc>
          <w:tcPr>
            <w:tcW w:w="1134" w:type="dxa"/>
            <w:shd w:val="clear" w:color="auto" w:fill="auto"/>
          </w:tcPr>
          <w:p>
            <w:pPr>
              <w:rPr>
                <w:spacing w:val="2"/>
                <w:shd w:val="clear" w:color="auto" w:fill="FFFFFF"/>
              </w:rPr>
            </w:pPr>
          </w:p>
        </w:tc>
      </w:tr>
      <w:tr>
        <w:tc>
          <w:tcPr>
            <w:tcW w:w="788" w:type="dxa"/>
            <w:shd w:val="clear" w:color="auto" w:fill="auto"/>
          </w:tcPr>
          <w:p>
            <w:pPr>
              <w:rPr>
                <w:spacing w:val="2"/>
                <w:shd w:val="clear" w:color="auto" w:fill="FFFFFF"/>
              </w:rPr>
            </w:pPr>
          </w:p>
        </w:tc>
        <w:tc>
          <w:tcPr>
            <w:tcW w:w="1947" w:type="dxa"/>
            <w:shd w:val="clear" w:color="auto" w:fill="auto"/>
          </w:tcPr>
          <w:p>
            <w:pPr>
              <w:rPr>
                <w:spacing w:val="2"/>
                <w:shd w:val="clear" w:color="auto" w:fill="FFFFFF"/>
              </w:rPr>
            </w:pPr>
          </w:p>
        </w:tc>
        <w:tc>
          <w:tcPr>
            <w:tcW w:w="1727" w:type="dxa"/>
            <w:shd w:val="clear" w:color="auto" w:fill="auto"/>
          </w:tcPr>
          <w:p>
            <w:pPr>
              <w:rPr>
                <w:spacing w:val="2"/>
                <w:shd w:val="clear" w:color="auto" w:fill="FFFFFF"/>
              </w:rPr>
            </w:pPr>
          </w:p>
        </w:tc>
        <w:tc>
          <w:tcPr>
            <w:tcW w:w="1964" w:type="dxa"/>
            <w:shd w:val="clear" w:color="auto" w:fill="auto"/>
          </w:tcPr>
          <w:p>
            <w:pPr>
              <w:rPr>
                <w:spacing w:val="2"/>
                <w:shd w:val="clear" w:color="auto" w:fill="FFFFFF"/>
              </w:rPr>
            </w:pPr>
          </w:p>
        </w:tc>
        <w:tc>
          <w:tcPr>
            <w:tcW w:w="1904" w:type="dxa"/>
          </w:tcPr>
          <w:p>
            <w:pPr>
              <w:rPr>
                <w:spacing w:val="2"/>
                <w:shd w:val="clear" w:color="auto" w:fill="FFFFFF"/>
              </w:rPr>
            </w:pPr>
          </w:p>
        </w:tc>
        <w:tc>
          <w:tcPr>
            <w:tcW w:w="1134" w:type="dxa"/>
            <w:shd w:val="clear" w:color="auto" w:fill="auto"/>
          </w:tcPr>
          <w:p>
            <w:pPr>
              <w:rPr>
                <w:spacing w:val="2"/>
                <w:shd w:val="clear" w:color="auto" w:fill="FFFFFF"/>
              </w:rPr>
            </w:pPr>
          </w:p>
        </w:tc>
      </w:tr>
    </w:tbl>
    <w:p>
      <w:pPr>
        <w:spacing w:before="120" w:after="120"/>
        <w:rPr>
          <w:b/>
          <w:spacing w:val="-2"/>
        </w:rPr>
      </w:pPr>
      <w:r>
        <w:rPr>
          <w:b/>
          <w:spacing w:val="2"/>
          <w:shd w:val="clear" w:color="auto" w:fill="FFFFFF"/>
        </w:rPr>
        <w:t xml:space="preserve">3. Tham dự </w:t>
      </w:r>
      <w:r>
        <w:rPr>
          <w:b/>
          <w:spacing w:val="-2"/>
          <w:lang w:val="vi-VN"/>
        </w:rPr>
        <w:t xml:space="preserve">Lễ khai trương trưng </w:t>
      </w:r>
      <w:r>
        <w:rPr>
          <w:b/>
          <w:spacing w:val="-2"/>
          <w:lang w:val="af-ZA"/>
        </w:rPr>
        <w:t>bày giới thiệu sản phẩm nông sản thực phẩm an toàn tỉnh Thanh Hóa năm 2026</w:t>
      </w:r>
    </w:p>
    <w:p>
      <w:pPr>
        <w:spacing w:before="0" w:after="0"/>
        <w:jc w:val="left"/>
        <w:rPr>
          <w:rFonts w:ascii="TimesNewRomanPSMT" w:eastAsia="Times New Roman" w:hAnsi="TimesNewRomanPSMT"/>
        </w:rPr>
      </w:pPr>
      <w:r>
        <w:rPr>
          <w:rFonts w:ascii="TimesNewRomanPSMT" w:eastAsia="Times New Roman" w:hAnsi="TimesNewRomanPSMT"/>
        </w:rPr>
        <w:t>- Thời gian: Buổi tối, từ 20 giờ 00’- 22 giờ 00’, ngày 16/10/2026 (Thứ Sáu).</w:t>
      </w:r>
    </w:p>
    <w:p>
      <w:pPr>
        <w:rPr>
          <w:bCs/>
          <w:spacing w:val="2"/>
          <w:shd w:val="clear" w:color="auto" w:fill="FFFFFF"/>
        </w:rPr>
      </w:pPr>
      <w:r>
        <w:rPr>
          <w:rFonts w:ascii="TimesNewRomanPSMT" w:eastAsia="Times New Roman" w:hAnsi="TimesNewRomanPSMT"/>
        </w:rPr>
        <w:t>- Địa điểm: Quảng trường Lam Sơn, phường Hạc Thành, tỉnh Thanh Hóa.</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8"/>
        <w:gridCol w:w="1947"/>
        <w:gridCol w:w="1727"/>
        <w:gridCol w:w="1964"/>
        <w:gridCol w:w="1904"/>
        <w:gridCol w:w="1134"/>
      </w:tblGrid>
      <w:tr>
        <w:tc>
          <w:tcPr>
            <w:tcW w:w="788" w:type="dxa"/>
            <w:shd w:val="clear" w:color="auto" w:fill="auto"/>
          </w:tcPr>
          <w:p>
            <w:pPr>
              <w:jc w:val="center"/>
              <w:rPr>
                <w:spacing w:val="2"/>
                <w:shd w:val="clear" w:color="auto" w:fill="FFFFFF"/>
              </w:rPr>
            </w:pPr>
            <w:r>
              <w:rPr>
                <w:spacing w:val="2"/>
                <w:shd w:val="clear" w:color="auto" w:fill="FFFFFF"/>
              </w:rPr>
              <w:lastRenderedPageBreak/>
              <w:t>TT</w:t>
            </w:r>
          </w:p>
        </w:tc>
        <w:tc>
          <w:tcPr>
            <w:tcW w:w="1947" w:type="dxa"/>
            <w:shd w:val="clear" w:color="auto" w:fill="auto"/>
          </w:tcPr>
          <w:p>
            <w:pPr>
              <w:jc w:val="center"/>
              <w:rPr>
                <w:spacing w:val="2"/>
                <w:shd w:val="clear" w:color="auto" w:fill="FFFFFF"/>
              </w:rPr>
            </w:pPr>
            <w:r>
              <w:rPr>
                <w:spacing w:val="2"/>
                <w:shd w:val="clear" w:color="auto" w:fill="FFFFFF"/>
              </w:rPr>
              <w:t>Họ và tên</w:t>
            </w:r>
          </w:p>
        </w:tc>
        <w:tc>
          <w:tcPr>
            <w:tcW w:w="1727" w:type="dxa"/>
            <w:shd w:val="clear" w:color="auto" w:fill="auto"/>
          </w:tcPr>
          <w:p>
            <w:pPr>
              <w:jc w:val="center"/>
              <w:rPr>
                <w:spacing w:val="2"/>
                <w:shd w:val="clear" w:color="auto" w:fill="FFFFFF"/>
              </w:rPr>
            </w:pPr>
            <w:r>
              <w:rPr>
                <w:spacing w:val="2"/>
                <w:shd w:val="clear" w:color="auto" w:fill="FFFFFF"/>
              </w:rPr>
              <w:t>Chức vụ</w:t>
            </w:r>
          </w:p>
        </w:tc>
        <w:tc>
          <w:tcPr>
            <w:tcW w:w="1964" w:type="dxa"/>
            <w:shd w:val="clear" w:color="auto" w:fill="auto"/>
          </w:tcPr>
          <w:p>
            <w:pPr>
              <w:jc w:val="center"/>
              <w:rPr>
                <w:spacing w:val="2"/>
                <w:shd w:val="clear" w:color="auto" w:fill="FFFFFF"/>
              </w:rPr>
            </w:pPr>
            <w:r>
              <w:rPr>
                <w:spacing w:val="2"/>
                <w:shd w:val="clear" w:color="auto" w:fill="FFFFFF"/>
              </w:rPr>
              <w:t>Đơn vị</w:t>
            </w:r>
          </w:p>
        </w:tc>
        <w:tc>
          <w:tcPr>
            <w:tcW w:w="1904" w:type="dxa"/>
          </w:tcPr>
          <w:p>
            <w:pPr>
              <w:jc w:val="center"/>
              <w:rPr>
                <w:spacing w:val="2"/>
                <w:shd w:val="clear" w:color="auto" w:fill="FFFFFF"/>
              </w:rPr>
            </w:pPr>
            <w:r>
              <w:rPr>
                <w:spacing w:val="2"/>
                <w:shd w:val="clear" w:color="auto" w:fill="FFFFFF"/>
              </w:rPr>
              <w:t>Số điện thoại</w:t>
            </w:r>
          </w:p>
        </w:tc>
        <w:tc>
          <w:tcPr>
            <w:tcW w:w="1134" w:type="dxa"/>
            <w:shd w:val="clear" w:color="auto" w:fill="auto"/>
          </w:tcPr>
          <w:p>
            <w:pPr>
              <w:jc w:val="center"/>
              <w:rPr>
                <w:spacing w:val="2"/>
                <w:shd w:val="clear" w:color="auto" w:fill="FFFFFF"/>
              </w:rPr>
            </w:pPr>
            <w:r>
              <w:rPr>
                <w:spacing w:val="2"/>
                <w:shd w:val="clear" w:color="auto" w:fill="FFFFFF"/>
              </w:rPr>
              <w:t>Ghi chú</w:t>
            </w:r>
          </w:p>
        </w:tc>
      </w:tr>
      <w:tr>
        <w:tc>
          <w:tcPr>
            <w:tcW w:w="788" w:type="dxa"/>
            <w:shd w:val="clear" w:color="auto" w:fill="auto"/>
          </w:tcPr>
          <w:p>
            <w:pPr>
              <w:rPr>
                <w:spacing w:val="2"/>
                <w:shd w:val="clear" w:color="auto" w:fill="FFFFFF"/>
              </w:rPr>
            </w:pPr>
          </w:p>
        </w:tc>
        <w:tc>
          <w:tcPr>
            <w:tcW w:w="1947" w:type="dxa"/>
            <w:shd w:val="clear" w:color="auto" w:fill="auto"/>
          </w:tcPr>
          <w:p>
            <w:pPr>
              <w:rPr>
                <w:spacing w:val="2"/>
                <w:shd w:val="clear" w:color="auto" w:fill="FFFFFF"/>
              </w:rPr>
            </w:pPr>
          </w:p>
        </w:tc>
        <w:tc>
          <w:tcPr>
            <w:tcW w:w="1727" w:type="dxa"/>
            <w:shd w:val="clear" w:color="auto" w:fill="auto"/>
          </w:tcPr>
          <w:p>
            <w:pPr>
              <w:rPr>
                <w:spacing w:val="2"/>
                <w:shd w:val="clear" w:color="auto" w:fill="FFFFFF"/>
              </w:rPr>
            </w:pPr>
          </w:p>
        </w:tc>
        <w:tc>
          <w:tcPr>
            <w:tcW w:w="1964" w:type="dxa"/>
            <w:shd w:val="clear" w:color="auto" w:fill="auto"/>
          </w:tcPr>
          <w:p>
            <w:pPr>
              <w:rPr>
                <w:spacing w:val="2"/>
                <w:shd w:val="clear" w:color="auto" w:fill="FFFFFF"/>
              </w:rPr>
            </w:pPr>
          </w:p>
        </w:tc>
        <w:tc>
          <w:tcPr>
            <w:tcW w:w="1904" w:type="dxa"/>
          </w:tcPr>
          <w:p>
            <w:pPr>
              <w:rPr>
                <w:spacing w:val="2"/>
                <w:shd w:val="clear" w:color="auto" w:fill="FFFFFF"/>
              </w:rPr>
            </w:pPr>
          </w:p>
        </w:tc>
        <w:tc>
          <w:tcPr>
            <w:tcW w:w="1134" w:type="dxa"/>
            <w:shd w:val="clear" w:color="auto" w:fill="auto"/>
          </w:tcPr>
          <w:p>
            <w:pPr>
              <w:rPr>
                <w:spacing w:val="2"/>
                <w:shd w:val="clear" w:color="auto" w:fill="FFFFFF"/>
              </w:rPr>
            </w:pPr>
          </w:p>
        </w:tc>
      </w:tr>
      <w:tr>
        <w:tc>
          <w:tcPr>
            <w:tcW w:w="788" w:type="dxa"/>
            <w:shd w:val="clear" w:color="auto" w:fill="auto"/>
          </w:tcPr>
          <w:p>
            <w:pPr>
              <w:rPr>
                <w:spacing w:val="2"/>
                <w:shd w:val="clear" w:color="auto" w:fill="FFFFFF"/>
              </w:rPr>
            </w:pPr>
          </w:p>
        </w:tc>
        <w:tc>
          <w:tcPr>
            <w:tcW w:w="1947" w:type="dxa"/>
            <w:shd w:val="clear" w:color="auto" w:fill="auto"/>
          </w:tcPr>
          <w:p>
            <w:pPr>
              <w:rPr>
                <w:spacing w:val="2"/>
                <w:shd w:val="clear" w:color="auto" w:fill="FFFFFF"/>
              </w:rPr>
            </w:pPr>
          </w:p>
        </w:tc>
        <w:tc>
          <w:tcPr>
            <w:tcW w:w="1727" w:type="dxa"/>
            <w:shd w:val="clear" w:color="auto" w:fill="auto"/>
          </w:tcPr>
          <w:p>
            <w:pPr>
              <w:rPr>
                <w:spacing w:val="2"/>
                <w:shd w:val="clear" w:color="auto" w:fill="FFFFFF"/>
              </w:rPr>
            </w:pPr>
          </w:p>
        </w:tc>
        <w:tc>
          <w:tcPr>
            <w:tcW w:w="1964" w:type="dxa"/>
            <w:shd w:val="clear" w:color="auto" w:fill="auto"/>
          </w:tcPr>
          <w:p>
            <w:pPr>
              <w:rPr>
                <w:spacing w:val="2"/>
                <w:shd w:val="clear" w:color="auto" w:fill="FFFFFF"/>
              </w:rPr>
            </w:pPr>
          </w:p>
        </w:tc>
        <w:tc>
          <w:tcPr>
            <w:tcW w:w="1904" w:type="dxa"/>
          </w:tcPr>
          <w:p>
            <w:pPr>
              <w:rPr>
                <w:spacing w:val="2"/>
                <w:shd w:val="clear" w:color="auto" w:fill="FFFFFF"/>
              </w:rPr>
            </w:pPr>
          </w:p>
        </w:tc>
        <w:tc>
          <w:tcPr>
            <w:tcW w:w="1134" w:type="dxa"/>
            <w:shd w:val="clear" w:color="auto" w:fill="auto"/>
          </w:tcPr>
          <w:p>
            <w:pPr>
              <w:rPr>
                <w:spacing w:val="2"/>
                <w:shd w:val="clear" w:color="auto" w:fill="FFFFFF"/>
              </w:rPr>
            </w:pPr>
          </w:p>
        </w:tc>
      </w:tr>
      <w:tr>
        <w:tc>
          <w:tcPr>
            <w:tcW w:w="788" w:type="dxa"/>
            <w:shd w:val="clear" w:color="auto" w:fill="auto"/>
          </w:tcPr>
          <w:p>
            <w:pPr>
              <w:rPr>
                <w:spacing w:val="2"/>
                <w:shd w:val="clear" w:color="auto" w:fill="FFFFFF"/>
              </w:rPr>
            </w:pPr>
          </w:p>
        </w:tc>
        <w:tc>
          <w:tcPr>
            <w:tcW w:w="1947" w:type="dxa"/>
            <w:shd w:val="clear" w:color="auto" w:fill="auto"/>
          </w:tcPr>
          <w:p>
            <w:pPr>
              <w:rPr>
                <w:spacing w:val="2"/>
                <w:shd w:val="clear" w:color="auto" w:fill="FFFFFF"/>
              </w:rPr>
            </w:pPr>
          </w:p>
        </w:tc>
        <w:tc>
          <w:tcPr>
            <w:tcW w:w="1727" w:type="dxa"/>
            <w:shd w:val="clear" w:color="auto" w:fill="auto"/>
          </w:tcPr>
          <w:p>
            <w:pPr>
              <w:rPr>
                <w:spacing w:val="2"/>
                <w:shd w:val="clear" w:color="auto" w:fill="FFFFFF"/>
              </w:rPr>
            </w:pPr>
          </w:p>
        </w:tc>
        <w:tc>
          <w:tcPr>
            <w:tcW w:w="1964" w:type="dxa"/>
            <w:shd w:val="clear" w:color="auto" w:fill="auto"/>
          </w:tcPr>
          <w:p>
            <w:pPr>
              <w:rPr>
                <w:spacing w:val="2"/>
                <w:shd w:val="clear" w:color="auto" w:fill="FFFFFF"/>
              </w:rPr>
            </w:pPr>
          </w:p>
        </w:tc>
        <w:tc>
          <w:tcPr>
            <w:tcW w:w="1904" w:type="dxa"/>
          </w:tcPr>
          <w:p>
            <w:pPr>
              <w:rPr>
                <w:spacing w:val="2"/>
                <w:shd w:val="clear" w:color="auto" w:fill="FFFFFF"/>
              </w:rPr>
            </w:pPr>
          </w:p>
        </w:tc>
        <w:tc>
          <w:tcPr>
            <w:tcW w:w="1134" w:type="dxa"/>
            <w:shd w:val="clear" w:color="auto" w:fill="auto"/>
          </w:tcPr>
          <w:p>
            <w:pPr>
              <w:rPr>
                <w:spacing w:val="2"/>
                <w:shd w:val="clear" w:color="auto" w:fill="FFFFFF"/>
              </w:rPr>
            </w:pPr>
          </w:p>
        </w:tc>
      </w:tr>
    </w:tbl>
    <w:p>
      <w:pPr>
        <w:rPr>
          <w:b/>
          <w:spacing w:val="2"/>
          <w:shd w:val="clear" w:color="auto" w:fill="FFFFFF"/>
        </w:rPr>
      </w:pPr>
      <w:r>
        <w:rPr>
          <w:b/>
          <w:spacing w:val="2"/>
          <w:shd w:val="clear" w:color="auto" w:fill="FFFFFF"/>
        </w:rPr>
        <w:t>4. Tham dự Hội nghị kết nối cung – cầu các sản phẩm nông sản thực phẩm an toàn năm 2026.</w:t>
      </w:r>
    </w:p>
    <w:p>
      <w:pPr>
        <w:rPr>
          <w:spacing w:val="2"/>
          <w:shd w:val="clear" w:color="auto" w:fill="FFFFFF"/>
        </w:rPr>
      </w:pPr>
      <w:r>
        <w:rPr>
          <w:spacing w:val="2"/>
          <w:shd w:val="clear" w:color="auto" w:fill="FFFFFF"/>
        </w:rPr>
        <w:t>4.1. Đăng ký danh sách đại biểu tham dự (Đại diện lãnh đạo Sở Nông nghiệp và Môi trường và Sở Công Thương: 04 đại biểu/tỉnh)</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8"/>
        <w:gridCol w:w="1947"/>
        <w:gridCol w:w="1727"/>
        <w:gridCol w:w="1964"/>
        <w:gridCol w:w="1904"/>
        <w:gridCol w:w="1134"/>
      </w:tblGrid>
      <w:tr>
        <w:tc>
          <w:tcPr>
            <w:tcW w:w="788" w:type="dxa"/>
            <w:shd w:val="clear" w:color="auto" w:fill="auto"/>
          </w:tcPr>
          <w:p>
            <w:pPr>
              <w:jc w:val="center"/>
              <w:rPr>
                <w:spacing w:val="2"/>
                <w:shd w:val="clear" w:color="auto" w:fill="FFFFFF"/>
              </w:rPr>
            </w:pPr>
            <w:r>
              <w:rPr>
                <w:spacing w:val="2"/>
                <w:shd w:val="clear" w:color="auto" w:fill="FFFFFF"/>
              </w:rPr>
              <w:t>TT</w:t>
            </w:r>
          </w:p>
        </w:tc>
        <w:tc>
          <w:tcPr>
            <w:tcW w:w="1947" w:type="dxa"/>
            <w:shd w:val="clear" w:color="auto" w:fill="auto"/>
          </w:tcPr>
          <w:p>
            <w:pPr>
              <w:jc w:val="center"/>
              <w:rPr>
                <w:spacing w:val="2"/>
                <w:shd w:val="clear" w:color="auto" w:fill="FFFFFF"/>
              </w:rPr>
            </w:pPr>
            <w:r>
              <w:rPr>
                <w:spacing w:val="2"/>
                <w:shd w:val="clear" w:color="auto" w:fill="FFFFFF"/>
              </w:rPr>
              <w:t>Họ và tên</w:t>
            </w:r>
          </w:p>
        </w:tc>
        <w:tc>
          <w:tcPr>
            <w:tcW w:w="1727" w:type="dxa"/>
            <w:shd w:val="clear" w:color="auto" w:fill="auto"/>
          </w:tcPr>
          <w:p>
            <w:pPr>
              <w:jc w:val="center"/>
              <w:rPr>
                <w:spacing w:val="2"/>
                <w:shd w:val="clear" w:color="auto" w:fill="FFFFFF"/>
              </w:rPr>
            </w:pPr>
            <w:r>
              <w:rPr>
                <w:spacing w:val="2"/>
                <w:shd w:val="clear" w:color="auto" w:fill="FFFFFF"/>
              </w:rPr>
              <w:t>Chức vụ</w:t>
            </w:r>
          </w:p>
        </w:tc>
        <w:tc>
          <w:tcPr>
            <w:tcW w:w="1964" w:type="dxa"/>
            <w:shd w:val="clear" w:color="auto" w:fill="auto"/>
          </w:tcPr>
          <w:p>
            <w:pPr>
              <w:jc w:val="center"/>
              <w:rPr>
                <w:spacing w:val="2"/>
                <w:shd w:val="clear" w:color="auto" w:fill="FFFFFF"/>
              </w:rPr>
            </w:pPr>
            <w:r>
              <w:rPr>
                <w:spacing w:val="2"/>
                <w:shd w:val="clear" w:color="auto" w:fill="FFFFFF"/>
              </w:rPr>
              <w:t>Đơn vị</w:t>
            </w:r>
          </w:p>
        </w:tc>
        <w:tc>
          <w:tcPr>
            <w:tcW w:w="1904" w:type="dxa"/>
          </w:tcPr>
          <w:p>
            <w:pPr>
              <w:jc w:val="center"/>
              <w:rPr>
                <w:spacing w:val="2"/>
                <w:shd w:val="clear" w:color="auto" w:fill="FFFFFF"/>
              </w:rPr>
            </w:pPr>
            <w:r>
              <w:rPr>
                <w:spacing w:val="2"/>
                <w:shd w:val="clear" w:color="auto" w:fill="FFFFFF"/>
              </w:rPr>
              <w:t>Số điện thoại</w:t>
            </w:r>
          </w:p>
        </w:tc>
        <w:tc>
          <w:tcPr>
            <w:tcW w:w="1134" w:type="dxa"/>
            <w:shd w:val="clear" w:color="auto" w:fill="auto"/>
          </w:tcPr>
          <w:p>
            <w:pPr>
              <w:jc w:val="center"/>
              <w:rPr>
                <w:spacing w:val="2"/>
                <w:shd w:val="clear" w:color="auto" w:fill="FFFFFF"/>
              </w:rPr>
            </w:pPr>
            <w:r>
              <w:rPr>
                <w:spacing w:val="2"/>
                <w:shd w:val="clear" w:color="auto" w:fill="FFFFFF"/>
              </w:rPr>
              <w:t>Ghi chú</w:t>
            </w:r>
          </w:p>
        </w:tc>
      </w:tr>
      <w:tr>
        <w:tc>
          <w:tcPr>
            <w:tcW w:w="788" w:type="dxa"/>
            <w:shd w:val="clear" w:color="auto" w:fill="auto"/>
          </w:tcPr>
          <w:p>
            <w:pPr>
              <w:rPr>
                <w:spacing w:val="2"/>
                <w:shd w:val="clear" w:color="auto" w:fill="FFFFFF"/>
              </w:rPr>
            </w:pPr>
          </w:p>
        </w:tc>
        <w:tc>
          <w:tcPr>
            <w:tcW w:w="1947" w:type="dxa"/>
            <w:shd w:val="clear" w:color="auto" w:fill="auto"/>
          </w:tcPr>
          <w:p>
            <w:pPr>
              <w:rPr>
                <w:spacing w:val="2"/>
                <w:shd w:val="clear" w:color="auto" w:fill="FFFFFF"/>
              </w:rPr>
            </w:pPr>
          </w:p>
        </w:tc>
        <w:tc>
          <w:tcPr>
            <w:tcW w:w="1727" w:type="dxa"/>
            <w:shd w:val="clear" w:color="auto" w:fill="auto"/>
          </w:tcPr>
          <w:p>
            <w:pPr>
              <w:rPr>
                <w:spacing w:val="2"/>
                <w:shd w:val="clear" w:color="auto" w:fill="FFFFFF"/>
              </w:rPr>
            </w:pPr>
          </w:p>
        </w:tc>
        <w:tc>
          <w:tcPr>
            <w:tcW w:w="1964" w:type="dxa"/>
            <w:shd w:val="clear" w:color="auto" w:fill="auto"/>
          </w:tcPr>
          <w:p>
            <w:pPr>
              <w:rPr>
                <w:spacing w:val="2"/>
                <w:shd w:val="clear" w:color="auto" w:fill="FFFFFF"/>
              </w:rPr>
            </w:pPr>
          </w:p>
        </w:tc>
        <w:tc>
          <w:tcPr>
            <w:tcW w:w="1904" w:type="dxa"/>
          </w:tcPr>
          <w:p>
            <w:pPr>
              <w:rPr>
                <w:spacing w:val="2"/>
                <w:shd w:val="clear" w:color="auto" w:fill="FFFFFF"/>
              </w:rPr>
            </w:pPr>
          </w:p>
        </w:tc>
        <w:tc>
          <w:tcPr>
            <w:tcW w:w="1134" w:type="dxa"/>
            <w:shd w:val="clear" w:color="auto" w:fill="auto"/>
          </w:tcPr>
          <w:p>
            <w:pPr>
              <w:rPr>
                <w:spacing w:val="2"/>
                <w:shd w:val="clear" w:color="auto" w:fill="FFFFFF"/>
              </w:rPr>
            </w:pPr>
          </w:p>
        </w:tc>
      </w:tr>
      <w:tr>
        <w:tc>
          <w:tcPr>
            <w:tcW w:w="788" w:type="dxa"/>
            <w:shd w:val="clear" w:color="auto" w:fill="auto"/>
          </w:tcPr>
          <w:p>
            <w:pPr>
              <w:rPr>
                <w:spacing w:val="2"/>
                <w:shd w:val="clear" w:color="auto" w:fill="FFFFFF"/>
              </w:rPr>
            </w:pPr>
          </w:p>
        </w:tc>
        <w:tc>
          <w:tcPr>
            <w:tcW w:w="1947" w:type="dxa"/>
            <w:shd w:val="clear" w:color="auto" w:fill="auto"/>
          </w:tcPr>
          <w:p>
            <w:pPr>
              <w:rPr>
                <w:spacing w:val="2"/>
                <w:shd w:val="clear" w:color="auto" w:fill="FFFFFF"/>
              </w:rPr>
            </w:pPr>
          </w:p>
        </w:tc>
        <w:tc>
          <w:tcPr>
            <w:tcW w:w="1727" w:type="dxa"/>
            <w:shd w:val="clear" w:color="auto" w:fill="auto"/>
          </w:tcPr>
          <w:p>
            <w:pPr>
              <w:rPr>
                <w:spacing w:val="2"/>
                <w:shd w:val="clear" w:color="auto" w:fill="FFFFFF"/>
              </w:rPr>
            </w:pPr>
          </w:p>
        </w:tc>
        <w:tc>
          <w:tcPr>
            <w:tcW w:w="1964" w:type="dxa"/>
            <w:shd w:val="clear" w:color="auto" w:fill="auto"/>
          </w:tcPr>
          <w:p>
            <w:pPr>
              <w:rPr>
                <w:spacing w:val="2"/>
                <w:shd w:val="clear" w:color="auto" w:fill="FFFFFF"/>
              </w:rPr>
            </w:pPr>
          </w:p>
        </w:tc>
        <w:tc>
          <w:tcPr>
            <w:tcW w:w="1904" w:type="dxa"/>
          </w:tcPr>
          <w:p>
            <w:pPr>
              <w:rPr>
                <w:spacing w:val="2"/>
                <w:shd w:val="clear" w:color="auto" w:fill="FFFFFF"/>
              </w:rPr>
            </w:pPr>
          </w:p>
        </w:tc>
        <w:tc>
          <w:tcPr>
            <w:tcW w:w="1134" w:type="dxa"/>
            <w:shd w:val="clear" w:color="auto" w:fill="auto"/>
          </w:tcPr>
          <w:p>
            <w:pPr>
              <w:rPr>
                <w:spacing w:val="2"/>
                <w:shd w:val="clear" w:color="auto" w:fill="FFFFFF"/>
              </w:rPr>
            </w:pPr>
          </w:p>
        </w:tc>
      </w:tr>
      <w:tr>
        <w:tc>
          <w:tcPr>
            <w:tcW w:w="788" w:type="dxa"/>
            <w:shd w:val="clear" w:color="auto" w:fill="auto"/>
          </w:tcPr>
          <w:p>
            <w:pPr>
              <w:rPr>
                <w:spacing w:val="2"/>
                <w:shd w:val="clear" w:color="auto" w:fill="FFFFFF"/>
              </w:rPr>
            </w:pPr>
          </w:p>
        </w:tc>
        <w:tc>
          <w:tcPr>
            <w:tcW w:w="1947" w:type="dxa"/>
            <w:shd w:val="clear" w:color="auto" w:fill="auto"/>
          </w:tcPr>
          <w:p>
            <w:pPr>
              <w:rPr>
                <w:spacing w:val="2"/>
                <w:shd w:val="clear" w:color="auto" w:fill="FFFFFF"/>
              </w:rPr>
            </w:pPr>
          </w:p>
        </w:tc>
        <w:tc>
          <w:tcPr>
            <w:tcW w:w="1727" w:type="dxa"/>
            <w:shd w:val="clear" w:color="auto" w:fill="auto"/>
          </w:tcPr>
          <w:p>
            <w:pPr>
              <w:rPr>
                <w:spacing w:val="2"/>
                <w:shd w:val="clear" w:color="auto" w:fill="FFFFFF"/>
              </w:rPr>
            </w:pPr>
          </w:p>
        </w:tc>
        <w:tc>
          <w:tcPr>
            <w:tcW w:w="1964" w:type="dxa"/>
            <w:shd w:val="clear" w:color="auto" w:fill="auto"/>
          </w:tcPr>
          <w:p>
            <w:pPr>
              <w:rPr>
                <w:spacing w:val="2"/>
                <w:shd w:val="clear" w:color="auto" w:fill="FFFFFF"/>
              </w:rPr>
            </w:pPr>
          </w:p>
        </w:tc>
        <w:tc>
          <w:tcPr>
            <w:tcW w:w="1904" w:type="dxa"/>
          </w:tcPr>
          <w:p>
            <w:pPr>
              <w:rPr>
                <w:spacing w:val="2"/>
                <w:shd w:val="clear" w:color="auto" w:fill="FFFFFF"/>
              </w:rPr>
            </w:pPr>
          </w:p>
        </w:tc>
        <w:tc>
          <w:tcPr>
            <w:tcW w:w="1134" w:type="dxa"/>
            <w:shd w:val="clear" w:color="auto" w:fill="auto"/>
          </w:tcPr>
          <w:p>
            <w:pPr>
              <w:rPr>
                <w:spacing w:val="2"/>
                <w:shd w:val="clear" w:color="auto" w:fill="FFFFFF"/>
              </w:rPr>
            </w:pPr>
          </w:p>
        </w:tc>
      </w:tr>
    </w:tbl>
    <w:p>
      <w:pPr>
        <w:rPr>
          <w:bCs/>
          <w:iCs/>
          <w:spacing w:val="2"/>
          <w:shd w:val="clear" w:color="auto" w:fill="FFFFFF"/>
        </w:rPr>
      </w:pPr>
      <w:r>
        <w:rPr>
          <w:spacing w:val="2"/>
          <w:shd w:val="clear" w:color="auto" w:fill="FFFFFF"/>
        </w:rPr>
        <w:t xml:space="preserve">4.2. Đăng ký tham luận (nếu có): </w:t>
      </w:r>
      <w:r>
        <w:rPr>
          <w:bCs/>
          <w:iCs/>
          <w:spacing w:val="2"/>
          <w:shd w:val="clear" w:color="auto" w:fill="FFFFFF"/>
        </w:rPr>
        <w:t xml:space="preserve">Chủ đề tham luận do đơn vị tự lựa chọn, trong đó tập trung vào đánh giá thực trạng sản xuất, chế biến, tiêu thụ các sản phẩm nông sản, sản phẩm OCOP, đặc sản tiêu biểu trên địa bàn; tồn tại hạn chế, nguyên nhân; giải pháp năm 2027 và những năm tiếp theo. </w:t>
      </w:r>
    </w:p>
    <w:p>
      <w:pPr>
        <w:rPr>
          <w:bCs/>
          <w:iCs/>
          <w:spacing w:val="2"/>
          <w:shd w:val="clear" w:color="auto" w:fill="FFFFFF"/>
        </w:rPr>
      </w:pPr>
      <w:r>
        <w:rPr>
          <w:bCs/>
          <w:iCs/>
          <w:spacing w:val="2"/>
          <w:shd w:val="clear" w:color="auto" w:fill="FFFFFF"/>
        </w:rPr>
        <w:t>Ghi chú: Bài tham luận được trình bày trên giấy A4; phông chữ Times New Roman; cỡ chữ 14. Bài tham luận dài không quá 03 trang.</w:t>
      </w:r>
    </w:p>
    <w:p>
      <w:pPr>
        <w:rPr>
          <w:spacing w:val="-4"/>
        </w:rPr>
      </w:pPr>
      <w:r>
        <w:rPr>
          <w:bCs/>
          <w:iCs/>
          <w:spacing w:val="2"/>
          <w:shd w:val="clear" w:color="auto" w:fill="FFFFFF"/>
        </w:rPr>
        <w:t xml:space="preserve">4.3. </w:t>
      </w:r>
      <w:r>
        <w:t>Đăng ký</w:t>
      </w:r>
      <w:r>
        <w:rPr>
          <w:lang w:val="vi-VN"/>
        </w:rPr>
        <w:t xml:space="preserve"> ký kết hợp đồng cung ứng – tiêu thụ nông sản</w:t>
      </w:r>
      <w:r>
        <w:t>, thực phẩm</w:t>
      </w:r>
      <w:r>
        <w:rPr>
          <w:lang w:val="vi-VN"/>
        </w:rPr>
        <w:t xml:space="preserve"> của các </w:t>
      </w:r>
      <w:r>
        <w:rPr>
          <w:spacing w:val="-4"/>
          <w:lang w:val="vi-VN"/>
        </w:rPr>
        <w:t>doanh nghiệp</w:t>
      </w:r>
      <w:r>
        <w:rPr>
          <w:spacing w:val="-4"/>
        </w:rPr>
        <w:t xml:space="preserve"> ở các tỉnh, thành phố với các doanh nghiệp tỉnh Thanh Hóa</w:t>
      </w:r>
      <w:r>
        <w:rPr>
          <w:spacing w:val="-4"/>
          <w:lang w:val="vi-VN"/>
        </w:rPr>
        <w:t xml:space="preserve"> (nếu có)</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2835"/>
        <w:gridCol w:w="2551"/>
        <w:gridCol w:w="3119"/>
      </w:tblGrid>
      <w:tr>
        <w:tc>
          <w:tcPr>
            <w:tcW w:w="1101" w:type="dxa"/>
            <w:shd w:val="clear" w:color="auto" w:fill="auto"/>
          </w:tcPr>
          <w:p>
            <w:pPr>
              <w:jc w:val="center"/>
              <w:rPr>
                <w:bCs/>
                <w:iCs/>
              </w:rPr>
            </w:pPr>
            <w:r>
              <w:rPr>
                <w:bCs/>
                <w:iCs/>
              </w:rPr>
              <w:t>TT</w:t>
            </w:r>
          </w:p>
        </w:tc>
        <w:tc>
          <w:tcPr>
            <w:tcW w:w="2835" w:type="dxa"/>
            <w:shd w:val="clear" w:color="auto" w:fill="auto"/>
          </w:tcPr>
          <w:p>
            <w:pPr>
              <w:jc w:val="center"/>
              <w:rPr>
                <w:bCs/>
                <w:iCs/>
              </w:rPr>
            </w:pPr>
            <w:r>
              <w:rPr>
                <w:bCs/>
                <w:iCs/>
              </w:rPr>
              <w:t>Bên bán</w:t>
            </w:r>
          </w:p>
        </w:tc>
        <w:tc>
          <w:tcPr>
            <w:tcW w:w="2551" w:type="dxa"/>
            <w:shd w:val="clear" w:color="auto" w:fill="auto"/>
          </w:tcPr>
          <w:p>
            <w:pPr>
              <w:jc w:val="center"/>
              <w:rPr>
                <w:bCs/>
                <w:iCs/>
              </w:rPr>
            </w:pPr>
            <w:r>
              <w:rPr>
                <w:bCs/>
                <w:iCs/>
              </w:rPr>
              <w:t>Bên mua</w:t>
            </w:r>
          </w:p>
        </w:tc>
        <w:tc>
          <w:tcPr>
            <w:tcW w:w="3119" w:type="dxa"/>
            <w:shd w:val="clear" w:color="auto" w:fill="auto"/>
          </w:tcPr>
          <w:p>
            <w:pPr>
              <w:jc w:val="center"/>
              <w:rPr>
                <w:bCs/>
                <w:iCs/>
              </w:rPr>
            </w:pPr>
            <w:r>
              <w:rPr>
                <w:bCs/>
                <w:iCs/>
              </w:rPr>
              <w:t>Nội dung ký kết cung ứng – tiêu thụ nông sản, thực phẩm</w:t>
            </w:r>
          </w:p>
        </w:tc>
      </w:tr>
      <w:tr>
        <w:tc>
          <w:tcPr>
            <w:tcW w:w="1101" w:type="dxa"/>
            <w:shd w:val="clear" w:color="auto" w:fill="auto"/>
          </w:tcPr>
          <w:p>
            <w:pPr>
              <w:rPr>
                <w:bCs/>
                <w:iCs/>
              </w:rPr>
            </w:pPr>
          </w:p>
        </w:tc>
        <w:tc>
          <w:tcPr>
            <w:tcW w:w="2835" w:type="dxa"/>
            <w:shd w:val="clear" w:color="auto" w:fill="auto"/>
          </w:tcPr>
          <w:p>
            <w:pPr>
              <w:rPr>
                <w:bCs/>
                <w:iCs/>
              </w:rPr>
            </w:pPr>
            <w:r>
              <w:rPr>
                <w:bCs/>
                <w:iCs/>
              </w:rPr>
              <w:t>Tên đơn vị:</w:t>
            </w:r>
          </w:p>
          <w:p>
            <w:pPr>
              <w:rPr>
                <w:bCs/>
                <w:iCs/>
              </w:rPr>
            </w:pPr>
            <w:r>
              <w:rPr>
                <w:bCs/>
                <w:iCs/>
              </w:rPr>
              <w:t>Địa chỉ:</w:t>
            </w:r>
          </w:p>
          <w:p>
            <w:pPr>
              <w:rPr>
                <w:bCs/>
                <w:iCs/>
              </w:rPr>
            </w:pPr>
            <w:r>
              <w:rPr>
                <w:bCs/>
                <w:iCs/>
              </w:rPr>
              <w:t>Điện thoại:</w:t>
            </w:r>
          </w:p>
          <w:p>
            <w:pPr>
              <w:rPr>
                <w:bCs/>
                <w:iCs/>
              </w:rPr>
            </w:pPr>
            <w:r>
              <w:rPr>
                <w:bCs/>
                <w:iCs/>
              </w:rPr>
              <w:t>Đại diện:</w:t>
            </w:r>
          </w:p>
          <w:p>
            <w:pPr>
              <w:rPr>
                <w:bCs/>
                <w:iCs/>
              </w:rPr>
            </w:pPr>
            <w:r>
              <w:rPr>
                <w:bCs/>
                <w:iCs/>
              </w:rPr>
              <w:t>Chức vụ:</w:t>
            </w:r>
          </w:p>
        </w:tc>
        <w:tc>
          <w:tcPr>
            <w:tcW w:w="2551" w:type="dxa"/>
            <w:shd w:val="clear" w:color="auto" w:fill="auto"/>
          </w:tcPr>
          <w:p>
            <w:pPr>
              <w:rPr>
                <w:bCs/>
                <w:iCs/>
              </w:rPr>
            </w:pPr>
            <w:r>
              <w:rPr>
                <w:bCs/>
                <w:iCs/>
              </w:rPr>
              <w:t>Tên đơn vị:</w:t>
            </w:r>
          </w:p>
          <w:p>
            <w:pPr>
              <w:rPr>
                <w:bCs/>
                <w:iCs/>
              </w:rPr>
            </w:pPr>
            <w:r>
              <w:rPr>
                <w:bCs/>
                <w:iCs/>
              </w:rPr>
              <w:t>Địa chỉ:</w:t>
            </w:r>
          </w:p>
          <w:p>
            <w:pPr>
              <w:rPr>
                <w:bCs/>
                <w:iCs/>
              </w:rPr>
            </w:pPr>
            <w:r>
              <w:rPr>
                <w:bCs/>
                <w:iCs/>
              </w:rPr>
              <w:t>Điện thoại:</w:t>
            </w:r>
          </w:p>
          <w:p>
            <w:pPr>
              <w:rPr>
                <w:bCs/>
                <w:iCs/>
              </w:rPr>
            </w:pPr>
            <w:r>
              <w:rPr>
                <w:bCs/>
                <w:iCs/>
              </w:rPr>
              <w:t>Đại diện:</w:t>
            </w:r>
          </w:p>
          <w:p>
            <w:pPr>
              <w:rPr>
                <w:bCs/>
                <w:iCs/>
              </w:rPr>
            </w:pPr>
            <w:r>
              <w:rPr>
                <w:bCs/>
                <w:iCs/>
              </w:rPr>
              <w:t>Chức vụ:</w:t>
            </w:r>
          </w:p>
        </w:tc>
        <w:tc>
          <w:tcPr>
            <w:tcW w:w="3119" w:type="dxa"/>
            <w:shd w:val="clear" w:color="auto" w:fill="auto"/>
          </w:tcPr>
          <w:p>
            <w:pPr>
              <w:rPr>
                <w:bCs/>
                <w:iCs/>
              </w:rPr>
            </w:pPr>
            <w:r>
              <w:rPr>
                <w:bCs/>
                <w:iCs/>
              </w:rPr>
              <w:t>Tên sản phẩm, số lượng, chất lượng, giá cả, giao hàng, phương thức thanh toán và các điều khoản khác</w:t>
            </w:r>
          </w:p>
        </w:tc>
      </w:tr>
    </w:tbl>
    <w:p>
      <w:pPr>
        <w:rPr>
          <w:sz w:val="6"/>
          <w:szCs w:val="6"/>
        </w:rPr>
      </w:pPr>
    </w:p>
    <w:p>
      <w:pPr>
        <w:spacing w:before="0" w:after="0"/>
        <w:rPr>
          <w:vanish/>
        </w:rPr>
      </w:pPr>
      <w:r>
        <w:rPr>
          <w:vanish/>
        </w:rPr>
        <w:t>(Các đơn vị tham gia trưng bày, giới thiệu sản phẩm tại Hội nghị phải chịu trách nhiệm trước pháp luật về tính pháp lý hoạt động của đơn vị và chất lượng sản phẩm, điều kiện an toàn thực phẩm theo quy định).</w:t>
      </w:r>
      <w:bookmarkStart w:id="0" w:name="_GoBack"/>
      <w:bookmarkEnd w:id="0"/>
    </w:p>
    <w:tbl>
      <w:tblPr>
        <w:tblW w:w="9180" w:type="dxa"/>
        <w:tblInd w:w="108" w:type="dxa"/>
        <w:tblLook w:val="01E0" w:firstRow="1" w:lastRow="1" w:firstColumn="1" w:lastColumn="1" w:noHBand="0" w:noVBand="0"/>
      </w:tblPr>
      <w:tblGrid>
        <w:gridCol w:w="4587"/>
        <w:gridCol w:w="4593"/>
      </w:tblGrid>
      <w:tr>
        <w:tc>
          <w:tcPr>
            <w:tcW w:w="4587" w:type="dxa"/>
          </w:tcPr>
          <w:p>
            <w:pPr>
              <w:rPr>
                <w:b/>
              </w:rPr>
            </w:pPr>
          </w:p>
        </w:tc>
        <w:tc>
          <w:tcPr>
            <w:tcW w:w="4593" w:type="dxa"/>
          </w:tcPr>
          <w:p>
            <w:pPr>
              <w:jc w:val="center"/>
              <w:rPr>
                <w:b/>
              </w:rPr>
            </w:pPr>
            <w:r>
              <w:rPr>
                <w:b/>
              </w:rPr>
              <w:t>ĐẠI DIỆN ĐƠN VỊ</w:t>
            </w:r>
          </w:p>
          <w:p>
            <w:pPr>
              <w:jc w:val="center"/>
              <w:rPr>
                <w:bCs/>
                <w:i/>
                <w:iCs/>
              </w:rPr>
            </w:pPr>
            <w:r>
              <w:rPr>
                <w:bCs/>
                <w:i/>
                <w:iCs/>
              </w:rPr>
              <w:t>(Ký tên, đóng dấu)</w:t>
            </w:r>
          </w:p>
          <w:p>
            <w:pPr>
              <w:rPr>
                <w:b/>
              </w:rPr>
            </w:pPr>
          </w:p>
        </w:tc>
      </w:tr>
    </w:tbl>
    <w:p>
      <w:pPr>
        <w:spacing w:before="0" w:after="120"/>
        <w:jc w:val="center"/>
        <w:rPr>
          <w:sz w:val="2"/>
          <w:szCs w:val="2"/>
        </w:rPr>
      </w:pPr>
    </w:p>
    <w:p/>
    <w:sectPr>
      <w:headerReference w:type="default" r:id="rId7"/>
      <w:footerReference w:type="even" r:id="rId8"/>
      <w:footerReference w:type="default" r:id="rId9"/>
      <w:headerReference w:type="first" r:id="rId10"/>
      <w:pgSz w:w="11907" w:h="16840" w:code="9"/>
      <w:pgMar w:top="1134" w:right="1134" w:bottom="1134" w:left="1701" w:header="51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left" w:pos="4344"/>
        <w:tab w:val="center" w:pos="4536"/>
      </w:tabs>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noProof/>
        <w:sz w:val="24"/>
        <w:szCs w:val="24"/>
      </w:rPr>
      <w:t>2</w:t>
    </w:r>
    <w:r>
      <w:rPr>
        <w:noProof/>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240" w:lineRule="auto"/>
      <w:jc w:val="both"/>
    </w:pPr>
    <w:rPr>
      <w:rFonts w:ascii="Times New Roman" w:eastAsia="Calibri"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680"/>
        <w:tab w:val="right" w:pos="9360"/>
      </w:tabs>
    </w:pPr>
  </w:style>
  <w:style w:type="character" w:customStyle="1" w:styleId="FooterChar">
    <w:name w:val="Footer Char"/>
    <w:basedOn w:val="DefaultParagraphFont"/>
    <w:link w:val="Footer"/>
    <w:uiPriority w:val="99"/>
    <w:rPr>
      <w:rFonts w:ascii="Times New Roman" w:eastAsia="Calibri" w:hAnsi="Times New Roman" w:cs="Times New Roman"/>
      <w:sz w:val="28"/>
      <w:szCs w:val="28"/>
    </w:rPr>
  </w:style>
  <w:style w:type="paragraph" w:styleId="Header">
    <w:name w:val="header"/>
    <w:basedOn w:val="Normal"/>
    <w:link w:val="HeaderChar"/>
    <w:uiPriority w:val="99"/>
    <w:pPr>
      <w:tabs>
        <w:tab w:val="center" w:pos="4680"/>
        <w:tab w:val="right" w:pos="9360"/>
      </w:tabs>
    </w:pPr>
  </w:style>
  <w:style w:type="character" w:customStyle="1" w:styleId="HeaderChar">
    <w:name w:val="Header Char"/>
    <w:basedOn w:val="DefaultParagraphFont"/>
    <w:link w:val="Header"/>
    <w:uiPriority w:val="99"/>
    <w:rPr>
      <w:rFonts w:ascii="Times New Roman" w:eastAsia="Calibri" w:hAnsi="Times New Roman" w:cs="Times New Roman"/>
      <w:sz w:val="28"/>
      <w:szCs w:val="28"/>
    </w:rPr>
  </w:style>
  <w:style w:type="character" w:styleId="PageNumber">
    <w:name w:val="page number"/>
    <w:uiPriority w:val="99"/>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240" w:lineRule="auto"/>
      <w:jc w:val="both"/>
    </w:pPr>
    <w:rPr>
      <w:rFonts w:ascii="Times New Roman" w:eastAsia="Calibri"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680"/>
        <w:tab w:val="right" w:pos="9360"/>
      </w:tabs>
    </w:pPr>
  </w:style>
  <w:style w:type="character" w:customStyle="1" w:styleId="FooterChar">
    <w:name w:val="Footer Char"/>
    <w:basedOn w:val="DefaultParagraphFont"/>
    <w:link w:val="Footer"/>
    <w:uiPriority w:val="99"/>
    <w:rPr>
      <w:rFonts w:ascii="Times New Roman" w:eastAsia="Calibri" w:hAnsi="Times New Roman" w:cs="Times New Roman"/>
      <w:sz w:val="28"/>
      <w:szCs w:val="28"/>
    </w:rPr>
  </w:style>
  <w:style w:type="paragraph" w:styleId="Header">
    <w:name w:val="header"/>
    <w:basedOn w:val="Normal"/>
    <w:link w:val="HeaderChar"/>
    <w:uiPriority w:val="99"/>
    <w:pPr>
      <w:tabs>
        <w:tab w:val="center" w:pos="4680"/>
        <w:tab w:val="right" w:pos="9360"/>
      </w:tabs>
    </w:pPr>
  </w:style>
  <w:style w:type="character" w:customStyle="1" w:styleId="HeaderChar">
    <w:name w:val="Header Char"/>
    <w:basedOn w:val="DefaultParagraphFont"/>
    <w:link w:val="Header"/>
    <w:uiPriority w:val="99"/>
    <w:rPr>
      <w:rFonts w:ascii="Times New Roman" w:eastAsia="Calibri" w:hAnsi="Times New Roman" w:cs="Times New Roman"/>
      <w:sz w:val="28"/>
      <w:szCs w:val="28"/>
    </w:rPr>
  </w:style>
  <w:style w:type="character" w:styleId="PageNumber">
    <w:name w:val="page number"/>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2026-09-08T04:24:00Z</dcterms:created>
  <dcterms:modified xsi:type="dcterms:W3CDTF">2026-09-08T04:44:00Z</dcterms:modified>
</cp:coreProperties>
</file>