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141" w:type="dxa"/>
        <w:tblInd w:w="284" w:type="dxa"/>
        <w:tblLayout w:type="fixed"/>
        <w:tblLook w:val="0000" w:firstRow="0" w:lastRow="0" w:firstColumn="0" w:lastColumn="0" w:noHBand="0" w:noVBand="0"/>
      </w:tblPr>
      <w:tblGrid>
        <w:gridCol w:w="6912"/>
        <w:gridCol w:w="7229"/>
      </w:tblGrid>
      <w:tr w:rsidR="00A76A41">
        <w:trPr>
          <w:trHeight w:val="361"/>
        </w:trPr>
        <w:tc>
          <w:tcPr>
            <w:tcW w:w="6912" w:type="dxa"/>
            <w:vAlign w:val="center"/>
          </w:tcPr>
          <w:p w:rsidR="00A76A41" w:rsidRDefault="00A34CFC">
            <w:pPr>
              <w:pStyle w:val="Heading3"/>
              <w:rPr>
                <w:rFonts w:ascii="Times New Roman" w:hAnsi="Times New Roman" w:cs="Times New Roman"/>
                <w:b w:val="0"/>
                <w:szCs w:val="26"/>
              </w:rPr>
            </w:pPr>
            <w:r>
              <w:rPr>
                <w:rFonts w:ascii="Times New Roman" w:hAnsi="Times New Roman" w:cs="Times New Roman"/>
                <w:sz w:val="24"/>
                <w:szCs w:val="26"/>
              </w:rPr>
              <w:t>UBND THÀNH PHỐ HẢI PHÒNG</w:t>
            </w:r>
          </w:p>
        </w:tc>
        <w:tc>
          <w:tcPr>
            <w:tcW w:w="7229" w:type="dxa"/>
            <w:vAlign w:val="center"/>
          </w:tcPr>
          <w:p w:rsidR="00A76A41" w:rsidRDefault="00A34CFC">
            <w:pPr>
              <w:pStyle w:val="Heading5"/>
              <w:rPr>
                <w:rFonts w:ascii="Times New Roman" w:hAnsi="Times New Roman" w:cs="Times New Roman"/>
                <w:szCs w:val="26"/>
              </w:rPr>
            </w:pPr>
            <w:r>
              <w:rPr>
                <w:rFonts w:ascii="Times New Roman" w:hAnsi="Times New Roman" w:cs="Times New Roman"/>
                <w:sz w:val="24"/>
                <w:szCs w:val="26"/>
              </w:rPr>
              <w:t>CỘNG HÒA XÃ HỘI CHỦ NGHĨA VIỆT NAM</w:t>
            </w:r>
          </w:p>
        </w:tc>
      </w:tr>
      <w:tr w:rsidR="00A76A41">
        <w:trPr>
          <w:trHeight w:val="345"/>
        </w:trPr>
        <w:tc>
          <w:tcPr>
            <w:tcW w:w="6912" w:type="dxa"/>
            <w:vAlign w:val="center"/>
          </w:tcPr>
          <w:p w:rsidR="00A76A41" w:rsidRDefault="00A34CFC">
            <w:pPr>
              <w:jc w:val="center"/>
              <w:rPr>
                <w:rFonts w:ascii="Times New Roman" w:hAnsi="Times New Roman" w:cs="Times New Roman"/>
                <w:b/>
                <w:szCs w:val="26"/>
              </w:rPr>
            </w:pPr>
            <w:r>
              <w:rPr>
                <w:rFonts w:ascii="Times New Roman" w:hAnsi="Times New Roman" w:cs="Times New Roman"/>
                <w:b/>
                <w:sz w:val="24"/>
                <w:szCs w:val="26"/>
              </w:rPr>
              <w:t>SỞ NÔNG NGHIỆP VÀ MÔI TRƯỜNG</w:t>
            </w:r>
          </w:p>
        </w:tc>
        <w:tc>
          <w:tcPr>
            <w:tcW w:w="7229" w:type="dxa"/>
            <w:vAlign w:val="center"/>
          </w:tcPr>
          <w:p w:rsidR="00A76A41" w:rsidRDefault="00A34CFC">
            <w:pPr>
              <w:jc w:val="center"/>
              <w:rPr>
                <w:rFonts w:ascii="Times New Roman" w:hAnsi="Times New Roman" w:cs="Times New Roman"/>
                <w:b/>
                <w:szCs w:val="28"/>
              </w:rPr>
            </w:pPr>
            <w:r>
              <w:rPr>
                <w:rFonts w:ascii="Times New Roman" w:hAnsi="Times New Roman" w:cs="Times New Roman"/>
                <w:b/>
                <w:sz w:val="24"/>
                <w:szCs w:val="28"/>
              </w:rPr>
              <w:t>Độc lập - Tự do - Hạnh phúc</w:t>
            </w:r>
          </w:p>
        </w:tc>
      </w:tr>
      <w:tr w:rsidR="00A76A41">
        <w:trPr>
          <w:trHeight w:val="345"/>
        </w:trPr>
        <w:tc>
          <w:tcPr>
            <w:tcW w:w="6912" w:type="dxa"/>
            <w:vAlign w:val="center"/>
          </w:tcPr>
          <w:p w:rsidR="00A76A41" w:rsidRDefault="00A34CFC">
            <w:pPr>
              <w:snapToGrid w:val="0"/>
              <w:jc w:val="center"/>
              <w:rPr>
                <w:rFonts w:ascii="Times New Roman" w:hAnsi="Times New Roman" w:cs="Times New Roman"/>
                <w:b/>
                <w:bCs/>
                <w:iCs/>
                <w:szCs w:val="26"/>
                <w:lang w:eastAsia="en-US"/>
              </w:rPr>
            </w:pPr>
            <w:r>
              <w:rPr>
                <w:rFonts w:ascii="Times New Roman" w:hAnsi="Times New Roman" w:cs="Times New Roman"/>
                <w:b/>
                <w:bCs/>
                <w:iCs/>
                <w:noProof/>
                <w:sz w:val="24"/>
                <w:szCs w:val="26"/>
                <w:lang w:eastAsia="en-US"/>
              </w:rPr>
              <mc:AlternateContent>
                <mc:Choice Requires="wps">
                  <w:drawing>
                    <wp:anchor distT="0" distB="0" distL="114935" distR="114935" simplePos="0" relativeHeight="2" behindDoc="0" locked="0" layoutInCell="1" allowOverlap="1">
                      <wp:simplePos x="0" y="0"/>
                      <wp:positionH relativeFrom="column">
                        <wp:posOffset>1670685</wp:posOffset>
                      </wp:positionH>
                      <wp:positionV relativeFrom="paragraph">
                        <wp:posOffset>13970</wp:posOffset>
                      </wp:positionV>
                      <wp:extent cx="667385" cy="1270"/>
                      <wp:effectExtent l="635" t="5080" r="635" b="5080"/>
                      <wp:wrapNone/>
                      <wp:docPr id="1" name="Straight Arrow Connector 704672994"/>
                      <wp:cNvGraphicFramePr/>
                      <a:graphic xmlns:a="http://schemas.openxmlformats.org/drawingml/2006/main">
                        <a:graphicData uri="http://schemas.microsoft.com/office/word/2010/wordprocessingShape">
                          <wps:wsp>
                            <wps:cNvCnPr/>
                            <wps:spPr>
                              <a:xfrm>
                                <a:off x="0" y="0"/>
                                <a:ext cx="667800" cy="1440"/>
                              </a:xfrm>
                              <a:prstGeom prst="straightConnector1">
                                <a:avLst/>
                              </a:prstGeom>
                              <a:ln w="9360">
                                <a:solidFill>
                                  <a:srgbClr val="000000"/>
                                </a:solidFill>
                                <a:miter/>
                              </a:ln>
                            </wps:spPr>
                            <wps:bodyPr/>
                          </wps:wsp>
                        </a:graphicData>
                      </a:graphic>
                    </wp:anchor>
                  </w:drawing>
                </mc:Choice>
                <mc:Fallback xmlns:w16se="http://schemas.microsoft.com/office/word/2015/wordml/symex" xmlns:cx="http://schemas.microsoft.com/office/drawing/2014/chartex">
                  <w:pict>
                    <v:shapetype w14:anchorId="4E59074A" id="_x0000_t32" coordsize="21600,21600" o:spt="32" o:oned="t" path="m,l21600,21600e" filled="f">
                      <v:path arrowok="t" fillok="f" o:connecttype="none"/>
                      <o:lock v:ext="edit" shapetype="t"/>
                    </v:shapetype>
                    <v:shape id="Straight Arrow Connector 704672994" o:spid="_x0000_s1026" type="#_x0000_t32" style="position:absolute;margin-left:131.55pt;margin-top:1.1pt;width:52.55pt;height:.1pt;z-index:2;visibility:visible;mso-wrap-style:square;mso-wrap-distance-left:9.05pt;mso-wrap-distance-top:0;mso-wrap-distance-right:9.05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" strokeweight=".26mm">
                      <v:stroke joinstyle="miter"/>
                    </v:shape>
                  </w:pict>
                </mc:Fallback>
              </mc:AlternateContent>
            </w:r>
          </w:p>
        </w:tc>
        <w:tc>
          <w:tcPr>
            <w:tcW w:w="7229" w:type="dxa"/>
            <w:vAlign w:val="center"/>
          </w:tcPr>
          <w:p w:rsidR="00A76A41" w:rsidRDefault="00A34CFC">
            <w:pPr>
              <w:pStyle w:val="Heading1"/>
              <w:jc w:val="center"/>
              <w:rPr>
                <w:rFonts w:ascii="Times New Roman" w:hAnsi="Times New Roman" w:cs="Times New Roman"/>
                <w:szCs w:val="28"/>
              </w:rPr>
            </w:pPr>
            <w:r>
              <w:rPr>
                <w:rFonts w:ascii="Times New Roman" w:hAnsi="Times New Roman"/>
                <w:noProof/>
                <w:sz w:val="24"/>
                <w:lang w:eastAsia="en-US"/>
              </w:rPr>
              <mc:AlternateContent>
                <mc:Choice Requires="wps">
                  <w:drawing>
                    <wp:anchor distT="0" distB="0" distL="114935" distR="114935" simplePos="0" relativeHeight="3" behindDoc="0" locked="0" layoutInCell="1" allowOverlap="1">
                      <wp:simplePos x="0" y="0"/>
                      <wp:positionH relativeFrom="column">
                        <wp:posOffset>1146175</wp:posOffset>
                      </wp:positionH>
                      <wp:positionV relativeFrom="paragraph">
                        <wp:posOffset>13970</wp:posOffset>
                      </wp:positionV>
                      <wp:extent cx="2157095" cy="1270"/>
                      <wp:effectExtent l="635" t="5080" r="635" b="5080"/>
                      <wp:wrapNone/>
                      <wp:docPr id="2" name="Straight Arrow Connector 1541191416"/>
                      <wp:cNvGraphicFramePr/>
                      <a:graphic xmlns:a="http://schemas.openxmlformats.org/drawingml/2006/main">
                        <a:graphicData uri="http://schemas.microsoft.com/office/word/2010/wordprocessingShape">
                          <wps:wsp>
                            <wps:cNvCnPr/>
                            <wps:spPr>
                              <a:xfrm>
                                <a:off x="0" y="0"/>
                                <a:ext cx="2157480" cy="1440"/>
                              </a:xfrm>
                              <a:prstGeom prst="straightConnector1">
                                <a:avLst/>
                              </a:prstGeom>
                              <a:ln w="9360">
                                <a:solidFill>
                                  <a:srgbClr val="000000"/>
                                </a:solidFill>
                                <a:miter/>
                              </a:ln>
                            </wps:spPr>
                            <wps:bodyPr/>
                          </wps:wsp>
                        </a:graphicData>
                      </a:graphic>
                    </wp:anchor>
                  </w:drawing>
                </mc:Choice>
                <mc:Fallback xmlns:w16se="http://schemas.microsoft.com/office/word/2015/wordml/symex" xmlns:cx="http://schemas.microsoft.com/office/drawing/2014/chartex">
                  <w:pict>
                    <v:shape w14:anchorId="0D00A8A8" id="Straight Arrow Connector 1541191416" o:spid="_x0000_s1026" type="#_x0000_t32" style="position:absolute;margin-left:90.25pt;margin-top:1.1pt;width:169.85pt;height:.1pt;z-index:3;visibility:visible;mso-wrap-style:square;mso-wrap-distance-left:9.05pt;mso-wrap-distance-top:0;mso-wrap-distance-right:9.05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" strokeweight=".26mm">
                      <v:stroke joinstyle="miter"/>
                    </v:shape>
                  </w:pict>
                </mc:Fallback>
              </mc:AlternateContent>
            </w:r>
            <w:r>
              <w:rPr>
                <w:rFonts w:ascii="Times New Roman" w:hAnsi="Times New Roman" w:cs="Times New Roman"/>
                <w:sz w:val="24"/>
                <w:szCs w:val="28"/>
              </w:rPr>
              <w:t>Hải Phòng, ngày</w:t>
            </w:r>
            <w:r>
              <w:rPr>
                <w:rFonts w:ascii="Times New Roman" w:hAnsi="Times New Roman" w:cs="Times New Roman"/>
                <w:sz w:val="24"/>
                <w:szCs w:val="28"/>
                <w:lang w:val="vi-VN"/>
              </w:rPr>
              <w:t xml:space="preserve"> </w:t>
            </w:r>
            <w:r>
              <w:rPr>
                <w:rFonts w:ascii="Times New Roman" w:hAnsi="Times New Roman" w:cs="Times New Roman"/>
                <w:sz w:val="24"/>
                <w:szCs w:val="28"/>
              </w:rPr>
              <w:t xml:space="preserve">        tháng      năm 20</w:t>
            </w:r>
            <w:r>
              <w:rPr>
                <w:rFonts w:ascii="Times New Roman" w:hAnsi="Times New Roman" w:cs="Times New Roman"/>
                <w:sz w:val="24"/>
                <w:szCs w:val="28"/>
                <w:lang w:val="vi-VN"/>
              </w:rPr>
              <w:t>2</w:t>
            </w:r>
            <w:r>
              <w:rPr>
                <w:rFonts w:ascii="Times New Roman" w:hAnsi="Times New Roman" w:cs="Times New Roman"/>
                <w:sz w:val="24"/>
                <w:szCs w:val="28"/>
              </w:rPr>
              <w:t>6</w:t>
            </w:r>
          </w:p>
        </w:tc>
      </w:tr>
    </w:tbl>
    <w:p w:rsidR="00A76A41" w:rsidRDefault="00A76A41">
      <w:pPr>
        <w:pStyle w:val="Caption"/>
        <w:spacing w:line="240" w:lineRule="auto"/>
        <w:rPr>
          <w:rFonts w:ascii="Times New Roman" w:hAnsi="Times New Roman" w:cs="Times New Roman"/>
          <w:spacing w:val="-10"/>
          <w:sz w:val="10"/>
        </w:rPr>
      </w:pPr>
    </w:p>
    <w:p w:rsidR="00A76A41" w:rsidRDefault="00A34CFC">
      <w:pPr>
        <w:jc w:val="center"/>
        <w:rPr>
          <w:rFonts w:ascii="Times New Roman" w:hAnsi="Times New Roman" w:cs="Times New Roman"/>
          <w:b/>
          <w:bCs/>
        </w:rPr>
      </w:pPr>
      <w:r>
        <w:rPr>
          <w:rFonts w:ascii="Times New Roman" w:hAnsi="Times New Roman" w:cs="Times New Roman"/>
          <w:b/>
          <w:bCs/>
          <w:sz w:val="24"/>
        </w:rPr>
        <w:t>BẢNG TỔNG HỢP</w:t>
      </w:r>
    </w:p>
    <w:p w:rsidR="00A76A41" w:rsidRDefault="00A34CFC">
      <w:pPr>
        <w:jc w:val="center"/>
      </w:pPr>
      <w:r>
        <w:rPr>
          <w:rFonts w:ascii="Times New Roman" w:hAnsi="Times New Roman" w:cs="Times New Roman"/>
          <w:b/>
          <w:bCs/>
          <w:sz w:val="24"/>
        </w:rPr>
        <w:t>VIỆC TIẾP THU, GIẢI TRÌNH Ý KIẾN CỦA CÁC SỞ, BAN, NGÀNH</w:t>
      </w:r>
    </w:p>
    <w:p w:rsidR="00A76A41" w:rsidRDefault="00A34CFC">
      <w:pPr>
        <w:jc w:val="center"/>
        <w:rPr>
          <w:rFonts w:ascii="Times New Roman" w:hAnsi="Times New Roman" w:cs="Times New Roman"/>
          <w:b/>
          <w:bCs/>
          <w:lang w:eastAsia="en-US"/>
        </w:rPr>
      </w:pPr>
      <w:r>
        <w:rPr>
          <w:rFonts w:ascii="Times New Roman" w:hAnsi="Times New Roman" w:cs="Times New Roman"/>
          <w:b/>
          <w:bCs/>
          <w:noProof/>
          <w:sz w:val="24"/>
          <w:lang w:eastAsia="en-US"/>
        </w:rPr>
        <mc:AlternateContent>
          <mc:Choice Requires="wps">
            <w:drawing>
              <wp:anchor distT="0" distB="0" distL="114935" distR="114935" simplePos="0" relativeHeight="4" behindDoc="0" locked="0" layoutInCell="1" allowOverlap="1">
                <wp:simplePos x="0" y="0"/>
                <wp:positionH relativeFrom="column">
                  <wp:posOffset>3470275</wp:posOffset>
                </wp:positionH>
                <wp:positionV relativeFrom="paragraph">
                  <wp:posOffset>14605</wp:posOffset>
                </wp:positionV>
                <wp:extent cx="2543175" cy="0"/>
                <wp:effectExtent l="0" t="3175" r="0" b="3175"/>
                <wp:wrapNone/>
                <wp:docPr id="3" name="Straight Connector 1"/>
                <wp:cNvGraphicFramePr/>
                <a:graphic xmlns:a="http://schemas.openxmlformats.org/drawingml/2006/main">
                  <a:graphicData uri="http://schemas.microsoft.com/office/word/2010/wordprocessingShape">
                    <wps:wsp>
                      <wps:cNvCnPr/>
                      <wps:spPr>
                        <a:xfrm>
                          <a:off x="0" y="0"/>
                          <a:ext cx="2543040" cy="0"/>
                        </a:xfrm>
                        <a:prstGeom prst="line">
                          <a:avLst/>
                        </a:prstGeom>
                        <a:ln w="6480">
                          <a:solidFill>
                            <a:srgbClr val="5B9BD5"/>
                          </a:solidFill>
                          <a:miter/>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cx="http://schemas.microsoft.com/office/drawing/2014/chartex">
            <w:pict>
              <v:line w14:anchorId="081D0EFA" id="Straight Connector 1" o:spid="_x0000_s1026" style="position:absolute;z-index:4;visibility:visible;mso-wrap-style:square;mso-wrap-distance-left:9.05pt;mso-wrap-distance-top:0;mso-wrap-distance-right:9.05pt;mso-wrap-distance-bottom:0;mso-position-horizontal:absolute;mso-position-horizontal-relative:text;mso-position-vertical:absolute;mso-position-vertical-relative:text" from="273.25pt,1.15pt" to="47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" strokecolor="#5b9bd5" strokeweight=".18mm">
                <v:stroke joinstyle="miter"/>
              </v:line>
            </w:pict>
          </mc:Fallback>
        </mc:AlternateContent>
      </w:r>
    </w:p>
    <w:tbl>
      <w:tblPr>
        <w:tblW w:w="14472" w:type="dxa"/>
        <w:jc w:val="center"/>
        <w:tblLayout w:type="fixed"/>
        <w:tblLook w:val="0000" w:firstRow="0" w:lastRow="0" w:firstColumn="0" w:lastColumn="0" w:noHBand="0" w:noVBand="0"/>
      </w:tblPr>
      <w:tblGrid>
        <w:gridCol w:w="794"/>
        <w:gridCol w:w="8611"/>
        <w:gridCol w:w="5067"/>
      </w:tblGrid>
      <w:tr w:rsidR="00A76A41">
        <w:trPr>
          <w:cantSplit/>
          <w:tblHeader/>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b/>
              </w:rPr>
            </w:pPr>
            <w:r>
              <w:rPr>
                <w:rFonts w:ascii="Times New Roman" w:hAnsi="Times New Roman" w:cs="Times New Roman"/>
                <w:b/>
                <w:sz w:val="22"/>
              </w:rPr>
              <w:t>TT</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b/>
              </w:rPr>
            </w:pPr>
            <w:r>
              <w:rPr>
                <w:rFonts w:ascii="Times New Roman" w:hAnsi="Times New Roman" w:cs="Times New Roman"/>
                <w:b/>
                <w:sz w:val="22"/>
              </w:rPr>
              <w:t>Ý kiến của các Sở, ban, ngành</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b/>
              </w:rPr>
            </w:pPr>
            <w:r>
              <w:rPr>
                <w:rFonts w:ascii="Times New Roman" w:hAnsi="Times New Roman" w:cs="Times New Roman"/>
                <w:b/>
                <w:sz w:val="22"/>
              </w:rPr>
              <w:t>Nội dung tiếp thu, giải trình</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jc w:val="center"/>
            </w:pPr>
            <w:r>
              <w:rPr>
                <w:rFonts w:ascii="Times New Roman" w:hAnsi="Times New Roman"/>
                <w:b/>
                <w:sz w:val="22"/>
              </w:rPr>
              <w:t>I</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pStyle w:val="NormalWeb"/>
              <w:keepLines/>
              <w:spacing w:before="0" w:after="0"/>
              <w:rPr>
                <w:b/>
                <w:sz w:val="28"/>
                <w:szCs w:val="28"/>
              </w:rPr>
            </w:pPr>
            <w:r>
              <w:rPr>
                <w:b/>
                <w:sz w:val="22"/>
                <w:szCs w:val="28"/>
              </w:rPr>
              <w:t>Sở Tài chính</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76A41">
            <w:pPr>
              <w:pStyle w:val="NormalWeb"/>
              <w:keepLines/>
              <w:snapToGrid w:val="0"/>
              <w:spacing w:before="0" w:after="0"/>
              <w:jc w:val="center"/>
              <w:rPr>
                <w:b/>
                <w:spacing w:val="-4"/>
                <w:sz w:val="28"/>
                <w:szCs w:val="28"/>
              </w:rPr>
            </w:pP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pStyle w:val="NormalWeb"/>
              <w:keepLines/>
              <w:spacing w:before="0" w:after="0"/>
              <w:jc w:val="center"/>
              <w:rPr>
                <w:bCs/>
                <w:sz w:val="28"/>
                <w:szCs w:val="28"/>
              </w:rPr>
            </w:pPr>
            <w:r>
              <w:rPr>
                <w:bCs/>
                <w:sz w:val="22"/>
                <w:szCs w:val="28"/>
              </w:rPr>
              <w:t>1</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pStyle w:val="NormalWeb"/>
              <w:keepLines/>
              <w:spacing w:before="0" w:after="0"/>
              <w:jc w:val="both"/>
              <w:rPr>
                <w:bCs/>
                <w:sz w:val="28"/>
                <w:szCs w:val="28"/>
              </w:rPr>
            </w:pPr>
            <w:r>
              <w:rPr>
                <w:bCs/>
                <w:sz w:val="22"/>
                <w:szCs w:val="28"/>
              </w:rPr>
              <w:t>Đối với phí thẩm định báo cáo đánh giá tác động môi trường, Đề án đề xuất chỉ còn các mức tương ứng với dự án có tổng vốn dầu tư đến 200 tỷ đồng, trên 200 tỷ đồng đến 500 tỷ đồng và trên 500 tỷ đồng; đồng thời bỏ hai nhóm mức thu đối với dự án có tổng vốn đàu tư đến 50 tỷ đồng và trên 50 tỷ đồng đến dưới 100 tỷ đồng. Đề nghị bổ sung trong hồ sơ giải trình cơ sở thực tiễn của việc bỏ hai nhóm mức thu nêu trên và đánh giá tác động của phương án đề xuất</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bổ sung tại Mục 3.1 Phần V của Đề án</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t>2</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Đối với mức thu 0 đồng đối với dự án đầu tư công đặc biệt, đề nghị thuyết minh rõ cơ sở xác định mức thu và nguồn kinh phí ngân sách nhà nước bảo đảm cho hoạt động thẩm định trong trường hợp này</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bổ sung tại Mục 3.1 Phần V của Đề án</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t>3</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Đề xuất mức phí cấp giấy phép môi trường là 10.000.000 đồng/dự án, cơ sở. Đề nghị bổ sung thuyết minh cụ thể cơ sở xác định mức thu 10 triệu đồng, trong đó đối chiếu với dự toán chi cho từng hình thức tổ chức thẩm định, kiểm tra cấp giấy phép môi trường</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bổ sung tại Mục 3.2 Phần V của Đề án</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t>4</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Đề nghị bổ sung quy định xử lý đối với các hồ sơ đã phát sinh trước thời điểm Nghị quyết có hiệu lực nhưng chưa hoàn thành việc thu phí, đặc biệt đối với các hồ sơ đang thực hiện theo mức thu của Nghị quyết trước đây</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bổ sung tại Mục 2 Phần VI của Đề án, Điều 3 của dự thảo Nghị quyết</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b/>
                <w:bCs/>
              </w:rPr>
            </w:pPr>
            <w:r>
              <w:rPr>
                <w:rFonts w:ascii="Times New Roman" w:hAnsi="Times New Roman" w:cs="Times New Roman"/>
                <w:b/>
                <w:bCs/>
                <w:sz w:val="22"/>
              </w:rPr>
              <w:t>II</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rPr>
                <w:rFonts w:ascii="Times New Roman" w:hAnsi="Times New Roman" w:cs="Times New Roman"/>
                <w:b/>
                <w:bCs/>
              </w:rPr>
            </w:pPr>
            <w:r>
              <w:rPr>
                <w:rFonts w:ascii="Times New Roman" w:hAnsi="Times New Roman" w:cs="Times New Roman"/>
                <w:b/>
                <w:bCs/>
                <w:sz w:val="22"/>
              </w:rPr>
              <w:t>Sở Tư pháp</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76A41">
            <w:pPr>
              <w:keepLines/>
              <w:snapToGrid w:val="0"/>
              <w:jc w:val="center"/>
              <w:rPr>
                <w:rFonts w:ascii="Times New Roman" w:hAnsi="Times New Roman" w:cs="Times New Roman"/>
                <w:b/>
                <w:bCs/>
                <w:highlight w:val="yellow"/>
              </w:rPr>
            </w:pP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b/>
                <w:bCs/>
              </w:rPr>
            </w:pPr>
            <w:r>
              <w:rPr>
                <w:rFonts w:ascii="Times New Roman" w:hAnsi="Times New Roman" w:cs="Times New Roman"/>
                <w:b/>
                <w:bCs/>
                <w:sz w:val="22"/>
              </w:rPr>
              <w:t>II.1</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rPr>
                <w:rFonts w:ascii="Times New Roman" w:hAnsi="Times New Roman" w:cs="Times New Roman"/>
                <w:b/>
                <w:bCs/>
              </w:rPr>
            </w:pPr>
            <w:r>
              <w:rPr>
                <w:rFonts w:ascii="Times New Roman" w:hAnsi="Times New Roman" w:cs="Times New Roman"/>
                <w:b/>
                <w:bCs/>
                <w:sz w:val="22"/>
              </w:rPr>
              <w:t>Về dự thảo Nghị quyết</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76A41">
            <w:pPr>
              <w:keepLines/>
              <w:snapToGrid w:val="0"/>
              <w:jc w:val="center"/>
              <w:rPr>
                <w:rFonts w:ascii="Times New Roman" w:hAnsi="Times New Roman" w:cs="Times New Roman"/>
                <w:b/>
                <w:bCs/>
                <w:highlight w:val="yellow"/>
              </w:rPr>
            </w:pP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lastRenderedPageBreak/>
              <w:t>5</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Phần căn cứ pháp lý:</w:t>
            </w:r>
          </w:p>
          <w:p w:rsidR="00A76A41" w:rsidRDefault="00A34CFC" w:rsidP="00693829">
            <w:pPr>
              <w:keepLines/>
              <w:jc w:val="both"/>
              <w:rPr>
                <w:rFonts w:ascii="Times New Roman" w:hAnsi="Times New Roman" w:cs="Times New Roman"/>
              </w:rPr>
            </w:pPr>
            <w:r>
              <w:rPr>
                <w:rFonts w:ascii="Times New Roman" w:hAnsi="Times New Roman" w:cs="Times New Roman"/>
                <w:sz w:val="22"/>
              </w:rPr>
              <w:t>- Sửa phần căn cứ các Luật đã được sửa đổi, bổ sung thành “Luật… số… được sửa đổi, bổ sung bởi Luật số…</w:t>
            </w:r>
            <w:proofErr w:type="gramStart"/>
            <w:r>
              <w:rPr>
                <w:rFonts w:ascii="Times New Roman" w:hAnsi="Times New Roman" w:cs="Times New Roman"/>
                <w:sz w:val="22"/>
              </w:rPr>
              <w:t>”.</w:t>
            </w:r>
            <w:proofErr w:type="gramEnd"/>
          </w:p>
          <w:p w:rsidR="00A76A41" w:rsidRDefault="00A34CFC" w:rsidP="00693829">
            <w:pPr>
              <w:keepLines/>
              <w:jc w:val="both"/>
              <w:rPr>
                <w:rFonts w:ascii="Times New Roman" w:hAnsi="Times New Roman" w:cs="Times New Roman"/>
              </w:rPr>
            </w:pPr>
            <w:r>
              <w:rPr>
                <w:rFonts w:ascii="Times New Roman" w:hAnsi="Times New Roman" w:cs="Times New Roman"/>
                <w:sz w:val="22"/>
              </w:rPr>
              <w:t>- Chuyển căn cứ là Luật Ban hành văn bản quy phạm pháp luật lên vị trí liền sau Luật Tổ chức chính quyền địa phương</w:t>
            </w:r>
          </w:p>
          <w:p w:rsidR="00A76A41" w:rsidRDefault="00A34CFC" w:rsidP="00693829">
            <w:pPr>
              <w:keepLines/>
              <w:jc w:val="both"/>
              <w:rPr>
                <w:rFonts w:ascii="Times New Roman" w:hAnsi="Times New Roman" w:cs="Times New Roman"/>
              </w:rPr>
            </w:pPr>
            <w:r>
              <w:rPr>
                <w:rFonts w:ascii="Times New Roman" w:hAnsi="Times New Roman" w:cs="Times New Roman"/>
                <w:sz w:val="22"/>
              </w:rPr>
              <w:t>- Căn cứ là Nghị định số 08/2022/NĐ-CP và các Nghị định sửa đổi, bổ sung: đề nghị tách riêng các Nghị định thành các dòng khác nhau, mỗi Nghị định nêu đầy đủ tên loại, số ký hiệu, ngày tháng năm, cơ quan ban hành và tên văn bản</w:t>
            </w:r>
          </w:p>
          <w:p w:rsidR="00A76A41" w:rsidRDefault="00A34CFC" w:rsidP="00693829">
            <w:pPr>
              <w:keepLines/>
              <w:jc w:val="both"/>
              <w:rPr>
                <w:rFonts w:ascii="Times New Roman" w:hAnsi="Times New Roman" w:cs="Times New Roman"/>
              </w:rPr>
            </w:pPr>
            <w:r>
              <w:rPr>
                <w:rFonts w:ascii="Times New Roman" w:hAnsi="Times New Roman" w:cs="Times New Roman"/>
                <w:sz w:val="22"/>
              </w:rPr>
              <w:t>- Đề nghị cập nhật, bổ sung đầy đủ các Thông tư sửa đổi, bổ sung Thông tư số 02/2017/TT-BTC để đảm bảo hiệu lực của văn bản</w:t>
            </w:r>
          </w:p>
          <w:p w:rsidR="00A76A41" w:rsidRDefault="00A34CFC" w:rsidP="00693829">
            <w:pPr>
              <w:keepLines/>
              <w:jc w:val="both"/>
              <w:rPr>
                <w:rFonts w:ascii="Times New Roman" w:hAnsi="Times New Roman" w:cs="Times New Roman"/>
              </w:rPr>
            </w:pPr>
            <w:r>
              <w:rPr>
                <w:rFonts w:ascii="Times New Roman" w:hAnsi="Times New Roman" w:cs="Times New Roman"/>
                <w:sz w:val="22"/>
              </w:rPr>
              <w:t>- Đề nghị bỏ các căn cứ sau cho phù hợp với quy định tại Điều 62 Nghị định số 78/2025/NĐ-CP: Nghị quyết số 25/2025/NQ-HĐND, Quyết định số 36/QĐ-TTHĐND</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chỉnh sửa tại phần căn cứ pháp lý của Dự thảo Nghị quyết.</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t>6</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Đề nghị bổ sung đoạn “Xét Tờ trình…; Báo cáo thẩm tra của….; ý kiến thảo luận của đại biểu Hội đồng nhân dân tại kỳ họp” sau phần căn cứ pháp lý cho phù hợp với mẫu số 18 Phụ lục III ban hành kèm theo Nghị định số 187/2025/NĐ-CP</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bổ sung sau phần căn cứ pháp lý của dự thảo Nghị quyết</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t>7</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Đề nghị sửa đoạn trên Điều 1 như sau cho chính xác: “Hội đồng nhân dân thành phố ban hành Nghị quyết ban hành Quy định…”</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chỉnh sửa tại đoạn trên Điều 1 của dự thảo Nghị quyết</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76A41">
            <w:pPr>
              <w:keepLines/>
              <w:snapToGrid w:val="0"/>
              <w:jc w:val="center"/>
              <w:rPr>
                <w:rFonts w:ascii="Times New Roman" w:hAnsi="Times New Roman" w:cs="Times New Roman"/>
              </w:rPr>
            </w:pP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Điều 3 dự thảo về Điều khoản thi hành:</w:t>
            </w:r>
          </w:p>
          <w:p w:rsidR="00A76A41" w:rsidRDefault="00A34CFC" w:rsidP="00693829">
            <w:pPr>
              <w:keepLines/>
              <w:jc w:val="both"/>
              <w:rPr>
                <w:rFonts w:ascii="Times New Roman" w:hAnsi="Times New Roman" w:cs="Times New Roman"/>
              </w:rPr>
            </w:pPr>
            <w:r>
              <w:rPr>
                <w:rFonts w:ascii="Times New Roman" w:hAnsi="Times New Roman" w:cs="Times New Roman"/>
                <w:sz w:val="22"/>
              </w:rPr>
              <w:t>-Khoản 1 quy định: “Nghị quyết này có hiệu lực thi hành kể từ ngày 01 tháng 01 năm 2027”. Tuy nhiên, theo quy định tại khoản 1 Điều 53 Luật Ban hành văn bản quy phạm pháp luật, Nghị quyết của Hội đồng nhân dân thành phố được xây dựng, ban hành theo trình tự, thủ tục thông thường thì thời điểm có hiệu lực không sớm hơn 10 ngày kể từ ngày thông qua. Đề nghị lưu ý thời điểm thông qua Nghị quyết để tham mưu thời điểm có hiệu lực của văn bản đảm bảo phù hợp với quy định nêu trên</w:t>
            </w:r>
          </w:p>
          <w:p w:rsidR="00A76A41" w:rsidRDefault="00A34CFC" w:rsidP="00693829">
            <w:pPr>
              <w:keepLines/>
              <w:jc w:val="both"/>
            </w:pPr>
            <w:r>
              <w:rPr>
                <w:rFonts w:ascii="Times New Roman" w:hAnsi="Times New Roman" w:cs="Times New Roman"/>
                <w:sz w:val="22"/>
              </w:rPr>
              <w:t>- Khoản 2 quy định về những Nghị quyết, nội dung hết hiệu lực kể từ ngày Nghị quyết này có hiệu lực thi hành, đề nghị bổ sung: “Phụ lục số 01 ban hành kèm theo Nghị quyết số 45/2018/NQ-HĐND được sửa đổi, bổ sung bởi Nghị quyết số 19/2022/NQ-HĐND” và “Phụ lục số 01 ban hành kèm theo Nghị quyết số 19/2022/NQ-HĐND”</w:t>
            </w:r>
          </w:p>
          <w:p w:rsidR="00A76A41" w:rsidRDefault="00A34CFC" w:rsidP="00693829">
            <w:pPr>
              <w:keepLines/>
              <w:jc w:val="both"/>
            </w:pPr>
            <w:r>
              <w:rPr>
                <w:rFonts w:ascii="Times New Roman" w:hAnsi="Times New Roman" w:cs="Times New Roman"/>
                <w:sz w:val="22"/>
              </w:rPr>
              <w:t>- Đề nghị sửa Khoản 3 thành: “Trường hợp các văn bản quy phạm pháp luật được viện dẫn tại Quy định ban hành kèm theo Nghị quyết này được sửa đổi, bổ sung hoặc thay thế…”</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 Dự kiến Nghị quyết có hiệu lực thi hành kể từ ngày 01 tháng 01 năm 2027. Sở Nông nghiệp và Môi trường sẽ căn cứ thời điểm thông qua Nghị quyết để tham mưu thời điểm có hiệu lực của văn bản đảm bảo phù hợp với quy định</w:t>
            </w:r>
          </w:p>
          <w:p w:rsidR="00A76A41" w:rsidRDefault="00A34CFC" w:rsidP="00693829">
            <w:pPr>
              <w:keepLines/>
              <w:jc w:val="both"/>
            </w:pPr>
            <w:r>
              <w:rPr>
                <w:rFonts w:ascii="Times New Roman" w:hAnsi="Times New Roman" w:cs="Times New Roman"/>
                <w:sz w:val="22"/>
              </w:rPr>
              <w:t>- Đã bổ sung “Phụ lục số 01 ban hành kèm theo Nghị quyết số 45/2018/NQ-HĐND được sửa đổi, bổ sung bởi Nghị quyết số 19/2022/NQ-HĐND” và “Phụ lục số 01 ban hành kèm theo Nghị quyết số 19/2022/NQ-HĐND” vào các nội dung hết hiệu lực kể từ ngày Nghị quyết này có hiệu lực</w:t>
            </w:r>
          </w:p>
          <w:p w:rsidR="00A76A41" w:rsidRDefault="00A34CFC" w:rsidP="00693829">
            <w:pPr>
              <w:keepLines/>
              <w:jc w:val="both"/>
              <w:rPr>
                <w:rFonts w:ascii="Times New Roman" w:hAnsi="Times New Roman" w:cs="Times New Roman"/>
              </w:rPr>
            </w:pPr>
            <w:r>
              <w:rPr>
                <w:rFonts w:ascii="Times New Roman" w:hAnsi="Times New Roman" w:cs="Times New Roman"/>
                <w:sz w:val="22"/>
              </w:rPr>
              <w:t>- Sửa khoản 3 thành khoản 4 với nội dung như sau:</w:t>
            </w:r>
            <w:r>
              <w:rPr>
                <w:rFonts w:ascii="Times New Roman" w:hAnsi="Times New Roman"/>
                <w:spacing w:val="-4"/>
                <w:sz w:val="22"/>
                <w:szCs w:val="28"/>
                <w:lang w:val="pl-PL"/>
              </w:rPr>
              <w:t xml:space="preserve"> </w:t>
            </w:r>
            <w:r>
              <w:rPr>
                <w:rFonts w:ascii="Times New Roman" w:hAnsi="Times New Roman" w:cs="Arial"/>
                <w:spacing w:val="-4"/>
                <w:sz w:val="22"/>
                <w:szCs w:val="28"/>
                <w:lang w:val="pl-PL"/>
              </w:rPr>
              <w:t>‘’</w:t>
            </w:r>
            <w:r>
              <w:rPr>
                <w:rFonts w:ascii="Times New Roman" w:hAnsi="Times New Roman" w:cs="Times New Roman"/>
                <w:spacing w:val="-4"/>
                <w:sz w:val="22"/>
                <w:szCs w:val="28"/>
                <w:lang w:val="pl-PL"/>
              </w:rPr>
              <w:t>Trường hợp các văn bản quy phạm pháp luật được viện dẫn tại Quy định ban hành kèm theo Nghị quyết này được sửa đổi, bổ sung hoặc thay thế bởi văn bản khác thì áp dụng văn bản sửa đổi, bổ sung hoặc thay thế đó”</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lastRenderedPageBreak/>
              <w:t>8</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 xml:space="preserve">Về nơi nhận, đề nghị: </w:t>
            </w:r>
          </w:p>
          <w:p w:rsidR="00A76A41" w:rsidRDefault="00A34CFC" w:rsidP="00693829">
            <w:pPr>
              <w:keepLines/>
              <w:jc w:val="both"/>
            </w:pPr>
            <w:r>
              <w:rPr>
                <w:rFonts w:ascii="Times New Roman" w:hAnsi="Times New Roman" w:cs="Times New Roman"/>
                <w:sz w:val="22"/>
              </w:rPr>
              <w:t>- Sửa “Cục Kiểm tra văn bản và QLXLVPHC (Bộ Tư pháp)” thành “Cục Kiểm tra văn bản và TCTHPL (Bộ Tư  pháp)”</w:t>
            </w:r>
          </w:p>
          <w:p w:rsidR="00A76A41" w:rsidRDefault="00A34CFC" w:rsidP="00693829">
            <w:pPr>
              <w:keepLines/>
              <w:jc w:val="both"/>
              <w:rPr>
                <w:rFonts w:ascii="Times New Roman" w:hAnsi="Times New Roman" w:cs="Times New Roman"/>
              </w:rPr>
            </w:pPr>
            <w:r>
              <w:rPr>
                <w:rFonts w:ascii="Times New Roman" w:hAnsi="Times New Roman" w:cs="Times New Roman"/>
                <w:sz w:val="22"/>
              </w:rPr>
              <w:t>- Bổ sung “Sở Tư pháp” (tách riêng) cho đầy đủ</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chỉnh sửa, bổ sung tại phần “Nơi nhận” của dự thảo Nghị quyết</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b/>
                <w:sz w:val="22"/>
              </w:rPr>
              <w:t>II.2</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rPr>
                <w:rFonts w:ascii="Times New Roman" w:hAnsi="Times New Roman" w:cs="Times New Roman"/>
              </w:rPr>
            </w:pPr>
            <w:r>
              <w:rPr>
                <w:rFonts w:ascii="Times New Roman" w:hAnsi="Times New Roman" w:cs="Times New Roman"/>
                <w:b/>
                <w:sz w:val="22"/>
              </w:rPr>
              <w:t>Về dự thảo Quy định kèm theo Nghị quyết</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76A41">
            <w:pPr>
              <w:keepLines/>
              <w:snapToGrid w:val="0"/>
              <w:jc w:val="center"/>
              <w:rPr>
                <w:rFonts w:ascii="Times New Roman" w:hAnsi="Times New Roman" w:cs="Times New Roman"/>
              </w:rPr>
            </w:pP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t>9</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Điều 2 dự thảo về đối tượng áp dụng, đề nghị bổ sung khoản 3: “Tổ chức, cá nhân có liên quan”</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bổ sung tại Điều 2 của dự thảo Quy định kèm theo Nghị quyết</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t>10</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Khoản 1, khoản 2 Điều 3 dự thảo:</w:t>
            </w:r>
          </w:p>
          <w:p w:rsidR="00A76A41" w:rsidRDefault="00A34CFC" w:rsidP="00693829">
            <w:pPr>
              <w:keepLines/>
              <w:jc w:val="both"/>
            </w:pPr>
            <w:r>
              <w:rPr>
                <w:rFonts w:ascii="Times New Roman" w:hAnsi="Times New Roman" w:cs="Times New Roman"/>
                <w:sz w:val="22"/>
              </w:rPr>
              <w:t>-Sử dụng từ viết tắt không đảm bảo quy định tại khoản 4 Điều 60 Nghị định số 78/2025/NĐ-CP. Đề nghị chỉnh lý viết đầy đủ từ ngữ diễn đạt nội dung theo quy định</w:t>
            </w:r>
          </w:p>
          <w:p w:rsidR="00A76A41" w:rsidRDefault="00A34CFC" w:rsidP="00693829">
            <w:pPr>
              <w:keepLines/>
              <w:jc w:val="both"/>
            </w:pPr>
            <w:r>
              <w:rPr>
                <w:rFonts w:ascii="Times New Roman" w:hAnsi="Times New Roman" w:cs="Times New Roman"/>
                <w:sz w:val="22"/>
              </w:rPr>
              <w:t>- Biểu phí tại khoản 1 sử dụng ký hiệu để thay thế cho ngôn ngữ tiếng Việt là không phù hợp với quy định tại khoản 1 Điều 7 Luật ban hành văn bản quy phạm pháp luật số 64/2025/QH15; khoản 1 Điều 60 Nghị định số 78/2025/NĐ-CP. Đề nghị chỉnh lý, sử dụng ngôn ngữ tiếng Việt để diễn đạt nội dung quy định cho rõ ràng, tránh việc áp dụng tùy nghi trên thực tế</w:t>
            </w:r>
          </w:p>
          <w:p w:rsidR="00A76A41" w:rsidRDefault="00A34CFC" w:rsidP="00693829">
            <w:pPr>
              <w:keepLines/>
              <w:jc w:val="both"/>
              <w:rPr>
                <w:rFonts w:ascii="Times New Roman" w:hAnsi="Times New Roman" w:cs="Times New Roman"/>
              </w:rPr>
            </w:pPr>
            <w:r>
              <w:rPr>
                <w:rFonts w:ascii="Times New Roman" w:hAnsi="Times New Roman" w:cs="Times New Roman"/>
                <w:sz w:val="22"/>
              </w:rPr>
              <w:t>- Đề nghị rà soát, chuẩn hóa đơn vị tính tại các biểu phí cho thống nhất</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chỉnh sửa tại khoản 1, khoản 2 Điều 3 dự thảo Quy định kèm theo Nghị quyết</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b/>
              </w:rPr>
            </w:pPr>
            <w:r>
              <w:rPr>
                <w:rFonts w:ascii="Times New Roman" w:hAnsi="Times New Roman" w:cs="Times New Roman"/>
                <w:b/>
                <w:sz w:val="22"/>
              </w:rPr>
              <w:t>III</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rPr>
                <w:rFonts w:ascii="Times New Roman" w:hAnsi="Times New Roman" w:cs="Times New Roman"/>
                <w:b/>
              </w:rPr>
            </w:pPr>
            <w:r>
              <w:rPr>
                <w:rFonts w:ascii="Times New Roman" w:hAnsi="Times New Roman" w:cs="Times New Roman"/>
                <w:b/>
                <w:sz w:val="22"/>
              </w:rPr>
              <w:t>Sở Khoa học và Công nghệ</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76A41">
            <w:pPr>
              <w:keepLines/>
              <w:snapToGrid w:val="0"/>
              <w:jc w:val="center"/>
              <w:rPr>
                <w:rFonts w:ascii="Times New Roman" w:hAnsi="Times New Roman" w:cs="Times New Roman"/>
                <w:b/>
              </w:rPr>
            </w:pP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t>11</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Đối với dự thảo Nghị quyết:</w:t>
            </w:r>
          </w:p>
          <w:p w:rsidR="00A76A41" w:rsidRDefault="00A34CFC" w:rsidP="00693829">
            <w:pPr>
              <w:keepLines/>
              <w:jc w:val="both"/>
              <w:rPr>
                <w:rFonts w:ascii="Times New Roman" w:hAnsi="Times New Roman" w:cs="Times New Roman"/>
              </w:rPr>
            </w:pPr>
            <w:r>
              <w:rPr>
                <w:rFonts w:ascii="Times New Roman" w:hAnsi="Times New Roman" w:cs="Times New Roman"/>
                <w:sz w:val="22"/>
              </w:rPr>
              <w:t>-Căn cứ Quyết định số 36/QĐ-TTHĐND ngày 23/6/2026 của Thường trực Hội đồng nhân dân thành phố, đề nghị xác định hình thức văn bản quy định trực tiếp hay gián tiếp để trình bày thể thức phù hợp với quy định</w:t>
            </w:r>
          </w:p>
          <w:p w:rsidR="00A76A41" w:rsidRDefault="00A34CFC" w:rsidP="00693829">
            <w:pPr>
              <w:keepLines/>
              <w:jc w:val="both"/>
              <w:rPr>
                <w:rFonts w:ascii="Times New Roman" w:hAnsi="Times New Roman" w:cs="Times New Roman"/>
              </w:rPr>
            </w:pPr>
            <w:r>
              <w:rPr>
                <w:rFonts w:ascii="Times New Roman" w:hAnsi="Times New Roman" w:cs="Times New Roman"/>
                <w:sz w:val="22"/>
              </w:rPr>
              <w:t>- Đề nghị lược bỏ Nghị quyết 25/2025/NQQ-HĐND, Quyết định số 36/QĐ-TTHĐND trong căn cứ ban hành Nghị quyết</w:t>
            </w:r>
          </w:p>
          <w:p w:rsidR="00A76A41" w:rsidRDefault="00A34CFC" w:rsidP="00693829">
            <w:pPr>
              <w:keepLines/>
              <w:jc w:val="both"/>
              <w:rPr>
                <w:rFonts w:ascii="Times New Roman" w:hAnsi="Times New Roman" w:cs="Times New Roman"/>
              </w:rPr>
            </w:pPr>
            <w:r>
              <w:rPr>
                <w:rFonts w:ascii="Times New Roman" w:hAnsi="Times New Roman" w:cs="Times New Roman"/>
                <w:sz w:val="22"/>
              </w:rPr>
              <w:t>- Đề nghị rà soát, chỉnh sửa cụm từ “pháp luật về quản lý thuế” thành “pháp luật về phí và lệ phí” tại Điều 4 dự thảo Quy định kèm theo Nghị quyết</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 Hình thức văn bản quy định gián tiếp</w:t>
            </w:r>
          </w:p>
          <w:p w:rsidR="00A76A41" w:rsidRDefault="00A34CFC" w:rsidP="00693829">
            <w:pPr>
              <w:keepLines/>
              <w:jc w:val="both"/>
              <w:rPr>
                <w:rFonts w:ascii="Times New Roman" w:hAnsi="Times New Roman" w:cs="Times New Roman"/>
              </w:rPr>
            </w:pPr>
            <w:r>
              <w:rPr>
                <w:rFonts w:ascii="Times New Roman" w:hAnsi="Times New Roman" w:cs="Times New Roman"/>
                <w:sz w:val="22"/>
              </w:rPr>
              <w:t>- Đã tiếp thu, chỉnh sửa tại phần căn cứ pháp lý và Điều 4 dự thảo Quy định kèm theo Nghị quyết</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b/>
                <w:bCs/>
              </w:rPr>
            </w:pPr>
            <w:r>
              <w:rPr>
                <w:rFonts w:ascii="Times New Roman" w:hAnsi="Times New Roman" w:cs="Times New Roman"/>
                <w:b/>
                <w:bCs/>
                <w:sz w:val="22"/>
              </w:rPr>
              <w:t>IV</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rPr>
                <w:rFonts w:ascii="Times New Roman" w:hAnsi="Times New Roman" w:cs="Times New Roman"/>
                <w:b/>
                <w:bCs/>
              </w:rPr>
            </w:pPr>
            <w:r>
              <w:rPr>
                <w:rFonts w:ascii="Times New Roman" w:hAnsi="Times New Roman" w:cs="Times New Roman"/>
                <w:b/>
                <w:bCs/>
                <w:sz w:val="22"/>
              </w:rPr>
              <w:t>Ban Quản lý Khu kinh tế Hải Phòng</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76A41">
            <w:pPr>
              <w:keepLines/>
              <w:snapToGrid w:val="0"/>
              <w:jc w:val="center"/>
              <w:rPr>
                <w:rFonts w:ascii="Times New Roman" w:hAnsi="Times New Roman" w:cs="Times New Roman"/>
                <w:b/>
                <w:bCs/>
              </w:rPr>
            </w:pP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t>12</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Đề nghị xem xét, chỉnh sửa lại số liệu về phí thẩm định của Sở Nông nghiệp và Môi trường thành phố Hải Phòng (trước sắp xếp) và ban quản lý khu kinh tế Hải Phòng tại Biểu 4 của dự thảo Đề án</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chỉnh sửa tại Biểu 4 của Đề án</w:t>
            </w:r>
          </w:p>
          <w:p w:rsidR="00A76A41" w:rsidRDefault="00A76A41" w:rsidP="00693829">
            <w:pPr>
              <w:keepLines/>
              <w:jc w:val="both"/>
              <w:rPr>
                <w:rFonts w:ascii="Times New Roman" w:hAnsi="Times New Roman" w:cs="Times New Roman"/>
              </w:rPr>
            </w:pPr>
          </w:p>
          <w:p w:rsidR="00A76A41" w:rsidRDefault="00A76A41" w:rsidP="00693829">
            <w:pPr>
              <w:keepLines/>
              <w:jc w:val="both"/>
              <w:rPr>
                <w:rFonts w:ascii="Times New Roman" w:hAnsi="Times New Roman" w:cs="Times New Roman"/>
              </w:rPr>
            </w:pP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b/>
                <w:bCs/>
              </w:rPr>
            </w:pPr>
            <w:r>
              <w:rPr>
                <w:rFonts w:ascii="Times New Roman" w:hAnsi="Times New Roman" w:cs="Times New Roman"/>
                <w:b/>
                <w:bCs/>
                <w:sz w:val="22"/>
              </w:rPr>
              <w:t>V</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rPr>
                <w:rFonts w:ascii="Times New Roman" w:hAnsi="Times New Roman" w:cs="Times New Roman"/>
                <w:b/>
                <w:bCs/>
              </w:rPr>
            </w:pPr>
            <w:r>
              <w:rPr>
                <w:rFonts w:ascii="Times New Roman" w:hAnsi="Times New Roman" w:cs="Times New Roman"/>
                <w:b/>
                <w:bCs/>
                <w:sz w:val="22"/>
              </w:rPr>
              <w:t>Văn phòng Sở</w:t>
            </w:r>
            <w:bookmarkStart w:id="0" w:name="_GoBack"/>
            <w:bookmarkEnd w:id="0"/>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76A41">
            <w:pPr>
              <w:keepLines/>
              <w:snapToGrid w:val="0"/>
              <w:jc w:val="center"/>
              <w:rPr>
                <w:rFonts w:ascii="Times New Roman" w:hAnsi="Times New Roman" w:cs="Times New Roman"/>
                <w:b/>
                <w:bCs/>
              </w:rPr>
            </w:pP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t>13</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Căn cứ pháp lý đề nghị bỏ Nghị quyết số 25/2025/NQ-HĐND, Quyết định số 36/QĐ-TTHĐND</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chỉnh sửa tại phần căn cứ pháp lý của dự thảo Nghị quyết</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rPr>
            </w:pPr>
            <w:r>
              <w:rPr>
                <w:rFonts w:ascii="Times New Roman" w:hAnsi="Times New Roman" w:cs="Times New Roman"/>
                <w:sz w:val="22"/>
              </w:rPr>
              <w:lastRenderedPageBreak/>
              <w:t>14</w:t>
            </w:r>
          </w:p>
        </w:tc>
        <w:tc>
          <w:tcPr>
            <w:tcW w:w="9354"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Điều 3 đề nghị bổ sung điều khoản chuyển tiếp đối với các hồ sơ tiếp nhận trước khi Nghị quyết này có hiệu lực nhưng chưa thu phí</w:t>
            </w:r>
          </w:p>
        </w:tc>
        <w:tc>
          <w:tcPr>
            <w:tcW w:w="5499"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jc w:val="both"/>
              <w:rPr>
                <w:rFonts w:ascii="Times New Roman" w:hAnsi="Times New Roman" w:cs="Times New Roman"/>
              </w:rPr>
            </w:pPr>
            <w:r>
              <w:rPr>
                <w:rFonts w:ascii="Times New Roman" w:hAnsi="Times New Roman" w:cs="Times New Roman"/>
                <w:sz w:val="22"/>
              </w:rPr>
              <w:t>Đã tiếp thu, bổ sung tại Điều 3 của dự thảo Nghị quyết</w:t>
            </w:r>
          </w:p>
        </w:tc>
      </w:tr>
      <w:tr w:rsidR="00A76A41">
        <w:trPr>
          <w:cantSplit/>
          <w:jc w:val="center"/>
        </w:trPr>
        <w:tc>
          <w:tcPr>
            <w:tcW w:w="850" w:type="dxa"/>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pPr>
              <w:keepLines/>
              <w:jc w:val="center"/>
              <w:rPr>
                <w:rFonts w:ascii="Times New Roman" w:hAnsi="Times New Roman" w:cs="Times New Roman"/>
                <w:b/>
                <w:bCs/>
              </w:rPr>
            </w:pPr>
            <w:r>
              <w:rPr>
                <w:rFonts w:ascii="Times New Roman" w:hAnsi="Times New Roman" w:cs="Times New Roman"/>
                <w:b/>
                <w:bCs/>
                <w:sz w:val="22"/>
              </w:rPr>
              <w:t>VI</w:t>
            </w:r>
          </w:p>
        </w:tc>
        <w:tc>
          <w:tcPr>
            <w:tcW w:w="5499" w:type="dxa"/>
            <w:gridSpan w:val="2"/>
            <w:tcBorders>
              <w:top w:val="single" w:sz="4" w:space="0" w:color="000000"/>
              <w:left w:val="single" w:sz="4" w:space="0" w:color="000000"/>
              <w:bottom w:val="single" w:sz="4" w:space="0" w:color="000000"/>
              <w:right w:val="single" w:sz="4" w:space="0" w:color="000000"/>
            </w:tcBorders>
            <w:tcMar>
              <w:top w:w="60" w:type="dxa"/>
              <w:left w:w="70" w:type="dxa"/>
              <w:bottom w:w="60" w:type="dxa"/>
              <w:right w:w="70" w:type="dxa"/>
            </w:tcMar>
            <w:vAlign w:val="center"/>
          </w:tcPr>
          <w:p w:rsidR="00A76A41" w:rsidRDefault="00A34CFC" w:rsidP="00693829">
            <w:pPr>
              <w:keepLines/>
              <w:rPr>
                <w:rFonts w:ascii="Times New Roman" w:hAnsi="Times New Roman" w:cs="Times New Roman"/>
              </w:rPr>
            </w:pPr>
            <w:r>
              <w:rPr>
                <w:rFonts w:ascii="Times New Roman" w:hAnsi="Times New Roman" w:cs="Times New Roman"/>
                <w:b/>
                <w:bCs/>
                <w:sz w:val="22"/>
              </w:rPr>
              <w:t>Sở Nội vụ, Ủy ban mặt trận tổ quốc</w:t>
            </w:r>
            <w:r>
              <w:rPr>
                <w:rFonts w:ascii="Times New Roman" w:hAnsi="Times New Roman" w:cs="Times New Roman"/>
                <w:b/>
                <w:sz w:val="22"/>
              </w:rPr>
              <w:t xml:space="preserve">: </w:t>
            </w:r>
            <w:r w:rsidRPr="00693829">
              <w:rPr>
                <w:rFonts w:ascii="Times New Roman" w:hAnsi="Times New Roman" w:cs="Times New Roman"/>
                <w:sz w:val="22"/>
              </w:rPr>
              <w:t>nhất trí với nội dung của hồ sơ dự thảo Nghị quyết</w:t>
            </w:r>
          </w:p>
        </w:tc>
      </w:tr>
    </w:tbl>
    <w:p w:rsidR="00A76A41" w:rsidRDefault="00A76A41"/>
    <w:sectPr w:rsidR="00A76A41">
      <w:headerReference w:type="default" r:id="rId7"/>
      <w:headerReference w:type="first" r:id="rId8"/>
      <w:pgSz w:w="16838" w:h="11906" w:orient="landscape"/>
      <w:pgMar w:top="567" w:right="567" w:bottom="567" w:left="567" w:header="720" w:footer="0" w:gutter="0"/>
      <w:cols w:space="720"/>
      <w:formProt w:val="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BAD" w:rsidRDefault="00DC3BAD">
      <w:r>
        <w:separator/>
      </w:r>
    </w:p>
  </w:endnote>
  <w:endnote w:type="continuationSeparator" w:id="0">
    <w:p w:rsidR="00DC3BAD" w:rsidRDefault="00DC3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VnTime;Courier New">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VnTimeH;Courier New">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BAD" w:rsidRDefault="00DC3BAD">
      <w:r>
        <w:separator/>
      </w:r>
    </w:p>
  </w:footnote>
  <w:footnote w:type="continuationSeparator" w:id="0">
    <w:p w:rsidR="00DC3BAD" w:rsidRDefault="00DC3B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6A41" w:rsidRDefault="00A34CFC">
    <w:pPr>
      <w:pStyle w:val="Header"/>
      <w:jc w:val="center"/>
    </w:pPr>
    <w:r>
      <w:fldChar w:fldCharType="begin"/>
    </w:r>
    <w:r>
      <w:instrText xml:space="preserve"> PAGE </w:instrText>
    </w:r>
    <w:r>
      <w:fldChar w:fldCharType="separate"/>
    </w:r>
    <w:r w:rsidR="00693829">
      <w:rPr>
        <w:noProof/>
      </w:rPr>
      <w:t>4</w:t>
    </w:r>
    <w:r>
      <w:fldChar w:fldCharType="end"/>
    </w:r>
  </w:p>
  <w:p w:rsidR="00A76A41" w:rsidRDefault="00A76A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6A41" w:rsidRDefault="00A76A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A85D78"/>
    <w:multiLevelType w:val="multilevel"/>
    <w:tmpl w:val="11D0DA50"/>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A41"/>
    <w:rsid w:val="004B63DA"/>
    <w:rsid w:val="00693829"/>
    <w:rsid w:val="00A34CFC"/>
    <w:rsid w:val="00A76A41"/>
    <w:rsid w:val="00DB11BD"/>
    <w:rsid w:val="00DC3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1AFF91-FEC7-4268-8A0F-1CDB13756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Time;Courier New" w:eastAsia="Times New Roman" w:hAnsi=".VnTime;Courier New" w:cs=".VnTime;Courier New"/>
      <w:sz w:val="28"/>
      <w:szCs w:val="20"/>
      <w:lang w:bidi="ar-SA"/>
    </w:rPr>
  </w:style>
  <w:style w:type="paragraph" w:styleId="Heading1">
    <w:name w:val="heading 1"/>
    <w:basedOn w:val="Normal"/>
    <w:next w:val="Normal"/>
    <w:qFormat/>
    <w:pPr>
      <w:keepNext/>
      <w:numPr>
        <w:numId w:val="1"/>
      </w:numPr>
      <w:jc w:val="right"/>
      <w:outlineLvl w:val="0"/>
    </w:pPr>
    <w:rPr>
      <w:i/>
    </w:rPr>
  </w:style>
  <w:style w:type="paragraph" w:styleId="Heading3">
    <w:name w:val="heading 3"/>
    <w:basedOn w:val="Normal"/>
    <w:next w:val="Normal"/>
    <w:qFormat/>
    <w:pPr>
      <w:keepNext/>
      <w:numPr>
        <w:ilvl w:val="2"/>
        <w:numId w:val="1"/>
      </w:numPr>
      <w:jc w:val="center"/>
      <w:outlineLvl w:val="2"/>
    </w:pPr>
    <w:rPr>
      <w:rFonts w:ascii=".VnTimeH;Courier New" w:hAnsi=".VnTimeH;Courier New" w:cs=".VnTimeH;Courier New"/>
      <w:b/>
    </w:rPr>
  </w:style>
  <w:style w:type="paragraph" w:styleId="Heading5">
    <w:name w:val="heading 5"/>
    <w:basedOn w:val="Normal"/>
    <w:next w:val="Normal"/>
    <w:qFormat/>
    <w:pPr>
      <w:keepNext/>
      <w:numPr>
        <w:ilvl w:val="4"/>
        <w:numId w:val="1"/>
      </w:numPr>
      <w:jc w:val="center"/>
      <w:outlineLvl w:val="4"/>
    </w:pPr>
    <w:rPr>
      <w:rFonts w:ascii=".VnTimeH;Courier New" w:hAnsi=".VnTimeH;Courier New" w:cs=".VnTimeH;Courier New"/>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Times New Roman" w:eastAsia="Times New Roman"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rPr>
      <w:rFonts w:ascii="Times New Roman" w:eastAsia="Times New Roman" w:hAnsi="Times New Roman" w:cs="Times New Roman"/>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Times New Roman" w:eastAsia="Times New Roman" w:hAnsi="Times New Roman" w:cs="Times New Roman"/>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Heading1Char">
    <w:name w:val="Heading 1 Char"/>
    <w:qFormat/>
    <w:rPr>
      <w:rFonts w:ascii=".VnTime;Courier New" w:eastAsia="Times New Roman" w:hAnsi=".VnTime;Courier New" w:cs="Times New Roman"/>
      <w:i/>
      <w:sz w:val="28"/>
      <w:szCs w:val="20"/>
    </w:rPr>
  </w:style>
  <w:style w:type="character" w:customStyle="1" w:styleId="Heading3Char">
    <w:name w:val="Heading 3 Char"/>
    <w:qFormat/>
    <w:rPr>
      <w:rFonts w:ascii=".VnTimeH;Courier New" w:eastAsia="Times New Roman" w:hAnsi=".VnTimeH;Courier New" w:cs="Times New Roman"/>
      <w:b/>
      <w:sz w:val="28"/>
      <w:szCs w:val="20"/>
    </w:rPr>
  </w:style>
  <w:style w:type="character" w:customStyle="1" w:styleId="Heading5Char">
    <w:name w:val="Heading 5 Char"/>
    <w:qFormat/>
    <w:rPr>
      <w:rFonts w:ascii=".VnTimeH;Courier New" w:eastAsia="Times New Roman" w:hAnsi=".VnTimeH;Courier New" w:cs="Times New Roman"/>
      <w:b/>
      <w:sz w:val="26"/>
      <w:szCs w:val="20"/>
    </w:rPr>
  </w:style>
  <w:style w:type="character" w:customStyle="1" w:styleId="fontstyle01">
    <w:name w:val="fontstyle01"/>
    <w:qFormat/>
    <w:rPr>
      <w:rFonts w:ascii="Times New Roman" w:hAnsi="Times New Roman" w:cs="Times New Roman"/>
      <w:b w:val="0"/>
      <w:bCs w:val="0"/>
      <w:i w:val="0"/>
      <w:iCs w:val="0"/>
      <w:color w:val="000000"/>
      <w:sz w:val="28"/>
      <w:szCs w:val="28"/>
    </w:rPr>
  </w:style>
  <w:style w:type="character" w:customStyle="1" w:styleId="BodyTextChar">
    <w:name w:val="Body Text Char"/>
    <w:qFormat/>
    <w:rPr>
      <w:rFonts w:ascii=".VnTime;Courier New" w:eastAsia="Times New Roman" w:hAnsi=".VnTime;Courier New" w:cs=".VnTime;Courier New"/>
      <w:sz w:val="28"/>
    </w:rPr>
  </w:style>
  <w:style w:type="character" w:customStyle="1" w:styleId="BodyTextChar1">
    <w:name w:val="Body Text Char1"/>
    <w:qFormat/>
    <w:rPr>
      <w:rFonts w:ascii=".VnTime;Courier New" w:eastAsia="Times New Roman" w:hAnsi=".VnTime;Courier New" w:cs=".VnTime;Courier New"/>
      <w:sz w:val="28"/>
      <w:szCs w:val="24"/>
    </w:rPr>
  </w:style>
  <w:style w:type="character" w:customStyle="1" w:styleId="fontstyle11">
    <w:name w:val="fontstyle11"/>
    <w:qFormat/>
    <w:rPr>
      <w:rFonts w:ascii="Times New Roman" w:hAnsi="Times New Roman" w:cs="Times New Roman"/>
      <w:b/>
      <w:bCs/>
      <w:i w:val="0"/>
      <w:iCs w:val="0"/>
      <w:color w:val="000000"/>
      <w:sz w:val="28"/>
      <w:szCs w:val="28"/>
    </w:rPr>
  </w:style>
  <w:style w:type="character" w:customStyle="1" w:styleId="HeaderChar">
    <w:name w:val="Header Char"/>
    <w:qFormat/>
    <w:rPr>
      <w:rFonts w:ascii=".VnTime;Courier New" w:eastAsia="Times New Roman" w:hAnsi=".VnTime;Courier New" w:cs=".VnTime;Courier New"/>
      <w:sz w:val="28"/>
    </w:rPr>
  </w:style>
  <w:style w:type="character" w:customStyle="1" w:styleId="FooterChar">
    <w:name w:val="Footer Char"/>
    <w:qFormat/>
    <w:rPr>
      <w:rFonts w:ascii=".VnTime;Courier New" w:eastAsia="Times New Roman" w:hAnsi=".VnTime;Courier New" w:cs=".VnTime;Courier New"/>
      <w:sz w:val="28"/>
    </w:rPr>
  </w:style>
  <w:style w:type="character" w:customStyle="1" w:styleId="BalloonTextChar">
    <w:name w:val="Balloon Text Char"/>
    <w:qFormat/>
    <w:rPr>
      <w:rFonts w:ascii="Segoe UI" w:eastAsia="Times New Roman" w:hAnsi="Segoe UI" w:cs="Segoe UI"/>
      <w:sz w:val="18"/>
      <w:szCs w:val="18"/>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Cs w:val="28"/>
    </w:rPr>
  </w:style>
  <w:style w:type="paragraph" w:styleId="BodyText">
    <w:name w:val="Body Text"/>
    <w:basedOn w:val="Normal"/>
    <w:pPr>
      <w:tabs>
        <w:tab w:val="left" w:pos="561"/>
      </w:tabs>
      <w:jc w:val="both"/>
    </w:pPr>
    <w:rPr>
      <w:szCs w:val="24"/>
    </w:rPr>
  </w:style>
  <w:style w:type="paragraph" w:styleId="List">
    <w:name w:val="List"/>
    <w:basedOn w:val="BodyText"/>
    <w:rPr>
      <w:rFonts w:cs="Lohit Devanagari"/>
    </w:rPr>
  </w:style>
  <w:style w:type="paragraph" w:styleId="Caption">
    <w:name w:val="caption"/>
    <w:basedOn w:val="Normal"/>
    <w:next w:val="Normal"/>
    <w:qFormat/>
    <w:pPr>
      <w:spacing w:line="360" w:lineRule="auto"/>
      <w:jc w:val="center"/>
    </w:pPr>
    <w:rPr>
      <w:rFonts w:ascii=".VnTimeH;Courier New" w:hAnsi=".VnTimeH;Courier New" w:cs=".VnTimeH;Courier New"/>
      <w:b/>
      <w:sz w:val="32"/>
    </w:rPr>
  </w:style>
  <w:style w:type="paragraph" w:customStyle="1" w:styleId="Index">
    <w:name w:val="Index"/>
    <w:basedOn w:val="Normal"/>
    <w:qFormat/>
    <w:pPr>
      <w:suppressLineNumbers/>
    </w:pPr>
    <w:rPr>
      <w:rFonts w:cs="Lohit Devanagari"/>
    </w:rPr>
  </w:style>
  <w:style w:type="paragraph" w:styleId="NormalWeb">
    <w:name w:val="Normal (Web)"/>
    <w:basedOn w:val="Normal"/>
    <w:qFormat/>
    <w:pPr>
      <w:spacing w:before="280" w:after="280"/>
    </w:pPr>
    <w:rPr>
      <w:rFonts w:ascii="Times New Roman" w:hAnsi="Times New Roman" w:cs="Times New Roman"/>
      <w:sz w:val="24"/>
      <w:szCs w:val="24"/>
    </w:rPr>
  </w:style>
  <w:style w:type="paragraph" w:styleId="ListParagraph">
    <w:name w:val="List Paragraph"/>
    <w:basedOn w:val="Normal"/>
    <w:qFormat/>
    <w:pPr>
      <w:spacing w:before="120"/>
      <w:ind w:left="720" w:firstLine="567"/>
      <w:contextualSpacing/>
      <w:jc w:val="both"/>
    </w:pPr>
    <w:rPr>
      <w:rFonts w:ascii="Calibri" w:eastAsia="Calibri" w:hAnsi="Calibri" w:cs="Calibri"/>
      <w:sz w:val="22"/>
      <w:szCs w:val="2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680"/>
        <w:tab w:val="right" w:pos="9360"/>
      </w:tabs>
    </w:pPr>
  </w:style>
  <w:style w:type="paragraph" w:styleId="Footer">
    <w:name w:val="footer"/>
    <w:basedOn w:val="Normal"/>
    <w:pPr>
      <w:tabs>
        <w:tab w:val="center" w:pos="4680"/>
        <w:tab w:val="right" w:pos="9360"/>
      </w:tabs>
    </w:pPr>
  </w:style>
  <w:style w:type="paragraph" w:styleId="BalloonText">
    <w:name w:val="Balloon Text"/>
    <w:basedOn w:val="Normal"/>
    <w:qFormat/>
    <w:rPr>
      <w:rFonts w:ascii="Segoe UI" w:hAnsi="Segoe UI" w:cs="Segoe UI"/>
      <w:sz w:val="18"/>
      <w:szCs w:val="18"/>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1100</Words>
  <Characters>6273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cp:revision>
  <cp:lastPrinted>2025-06-13T10:27:00Z</cp:lastPrinted>
  <dcterms:created xsi:type="dcterms:W3CDTF">2026-08-29T03:56:00Z</dcterms:created>
  <dcterms:modified xsi:type="dcterms:W3CDTF">2026-08-29T04:39:00Z</dcterms:modified>
  <dc:language>en-US</dc:language>
</cp:coreProperties>
</file>