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669"/>
        <w:gridCol w:w="8787"/>
      </w:tblGrid>
      <w:tr w:rsidR="009F6733" w:rsidRPr="00887F67" w:rsidTr="00626555">
        <w:trPr>
          <w:trHeight w:val="863"/>
          <w:jc w:val="center"/>
        </w:trPr>
        <w:tc>
          <w:tcPr>
            <w:tcW w:w="5669" w:type="dxa"/>
            <w:tcMar>
              <w:top w:w="0" w:type="dxa"/>
              <w:left w:w="0" w:type="dxa"/>
              <w:bottom w:w="0" w:type="dxa"/>
              <w:right w:w="0" w:type="dxa"/>
            </w:tcMar>
          </w:tcPr>
          <w:p w:rsidR="009F6733" w:rsidRPr="00887F67" w:rsidRDefault="00FD1601" w:rsidP="00626555">
            <w:pPr>
              <w:widowControl w:val="0"/>
              <w:spacing w:after="0" w:line="240" w:lineRule="auto"/>
              <w:jc w:val="center"/>
              <w:rPr>
                <w:spacing w:val="-2"/>
                <w:szCs w:val="26"/>
              </w:rPr>
            </w:pPr>
            <w:r w:rsidRPr="00887F67">
              <w:rPr>
                <w:noProof/>
                <w:spacing w:val="-2"/>
                <w:szCs w:val="26"/>
              </w:rPr>
              <mc:AlternateContent>
                <mc:Choice Requires="wps">
                  <w:drawing>
                    <wp:anchor distT="0" distB="0" distL="114300" distR="114300" simplePos="0" relativeHeight="251657728" behindDoc="0" locked="0" layoutInCell="1" allowOverlap="1" wp14:anchorId="4AE154C8" wp14:editId="417E64F5">
                      <wp:simplePos x="0" y="0"/>
                      <wp:positionH relativeFrom="column">
                        <wp:posOffset>1078865</wp:posOffset>
                      </wp:positionH>
                      <wp:positionV relativeFrom="paragraph">
                        <wp:posOffset>413649</wp:posOffset>
                      </wp:positionV>
                      <wp:extent cx="144780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1447800" cy="0"/>
                              </a:xfrm>
                              <a:prstGeom prst="line">
                                <a:avLst/>
                              </a:prstGeom>
                              <a:ln w="9525"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498353"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4.95pt,32.55pt" to="198.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" strokecolor="black [3213]">
                      <v:shadow on="t" color="black" opacity="24903f" origin=",.5" offset="0,.55556mm"/>
                    </v:line>
                  </w:pict>
                </mc:Fallback>
              </mc:AlternateContent>
            </w:r>
            <w:r w:rsidR="00477020" w:rsidRPr="00887F67">
              <w:rPr>
                <w:spacing w:val="-2"/>
                <w:szCs w:val="26"/>
              </w:rPr>
              <w:t>UBND THÀNH PHỐ HẢI PHÒNG</w:t>
            </w:r>
            <w:r w:rsidR="00477020" w:rsidRPr="00887F67">
              <w:rPr>
                <w:b/>
                <w:spacing w:val="-2"/>
                <w:szCs w:val="26"/>
              </w:rPr>
              <w:br/>
              <w:t>SỞ NÔNG NGHIỆP VÀ MÔI TRƯỜNG</w:t>
            </w:r>
            <w:r w:rsidR="00477020" w:rsidRPr="00887F67">
              <w:rPr>
                <w:b/>
                <w:spacing w:val="-2"/>
                <w:szCs w:val="26"/>
              </w:rPr>
              <w:br/>
            </w:r>
          </w:p>
        </w:tc>
        <w:tc>
          <w:tcPr>
            <w:tcW w:w="8787" w:type="dxa"/>
            <w:tcMar>
              <w:top w:w="0" w:type="dxa"/>
              <w:left w:w="0" w:type="dxa"/>
              <w:bottom w:w="0" w:type="dxa"/>
              <w:right w:w="0" w:type="dxa"/>
            </w:tcMar>
          </w:tcPr>
          <w:p w:rsidR="009F6733" w:rsidRPr="00887F67" w:rsidRDefault="00FD1601" w:rsidP="002D7986">
            <w:pPr>
              <w:widowControl w:val="0"/>
              <w:spacing w:after="0" w:line="240" w:lineRule="auto"/>
              <w:jc w:val="center"/>
              <w:rPr>
                <w:spacing w:val="-2"/>
                <w:szCs w:val="26"/>
              </w:rPr>
            </w:pPr>
            <w:r w:rsidRPr="00887F67">
              <w:rPr>
                <w:b/>
                <w:noProof/>
                <w:spacing w:val="-2"/>
                <w:szCs w:val="26"/>
              </w:rPr>
              <mc:AlternateContent>
                <mc:Choice Requires="wps">
                  <w:drawing>
                    <wp:anchor distT="0" distB="0" distL="114300" distR="114300" simplePos="0" relativeHeight="251660800" behindDoc="0" locked="0" layoutInCell="1" allowOverlap="1" wp14:anchorId="28F3DEDA" wp14:editId="2EB90E7D">
                      <wp:simplePos x="0" y="0"/>
                      <wp:positionH relativeFrom="column">
                        <wp:posOffset>1777281</wp:posOffset>
                      </wp:positionH>
                      <wp:positionV relativeFrom="paragraph">
                        <wp:posOffset>409970</wp:posOffset>
                      </wp:positionV>
                      <wp:extent cx="1984076"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1984076"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0BECBA"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39.95pt,32.3pt" to="296.2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" strokecolor="black [3213]">
                      <v:shadow on="t" color="black" opacity="24903f" origin=",.5" offset="0,.55556mm"/>
                    </v:line>
                  </w:pict>
                </mc:Fallback>
              </mc:AlternateContent>
            </w:r>
            <w:r w:rsidR="00477020" w:rsidRPr="00887F67">
              <w:rPr>
                <w:b/>
                <w:spacing w:val="-2"/>
                <w:szCs w:val="26"/>
              </w:rPr>
              <w:t>CỘNG HÒA XÃ HỘI CHỦ NGHĨA VIỆT NAM</w:t>
            </w:r>
            <w:r w:rsidR="00477020" w:rsidRPr="00887F67">
              <w:rPr>
                <w:b/>
                <w:spacing w:val="-2"/>
                <w:szCs w:val="26"/>
              </w:rPr>
              <w:br/>
              <w:t>Độc lập - Tự do - Hạnh phúc</w:t>
            </w:r>
            <w:r w:rsidR="00477020" w:rsidRPr="00887F67">
              <w:rPr>
                <w:b/>
                <w:spacing w:val="-2"/>
                <w:szCs w:val="26"/>
              </w:rPr>
              <w:br/>
            </w:r>
          </w:p>
        </w:tc>
      </w:tr>
    </w:tbl>
    <w:p w:rsidR="009F6733" w:rsidRPr="00887F67" w:rsidRDefault="009F6733" w:rsidP="002D7986">
      <w:pPr>
        <w:widowControl w:val="0"/>
        <w:spacing w:after="0" w:line="264" w:lineRule="auto"/>
        <w:ind w:left="907"/>
        <w:rPr>
          <w:spacing w:val="-2"/>
        </w:rPr>
      </w:pPr>
    </w:p>
    <w:p w:rsidR="009F6733" w:rsidRPr="00887F67" w:rsidRDefault="00477020" w:rsidP="002D7986">
      <w:pPr>
        <w:widowControl w:val="0"/>
        <w:spacing w:after="0" w:line="264" w:lineRule="auto"/>
        <w:jc w:val="center"/>
        <w:rPr>
          <w:spacing w:val="-2"/>
        </w:rPr>
      </w:pPr>
      <w:r w:rsidRPr="00887F67">
        <w:rPr>
          <w:b/>
          <w:spacing w:val="-2"/>
          <w:sz w:val="28"/>
        </w:rPr>
        <w:t>BẢN TỔNG HỢP Ý KIẾN, TIẾP THU, GIẢI TRÌNH Ý KIẾN GÓP Ý</w:t>
      </w:r>
    </w:p>
    <w:p w:rsidR="009F6733" w:rsidRPr="00887F67" w:rsidRDefault="00477020" w:rsidP="002D7986">
      <w:pPr>
        <w:widowControl w:val="0"/>
        <w:spacing w:after="40" w:line="264" w:lineRule="auto"/>
        <w:jc w:val="center"/>
        <w:rPr>
          <w:spacing w:val="-2"/>
        </w:rPr>
      </w:pPr>
      <w:r w:rsidRPr="00887F67">
        <w:rPr>
          <w:b/>
          <w:spacing w:val="-2"/>
        </w:rPr>
        <w:t>Đối với dự thảo Nghị quyết của Hội đồng nhân dân thành phố quy định nội dung, nhiệm vụ chi thường xuyên duy tu, bảo dưỡng đê điều và xử lý cấp bách sự cố đê điều trên địa bàn thành phố Hải Phòng</w:t>
      </w:r>
    </w:p>
    <w:p w:rsidR="00FD1601" w:rsidRPr="00887F67" w:rsidRDefault="00FD1601" w:rsidP="002D7986">
      <w:pPr>
        <w:widowControl w:val="0"/>
        <w:spacing w:after="80" w:line="264" w:lineRule="auto"/>
        <w:ind w:firstLine="567"/>
        <w:rPr>
          <w:spacing w:val="-2"/>
        </w:rPr>
      </w:pPr>
      <w:r w:rsidRPr="00887F67">
        <w:rPr>
          <w:b/>
          <w:noProof/>
          <w:spacing w:val="-2"/>
          <w:szCs w:val="26"/>
        </w:rPr>
        <mc:AlternateContent>
          <mc:Choice Requires="wps">
            <w:drawing>
              <wp:anchor distT="0" distB="0" distL="114300" distR="114300" simplePos="0" relativeHeight="251661824" behindDoc="0" locked="0" layoutInCell="1" allowOverlap="1" wp14:anchorId="0C6D9B38" wp14:editId="63E86399">
                <wp:simplePos x="0" y="0"/>
                <wp:positionH relativeFrom="column">
                  <wp:posOffset>3523556</wp:posOffset>
                </wp:positionH>
                <wp:positionV relativeFrom="paragraph">
                  <wp:posOffset>-2037</wp:posOffset>
                </wp:positionV>
                <wp:extent cx="1984076" cy="0"/>
                <wp:effectExtent l="38100" t="38100" r="73660" b="95250"/>
                <wp:wrapNone/>
                <wp:docPr id="4" name="Straight Connector 4"/>
                <wp:cNvGraphicFramePr/>
                <a:graphic xmlns:a="http://schemas.openxmlformats.org/drawingml/2006/main">
                  <a:graphicData uri="http://schemas.microsoft.com/office/word/2010/wordprocessingShape">
                    <wps:wsp>
                      <wps:cNvCnPr/>
                      <wps:spPr>
                        <a:xfrm>
                          <a:off x="0" y="0"/>
                          <a:ext cx="1984076"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CF16D4" id="Straight Connector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77.45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" strokecolor="black [3213]">
                <v:shadow on="t" color="black" opacity="24903f" origin=",.5" offset="0,.55556mm"/>
              </v:line>
            </w:pict>
          </mc:Fallback>
        </mc:AlternateContent>
      </w:r>
    </w:p>
    <w:p w:rsidR="009F6733" w:rsidRPr="00887F67" w:rsidRDefault="00477020" w:rsidP="002D7986">
      <w:pPr>
        <w:widowControl w:val="0"/>
        <w:spacing w:after="60" w:line="264" w:lineRule="auto"/>
        <w:ind w:firstLine="567"/>
        <w:jc w:val="both"/>
        <w:rPr>
          <w:spacing w:val="-2"/>
        </w:rPr>
      </w:pPr>
      <w:r w:rsidRPr="00887F67">
        <w:rPr>
          <w:spacing w:val="-2"/>
        </w:rPr>
        <w:t>Thực hiện Luật Ban hành văn bản quy phạm pháp luật số 64/2025/QH15 được sửa đổi, bổ sung bởi Luật số 87/2025/QH15; Nghị định số 78/2025/NĐ-CP ngày 01/4/2025 của Chính phủ được sửa đổi, bổ sung bởi Nghị định số 187/2025/NĐ-CP ngày 01/7/2025; Quyết định số 06/QĐ-TTHĐND ngày 23/3/2026 của Thường trực Hội đồng nhân dân thành phố về việc ban hành Danh mục nghị quyết của Hội đồng nhân dân thành phố quy định chi tiết các nội dung được giao</w:t>
      </w:r>
      <w:r w:rsidR="00FD1601" w:rsidRPr="00887F67">
        <w:rPr>
          <w:spacing w:val="-2"/>
        </w:rPr>
        <w:t>.</w:t>
      </w:r>
      <w:r w:rsidRPr="00887F67">
        <w:rPr>
          <w:spacing w:val="-2"/>
        </w:rPr>
        <w:t xml:space="preserve"> Sở Nông nghiệp và Môi trường đã chủ trì xây dựng hồ sơ dự thảo Nghị quyết của Hội đồng nhân dân thành phố quy định nội dung, nhiệm vụ chi thường xuyên duy tu, bảo dưỡng đê điều và xử lý cấp bách sự cố đê điều trên địa bàn thành phố Hải Phòng.</w:t>
      </w:r>
    </w:p>
    <w:p w:rsidR="009F6733" w:rsidRPr="00887F67" w:rsidRDefault="00477020" w:rsidP="002D7986">
      <w:pPr>
        <w:widowControl w:val="0"/>
        <w:spacing w:after="60" w:line="264" w:lineRule="auto"/>
        <w:ind w:firstLine="567"/>
        <w:jc w:val="both"/>
        <w:rPr>
          <w:spacing w:val="-2"/>
        </w:rPr>
      </w:pPr>
      <w:r w:rsidRPr="00887F67">
        <w:rPr>
          <w:spacing w:val="-2"/>
        </w:rPr>
        <w:t>Sở Nông nghiệp và Môi trường đã có Công văn số 4554/SNNMT-CCTNNPCTT ngày 24/4/2026 gửi Văn phòng Ủy ban nhân dân thành phố và Cổng thông tin điện tử thành phố để đăng tải, lấy ý kiến tham gia góp ý của cơ quan, tổ chức, cá nhân đối với dự thảo; đồng thời có Công văn số 4555/SNNMT-CCTNNPCTT ngày 24/4/2026 gửi Ủy ban Mặt trận Tổ quốc Việt Nam thành phố, các sở, ngành và Ủy ban nhân dân các phường, xã, đặc khu để lấy ý kiến đối với hồ sơ dự thảo.</w:t>
      </w:r>
    </w:p>
    <w:p w:rsidR="009F6733" w:rsidRPr="00887F67" w:rsidRDefault="00477020" w:rsidP="002D7986">
      <w:pPr>
        <w:widowControl w:val="0"/>
        <w:spacing w:after="60" w:line="264" w:lineRule="auto"/>
        <w:ind w:firstLine="567"/>
        <w:jc w:val="both"/>
        <w:rPr>
          <w:spacing w:val="-2"/>
        </w:rPr>
      </w:pPr>
      <w:r w:rsidRPr="00887F67">
        <w:rPr>
          <w:spacing w:val="-2"/>
        </w:rPr>
        <w:t>Đến ngày 01/6/2026, Sở Nông nghiệp và Môi trường đã nhận được 109 văn bản tham gia ý kiến; trong đó có 103/109 ý kiến thống nhất với bố cục và nội dung dự thảo</w:t>
      </w:r>
      <w:r w:rsidR="00C81926" w:rsidRPr="00887F67">
        <w:rPr>
          <w:spacing w:val="-2"/>
        </w:rPr>
        <w:t>, không có ý kiến khác;</w:t>
      </w:r>
      <w:r w:rsidRPr="00887F67">
        <w:rPr>
          <w:spacing w:val="-2"/>
        </w:rPr>
        <w:t xml:space="preserve"> 06/109 ý kiến đề nghị sửa đổi, bổ sung nội dung dự thảo</w:t>
      </w:r>
      <w:r w:rsidR="00C81926" w:rsidRPr="00887F67">
        <w:rPr>
          <w:spacing w:val="-2"/>
        </w:rPr>
        <w:t xml:space="preserve"> và không có ý kiến trùng lặp</w:t>
      </w:r>
      <w:r w:rsidRPr="00887F67">
        <w:rPr>
          <w:spacing w:val="-2"/>
        </w:rPr>
        <w:t>, gồm ý kiến của Sở Tư pháp, Sở Nội vụ, Sở Khoa học và Công nghệ, Sở Tài chính, Ủy ban nhân dân xã Vĩnh Lại và Ủy ban nhân dân xã Hồng Châu. Trên Cổng thông tin điện tử thành phố không có ý kiến tham gia.</w:t>
      </w:r>
    </w:p>
    <w:p w:rsidR="009F6733" w:rsidRPr="00887F67" w:rsidRDefault="00477020" w:rsidP="002D7986">
      <w:pPr>
        <w:widowControl w:val="0"/>
        <w:spacing w:after="60" w:line="264" w:lineRule="auto"/>
        <w:ind w:firstLine="567"/>
        <w:jc w:val="both"/>
        <w:rPr>
          <w:spacing w:val="-2"/>
        </w:rPr>
      </w:pPr>
      <w:r w:rsidRPr="00887F67">
        <w:rPr>
          <w:spacing w:val="-2"/>
        </w:rPr>
        <w:t>Sở Nông nghiệp và Môi trường tổng hợp, tiếp thu, giải trình ý kiến góp ý như sau:</w:t>
      </w:r>
    </w:p>
    <w:tbl>
      <w:tblPr>
        <w:tblStyle w:val="TableGrid"/>
        <w:tblW w:w="14742" w:type="dxa"/>
        <w:jc w:val="center"/>
        <w:tblLayout w:type="fixed"/>
        <w:tblCellMar>
          <w:left w:w="57" w:type="dxa"/>
          <w:right w:w="57" w:type="dxa"/>
        </w:tblCellMar>
        <w:tblLook w:val="04A0" w:firstRow="1" w:lastRow="0" w:firstColumn="1" w:lastColumn="0" w:noHBand="0" w:noVBand="1"/>
      </w:tblPr>
      <w:tblGrid>
        <w:gridCol w:w="567"/>
        <w:gridCol w:w="1362"/>
        <w:gridCol w:w="4271"/>
        <w:gridCol w:w="4271"/>
        <w:gridCol w:w="4271"/>
      </w:tblGrid>
      <w:tr w:rsidR="00887F67" w:rsidRPr="00887F67" w:rsidTr="0069710B">
        <w:trPr>
          <w:tblHeader/>
          <w:jc w:val="center"/>
        </w:trPr>
        <w:tc>
          <w:tcPr>
            <w:tcW w:w="567" w:type="dxa"/>
            <w:shd w:val="clear" w:color="auto" w:fill="D9EAF7"/>
            <w:tcMar>
              <w:top w:w="80" w:type="dxa"/>
              <w:left w:w="80" w:type="dxa"/>
              <w:bottom w:w="80" w:type="dxa"/>
              <w:right w:w="80" w:type="dxa"/>
            </w:tcMar>
            <w:vAlign w:val="center"/>
          </w:tcPr>
          <w:p w:rsidR="009F6733" w:rsidRPr="00887F67" w:rsidRDefault="00477020" w:rsidP="002D7986">
            <w:pPr>
              <w:widowControl w:val="0"/>
              <w:jc w:val="center"/>
              <w:rPr>
                <w:spacing w:val="-2"/>
                <w:sz w:val="20"/>
                <w:szCs w:val="20"/>
              </w:rPr>
            </w:pPr>
            <w:r w:rsidRPr="00887F67">
              <w:rPr>
                <w:b/>
                <w:spacing w:val="-2"/>
                <w:sz w:val="20"/>
                <w:szCs w:val="20"/>
              </w:rPr>
              <w:t>STT</w:t>
            </w:r>
          </w:p>
        </w:tc>
        <w:tc>
          <w:tcPr>
            <w:tcW w:w="1362" w:type="dxa"/>
            <w:shd w:val="clear" w:color="auto" w:fill="D9EAF7"/>
            <w:tcMar>
              <w:top w:w="80" w:type="dxa"/>
              <w:left w:w="80" w:type="dxa"/>
              <w:bottom w:w="80" w:type="dxa"/>
              <w:right w:w="80" w:type="dxa"/>
            </w:tcMar>
            <w:vAlign w:val="center"/>
          </w:tcPr>
          <w:p w:rsidR="009F6733" w:rsidRPr="00887F67" w:rsidRDefault="00477020" w:rsidP="002D7986">
            <w:pPr>
              <w:widowControl w:val="0"/>
              <w:jc w:val="center"/>
              <w:rPr>
                <w:spacing w:val="-2"/>
                <w:sz w:val="22"/>
              </w:rPr>
            </w:pPr>
            <w:r w:rsidRPr="00887F67">
              <w:rPr>
                <w:b/>
                <w:spacing w:val="-2"/>
                <w:sz w:val="22"/>
              </w:rPr>
              <w:t>Cơ quan, đơn vị góp ý</w:t>
            </w:r>
          </w:p>
        </w:tc>
        <w:tc>
          <w:tcPr>
            <w:tcW w:w="4271" w:type="dxa"/>
            <w:shd w:val="clear" w:color="auto" w:fill="D9EAF7"/>
            <w:tcMar>
              <w:top w:w="80" w:type="dxa"/>
              <w:left w:w="80" w:type="dxa"/>
              <w:bottom w:w="80" w:type="dxa"/>
              <w:right w:w="80" w:type="dxa"/>
            </w:tcMar>
            <w:vAlign w:val="center"/>
          </w:tcPr>
          <w:p w:rsidR="009F6733" w:rsidRPr="00887F67" w:rsidRDefault="00477020" w:rsidP="002D7986">
            <w:pPr>
              <w:widowControl w:val="0"/>
              <w:jc w:val="center"/>
              <w:rPr>
                <w:spacing w:val="-2"/>
                <w:sz w:val="22"/>
              </w:rPr>
            </w:pPr>
            <w:r w:rsidRPr="00887F67">
              <w:rPr>
                <w:b/>
                <w:spacing w:val="-2"/>
                <w:sz w:val="22"/>
              </w:rPr>
              <w:t>Nội dung góp ý</w:t>
            </w:r>
          </w:p>
        </w:tc>
        <w:tc>
          <w:tcPr>
            <w:tcW w:w="4271" w:type="dxa"/>
            <w:shd w:val="clear" w:color="auto" w:fill="D9EAF7"/>
            <w:tcMar>
              <w:top w:w="80" w:type="dxa"/>
              <w:left w:w="80" w:type="dxa"/>
              <w:bottom w:w="80" w:type="dxa"/>
              <w:right w:w="80" w:type="dxa"/>
            </w:tcMar>
            <w:vAlign w:val="center"/>
          </w:tcPr>
          <w:p w:rsidR="009F6733" w:rsidRPr="00887F67" w:rsidRDefault="00477020" w:rsidP="002D7986">
            <w:pPr>
              <w:widowControl w:val="0"/>
              <w:jc w:val="center"/>
              <w:rPr>
                <w:spacing w:val="-2"/>
                <w:sz w:val="22"/>
              </w:rPr>
            </w:pPr>
            <w:r w:rsidRPr="00887F67">
              <w:rPr>
                <w:b/>
                <w:spacing w:val="-2"/>
                <w:sz w:val="22"/>
              </w:rPr>
              <w:t>Tiếp thu, giải trình</w:t>
            </w:r>
          </w:p>
        </w:tc>
        <w:tc>
          <w:tcPr>
            <w:tcW w:w="4271" w:type="dxa"/>
            <w:shd w:val="clear" w:color="auto" w:fill="D9EAF7"/>
            <w:tcMar>
              <w:top w:w="80" w:type="dxa"/>
              <w:left w:w="80" w:type="dxa"/>
              <w:bottom w:w="80" w:type="dxa"/>
              <w:right w:w="80" w:type="dxa"/>
            </w:tcMar>
            <w:vAlign w:val="center"/>
          </w:tcPr>
          <w:p w:rsidR="009F6733" w:rsidRPr="00887F67" w:rsidRDefault="00477020" w:rsidP="002D7986">
            <w:pPr>
              <w:widowControl w:val="0"/>
              <w:jc w:val="center"/>
              <w:rPr>
                <w:spacing w:val="-2"/>
                <w:sz w:val="22"/>
              </w:rPr>
            </w:pPr>
            <w:r w:rsidRPr="00887F67">
              <w:rPr>
                <w:b/>
                <w:spacing w:val="-2"/>
                <w:sz w:val="22"/>
              </w:rPr>
              <w:t>Nội dung tiếp thu, chỉnh lý dự thảo</w:t>
            </w:r>
          </w:p>
        </w:tc>
      </w:tr>
      <w:tr w:rsidR="00887F67" w:rsidRPr="00887F67" w:rsidTr="00800367">
        <w:trPr>
          <w:jc w:val="center"/>
        </w:trPr>
        <w:tc>
          <w:tcPr>
            <w:tcW w:w="567" w:type="dxa"/>
            <w:tcBorders>
              <w:bottom w:val="single" w:sz="4" w:space="0" w:color="auto"/>
            </w:tcBorders>
            <w:tcMar>
              <w:top w:w="80" w:type="dxa"/>
              <w:left w:w="80" w:type="dxa"/>
              <w:bottom w:w="80" w:type="dxa"/>
              <w:right w:w="80" w:type="dxa"/>
            </w:tcMar>
          </w:tcPr>
          <w:p w:rsidR="00FD1601" w:rsidRPr="00887F67" w:rsidRDefault="00FD1601" w:rsidP="002D7986">
            <w:pPr>
              <w:widowControl w:val="0"/>
              <w:jc w:val="center"/>
              <w:rPr>
                <w:spacing w:val="-2"/>
                <w:sz w:val="22"/>
              </w:rPr>
            </w:pPr>
            <w:r w:rsidRPr="00887F67">
              <w:rPr>
                <w:spacing w:val="-2"/>
                <w:sz w:val="22"/>
              </w:rPr>
              <w:t>1</w:t>
            </w:r>
          </w:p>
        </w:tc>
        <w:tc>
          <w:tcPr>
            <w:tcW w:w="14175" w:type="dxa"/>
            <w:gridSpan w:val="4"/>
            <w:tcBorders>
              <w:bottom w:val="single" w:sz="4" w:space="0" w:color="auto"/>
            </w:tcBorders>
            <w:tcMar>
              <w:top w:w="80" w:type="dxa"/>
              <w:left w:w="80" w:type="dxa"/>
              <w:bottom w:w="80" w:type="dxa"/>
              <w:right w:w="80" w:type="dxa"/>
            </w:tcMar>
          </w:tcPr>
          <w:p w:rsidR="00FD1601" w:rsidRPr="00887F67" w:rsidRDefault="00FD1601" w:rsidP="002D7986">
            <w:pPr>
              <w:widowControl w:val="0"/>
              <w:rPr>
                <w:spacing w:val="-2"/>
                <w:sz w:val="22"/>
              </w:rPr>
            </w:pPr>
            <w:r w:rsidRPr="00887F67">
              <w:rPr>
                <w:spacing w:val="-2"/>
                <w:sz w:val="22"/>
              </w:rPr>
              <w:t xml:space="preserve">Sở Tư pháp </w:t>
            </w:r>
            <w:r w:rsidRPr="00887F67">
              <w:rPr>
                <w:i/>
                <w:spacing w:val="-2"/>
                <w:sz w:val="22"/>
              </w:rPr>
              <w:t>(tại VB số 2004/STP-XDVB ngày 07/5/2026)</w:t>
            </w:r>
          </w:p>
        </w:tc>
      </w:tr>
      <w:tr w:rsidR="00887F67" w:rsidRPr="00887F67" w:rsidTr="0069710B">
        <w:trPr>
          <w:jc w:val="center"/>
        </w:trPr>
        <w:tc>
          <w:tcPr>
            <w:tcW w:w="567" w:type="dxa"/>
            <w:tcBorders>
              <w:bottom w:val="dotted" w:sz="4" w:space="0" w:color="auto"/>
            </w:tcBorders>
            <w:tcMar>
              <w:top w:w="80" w:type="dxa"/>
              <w:left w:w="80" w:type="dxa"/>
              <w:bottom w:w="80" w:type="dxa"/>
              <w:right w:w="80" w:type="dxa"/>
            </w:tcMar>
          </w:tcPr>
          <w:p w:rsidR="00CF3869" w:rsidRPr="00887F67" w:rsidRDefault="00CF3869" w:rsidP="002D7986">
            <w:pPr>
              <w:widowControl w:val="0"/>
              <w:jc w:val="center"/>
              <w:rPr>
                <w:spacing w:val="-2"/>
                <w:sz w:val="22"/>
              </w:rPr>
            </w:pPr>
          </w:p>
        </w:tc>
        <w:tc>
          <w:tcPr>
            <w:tcW w:w="1362" w:type="dxa"/>
            <w:tcBorders>
              <w:bottom w:val="dotted" w:sz="4" w:space="0" w:color="auto"/>
            </w:tcBorders>
            <w:tcMar>
              <w:top w:w="80" w:type="dxa"/>
              <w:left w:w="80" w:type="dxa"/>
              <w:bottom w:w="80" w:type="dxa"/>
              <w:right w:w="80" w:type="dxa"/>
            </w:tcMar>
          </w:tcPr>
          <w:p w:rsidR="00CF3869" w:rsidRPr="00887F67" w:rsidRDefault="00CF3869" w:rsidP="002D7986">
            <w:pPr>
              <w:widowControl w:val="0"/>
              <w:jc w:val="both"/>
              <w:rPr>
                <w:spacing w:val="-2"/>
                <w:sz w:val="22"/>
              </w:rPr>
            </w:pPr>
          </w:p>
        </w:tc>
        <w:tc>
          <w:tcPr>
            <w:tcW w:w="4271" w:type="dxa"/>
            <w:tcBorders>
              <w:bottom w:val="dotted" w:sz="4" w:space="0" w:color="auto"/>
            </w:tcBorders>
            <w:tcMar>
              <w:top w:w="80" w:type="dxa"/>
              <w:left w:w="80" w:type="dxa"/>
              <w:bottom w:w="80" w:type="dxa"/>
              <w:right w:w="80" w:type="dxa"/>
            </w:tcMar>
          </w:tcPr>
          <w:p w:rsidR="00CF3869" w:rsidRPr="00887F67" w:rsidRDefault="00CF3869" w:rsidP="002D7986">
            <w:pPr>
              <w:widowControl w:val="0"/>
              <w:jc w:val="both"/>
              <w:rPr>
                <w:spacing w:val="-2"/>
                <w:sz w:val="22"/>
              </w:rPr>
            </w:pPr>
            <w:r w:rsidRPr="00887F67">
              <w:rPr>
                <w:spacing w:val="-2"/>
                <w:sz w:val="22"/>
              </w:rPr>
              <w:t xml:space="preserve">Đề nghị chỉnh lý Điều 1 dự thảo về phạm vi điều </w:t>
            </w:r>
            <w:r w:rsidRPr="00887F67">
              <w:rPr>
                <w:spacing w:val="-2"/>
                <w:sz w:val="22"/>
              </w:rPr>
              <w:lastRenderedPageBreak/>
              <w:t>chỉnh theo hướng nêu rõ Nghị quyết quy định nội dung được giao tại Điều 5 Thông tư số 68/2020/TT-BTC, phù hợp khoản 2 Điều 65 Nghị định số 78/2025/NĐ-CP.</w:t>
            </w:r>
          </w:p>
        </w:tc>
        <w:tc>
          <w:tcPr>
            <w:tcW w:w="4271" w:type="dxa"/>
            <w:tcBorders>
              <w:bottom w:val="dotted" w:sz="4" w:space="0" w:color="auto"/>
            </w:tcBorders>
            <w:tcMar>
              <w:top w:w="80" w:type="dxa"/>
              <w:left w:w="80" w:type="dxa"/>
              <w:bottom w:w="80" w:type="dxa"/>
              <w:right w:w="80" w:type="dxa"/>
            </w:tcMar>
          </w:tcPr>
          <w:p w:rsidR="00CF3869" w:rsidRPr="00887F67" w:rsidRDefault="00CF3869" w:rsidP="002D7986">
            <w:pPr>
              <w:widowControl w:val="0"/>
              <w:jc w:val="both"/>
              <w:rPr>
                <w:spacing w:val="-2"/>
                <w:sz w:val="22"/>
              </w:rPr>
            </w:pPr>
            <w:r w:rsidRPr="00887F67">
              <w:rPr>
                <w:spacing w:val="-2"/>
                <w:sz w:val="22"/>
              </w:rPr>
              <w:lastRenderedPageBreak/>
              <w:t xml:space="preserve">Tiếp thu. Việc nêu rõ nội dung được giao tại </w:t>
            </w:r>
            <w:r w:rsidRPr="00887F67">
              <w:rPr>
                <w:spacing w:val="-2"/>
                <w:sz w:val="22"/>
              </w:rPr>
              <w:lastRenderedPageBreak/>
              <w:t>Điều 5 Thông tư số 68/2020/TT-BTC là cần thiết để xác định đúng phạm vi điều chỉnh của Nghị quyết và bảo đảm tính minh bạch của văn bản quy định chi tiết.</w:t>
            </w:r>
          </w:p>
        </w:tc>
        <w:tc>
          <w:tcPr>
            <w:tcW w:w="4271" w:type="dxa"/>
            <w:tcBorders>
              <w:bottom w:val="dotted" w:sz="4" w:space="0" w:color="auto"/>
            </w:tcBorders>
            <w:tcMar>
              <w:top w:w="80" w:type="dxa"/>
              <w:left w:w="80" w:type="dxa"/>
              <w:bottom w:w="80" w:type="dxa"/>
              <w:right w:w="80" w:type="dxa"/>
            </w:tcMar>
          </w:tcPr>
          <w:p w:rsidR="00CF3869" w:rsidRPr="00887F67" w:rsidRDefault="00CF3869" w:rsidP="002D7986">
            <w:pPr>
              <w:widowControl w:val="0"/>
              <w:jc w:val="both"/>
              <w:rPr>
                <w:spacing w:val="-2"/>
                <w:sz w:val="22"/>
              </w:rPr>
            </w:pPr>
            <w:r w:rsidRPr="00887F67">
              <w:rPr>
                <w:spacing w:val="-2"/>
                <w:sz w:val="22"/>
              </w:rPr>
              <w:lastRenderedPageBreak/>
              <w:t xml:space="preserve">Chỉnh lý Điều 1 theo hướng: Nghị quyết này </w:t>
            </w:r>
            <w:r w:rsidRPr="00887F67">
              <w:rPr>
                <w:spacing w:val="-2"/>
                <w:sz w:val="22"/>
              </w:rPr>
              <w:lastRenderedPageBreak/>
              <w:t>quy định nội dung, nhiệm vụ chi thường xuyên duy tu, bảo dưỡng đê điều và xử lý cấp bách sự cố đê điều trên địa bàn thành phố Hải Phòng theo nội dung được giao tại Điều 5 Thông tư số 68/2020/TT-BTC ngày 15/7/2020 của Bộ trưởng Bộ Tài chính.</w:t>
            </w:r>
          </w:p>
        </w:tc>
      </w:tr>
      <w:tr w:rsidR="00887F67" w:rsidRPr="00887F67" w:rsidTr="0069710B">
        <w:trPr>
          <w:jc w:val="center"/>
        </w:trPr>
        <w:tc>
          <w:tcPr>
            <w:tcW w:w="567"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chỉnh lý điểm k khoản 1 Điều 3 về nội dung “Bổ sung, bảo dưỡng, thu gom vật tư dự trữ phòng, chống lụt bão liên quan đến đê điều”, do Thông tư số 68/2020/TT-BTC quy định nội dung này thuộc nhiệm vụ của Trung ương.</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một phần. Cơ quan soạn thảo thống nhất cần làm rõ phạm vi áp dụng để tránh hiểu nhầm với nhiệm vụ chi của ngân sách trung ương. Tuy nhiên, theo khoản 2 Điều 22 Luật Đê điều, ngân sách địa phương có trách nhiệm đầu tư đối với hệ thống đê điều trên địa bàn. Do đó, nội dung "Bổ sung, bảo dưỡng, thu gom vật tư dự trữ phòng, chống lụt bão liên quan đến đê điều" vẫn cần được quy định trong Nghị quyết để làm cơ sở thực hiện nhiệm vụ chi của ngân sách địa phương.</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"Bổ sung, bảo dưỡng, thu gom vật tư dự trữ phòng, chống lụt bão phục vụ công tác quản lý, bảo vệ đê điều thuộc nhiệm vụ chi của ngân sách thành phố theo quy định của pháp luật."</w:t>
            </w:r>
          </w:p>
        </w:tc>
      </w:tr>
      <w:tr w:rsidR="00887F67" w:rsidRPr="00887F67" w:rsidTr="0069710B">
        <w:trPr>
          <w:jc w:val="center"/>
        </w:trPr>
        <w:tc>
          <w:tcPr>
            <w:tcW w:w="567"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rà soát, bổ sung quy định chuyển tiếp khi thay thế Nghị quyết số 06/2022/NQ-HĐND để tránh phát sinh vướng mắc sau khi văn bản mới có hiệu lực.</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Việc bổ sung quy định chuyển tiếp là cần thiết đối với các nhiệm vụ đã được giao dự toán, phê duyệt kế hoạch, phê duyệt dự toán hoặc đang triển khai trước thời điểm Nghị quyết mới có hiệu lực.</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Chỉnh lý Điều khoản chuyển tiếp theo hướng: các nhiệm vụ đã được cấp có thẩm quyền giao dự toán, phê duyệt kế hoạch, phê duyệt dự toán hoặc đang triển khai trước ngày Nghị quyết này có hiệu lực thì tiếp tục thực hiện, thanh quyết toán theo dự toán, kế hoạch đã được phê duyệt và quy định của pháp luật hiện hành.</w:t>
            </w:r>
          </w:p>
        </w:tc>
      </w:tr>
      <w:tr w:rsidR="00887F67" w:rsidRPr="00887F67" w:rsidTr="0069710B">
        <w:trPr>
          <w:jc w:val="center"/>
        </w:trPr>
        <w:tc>
          <w:tcPr>
            <w:tcW w:w="567"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rà soát, chỉnh lý cách trình bày dự thảo Nghị quyết theo Mẫu số 17 Phụ lục III kèm theo Nghị định số 187/2025/NĐ-CP.</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Chỉnh lý thể thức, kỹ thuật trình bày dự thảo Nghị quyết theo Mẫu số 17 Phụ lục III ban hành kèm theo Nghị định số 187/2025/NĐ-CP.</w:t>
            </w:r>
          </w:p>
        </w:tc>
      </w:tr>
      <w:tr w:rsidR="00887F67" w:rsidRPr="00887F67" w:rsidTr="0069710B">
        <w:trPr>
          <w:jc w:val="center"/>
        </w:trPr>
        <w:tc>
          <w:tcPr>
            <w:tcW w:w="567"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Phần căn cứ pháp lý: đề nghị bỏ căn cứ Nghị định số 78/2025/NĐ-CP do không liên quan trực tiếp đến nội dung văn bản; sửa cơ quan ban hành Thông tư số 68/2020/TT-BTC thành “Bộ trưởng Bộ Tài chính”; căn chỉnh đầu dòng các căn cứ.</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Tiếp thu. Nghị định số 78/2025/NĐ-CP và Nghị định số 187/2025/NĐ-CP là căn cứ về trình tự, thể thức, kỹ thuật xây dựng văn bản, không phải căn cứ trực tiếp quy định nội dung nhiệm vụ chi. Căn cứ trực tiếp về nội dung gồm Luật Tổ chức </w:t>
            </w:r>
            <w:r w:rsidRPr="00887F67">
              <w:rPr>
                <w:spacing w:val="-2"/>
                <w:sz w:val="22"/>
              </w:rPr>
              <w:lastRenderedPageBreak/>
              <w:t>chính quyền địa phương, Luật Ngân sách nhà nước, Luật Đê điều và Thông tư số 68/2020/TT-BTC.</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lastRenderedPageBreak/>
              <w:t>Rà soát, chỉnh lý phần căn cứ; bỏ căn cứ không trực tiếp liên quan đến nội dung; sửa cơ quan ban hành Thông tư số 68/2020/TT-BTC là “Bộ trưởng Bộ Tài chính”; căn chỉnh kỹ thuật trình bày.</w:t>
            </w:r>
          </w:p>
        </w:tc>
      </w:tr>
      <w:tr w:rsidR="00887F67" w:rsidRPr="00887F67" w:rsidTr="0069710B">
        <w:trPr>
          <w:jc w:val="center"/>
        </w:trPr>
        <w:tc>
          <w:tcPr>
            <w:tcW w:w="567"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sửa tên Điều 3 thành “Nội dung, nhiệm vụ chi thường xuyên duy tu, bảo dưỡng đê điều và xử lý cấp bách sự cố đê điều”; chỉnh lý kiểu chữ đứng, đậm cho phù hợp.</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Sửa tên Điều 3 và chỉnh lý kiểu chữ theo quy định tại Phụ lục I, Phụ lục III ban hành kèm theo Nghị định số 187/2025/NĐ-CP.</w:t>
            </w:r>
          </w:p>
        </w:tc>
      </w:tr>
      <w:tr w:rsidR="00887F67" w:rsidRPr="00887F67" w:rsidTr="0069710B">
        <w:trPr>
          <w:jc w:val="center"/>
        </w:trPr>
        <w:tc>
          <w:tcPr>
            <w:tcW w:w="567"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rà soát phần nơi nhận; sửa “Cục KTVB&amp;QLXLVPHC - Bộ Tư pháp” thành “Cục Kiểm tra văn bản và tổ chức thi hành pháp luật - Bộ Tư pháp”; bổ sung nơi nhận là “Sở Tư pháp”.</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Chỉnh lý phần nơi nhận theo đúng tên cơ quan, đơn vị hiện hành và bổ sung Sở Tư pháp trong nơi nhận.</w:t>
            </w:r>
          </w:p>
        </w:tc>
      </w:tr>
      <w:tr w:rsidR="00887F67" w:rsidRPr="00887F67" w:rsidTr="0069710B">
        <w:trPr>
          <w:jc w:val="center"/>
        </w:trPr>
        <w:tc>
          <w:tcPr>
            <w:tcW w:w="567"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Sau khi hoàn thành lấy ý kiến, đề nghị gửi hồ sơ để Sở Tư pháp thẩm định theo quy định; hồ sơ gồm Tờ trình, dự thảo Nghị quyết, bản so sánh, báo cáo tổng kết thi hành pháp luật, bản đánh giá thủ tục hành chính/phân cấp/khoa học công nghệ nếu có, bản tổng hợp tiếp thu giải trình, ý kiến pháp chế và tài liệu liên quan.</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Đây là thành phần hồ sơ phục vụ thẩm định theo quy trình xây dựng văn bản quy phạm pháp luật.</w:t>
            </w:r>
          </w:p>
        </w:tc>
        <w:tc>
          <w:tcPr>
            <w:tcW w:w="4271" w:type="dxa"/>
            <w:tcBorders>
              <w:top w:val="dotted" w:sz="4" w:space="0" w:color="auto"/>
              <w:bottom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Hoàn thiện đầy đủ thành phần hồ sơ gửi Sở Tư pháp thẩm định theo quy định.</w:t>
            </w:r>
          </w:p>
        </w:tc>
      </w:tr>
      <w:tr w:rsidR="00887F67" w:rsidRPr="00887F67" w:rsidTr="0069710B">
        <w:trPr>
          <w:jc w:val="center"/>
        </w:trPr>
        <w:tc>
          <w:tcPr>
            <w:tcW w:w="567" w:type="dxa"/>
            <w:tcBorders>
              <w:top w:val="dotted" w:sz="4" w:space="0" w:color="auto"/>
            </w:tcBorders>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Borders>
              <w:top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Borders>
              <w:top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đăng tải bản tổng hợp ý kiến, tiếp thu, giải trình ý kiến góp ý trên cổng/trang thông tin điện tử của cơ quan chủ trì soạn thảo đúng thời hạn theo quy định.</w:t>
            </w:r>
          </w:p>
        </w:tc>
        <w:tc>
          <w:tcPr>
            <w:tcW w:w="4271" w:type="dxa"/>
            <w:tcBorders>
              <w:top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w:t>
            </w:r>
          </w:p>
        </w:tc>
        <w:tc>
          <w:tcPr>
            <w:tcW w:w="4271" w:type="dxa"/>
            <w:tcBorders>
              <w:top w:val="dotted" w:sz="4" w:space="0" w:color="auto"/>
            </w:tcBorders>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Sau khi hoàn thiện, Sở Nông nghiệp và Môi trường đăng tải bản tổng hợp ý kiến, tiếp thu, giải trình ý kiến góp ý trên cổng/trang thông tin điện tử theo thời hạn, thời gian quy định.</w:t>
            </w:r>
          </w:p>
        </w:tc>
      </w:tr>
      <w:tr w:rsidR="00887F67" w:rsidRPr="00887F67" w:rsidTr="00F1205C">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r w:rsidRPr="00887F67">
              <w:rPr>
                <w:spacing w:val="-2"/>
                <w:sz w:val="22"/>
              </w:rPr>
              <w:t>2</w:t>
            </w:r>
          </w:p>
        </w:tc>
        <w:tc>
          <w:tcPr>
            <w:tcW w:w="14175" w:type="dxa"/>
            <w:gridSpan w:val="4"/>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Sở Nội vụ </w:t>
            </w:r>
            <w:r w:rsidRPr="00887F67">
              <w:rPr>
                <w:i/>
                <w:spacing w:val="-2"/>
                <w:sz w:val="22"/>
              </w:rPr>
              <w:t>(tại VB số 2328/SNV-CCHC&amp;PC ngày 08/5/2026)</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phía dưới phần căn cứ ban hành bổ sung cụm từ “Hội đồng nhân dân ban hành Nghị quyết...” và bỏ cụm từ “QUYẾT NGHỊ” cho phù hợp với Mẫu số 17 Phụ lục III kèm theo Nghị định số 187/2025/NĐ-CP.</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Chỉnh lý phần sau căn cứ ban hành và bỏ cụm từ “QUYẾT NGHỊ” theo Mẫu số 17.</w:t>
            </w:r>
          </w:p>
        </w:tc>
      </w:tr>
      <w:tr w:rsidR="00887F67" w:rsidRPr="00887F67" w:rsidTr="000F27B2">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r w:rsidRPr="00887F67">
              <w:rPr>
                <w:spacing w:val="-2"/>
                <w:sz w:val="22"/>
              </w:rPr>
              <w:t>3</w:t>
            </w:r>
          </w:p>
        </w:tc>
        <w:tc>
          <w:tcPr>
            <w:tcW w:w="14175" w:type="dxa"/>
            <w:gridSpan w:val="4"/>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Sở Khoa học và Công nghệ </w:t>
            </w:r>
            <w:r w:rsidRPr="00887F67">
              <w:rPr>
                <w:i/>
                <w:spacing w:val="-2"/>
                <w:sz w:val="22"/>
              </w:rPr>
              <w:t>(tại VB số 1686/SKHCN-VP ngày 05/5/2026)</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Dự thảo Nghị quyết không có quy định về việc ứng dụng, thúc đẩy khoa học, công nghệ, đổi mới sáng tạo và chuyển đổi số.</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giải trình. Dự thảo Nghị quyết chỉ quy định nội dung, nhiệm vụ chi thường xuyên duy tu, bảo dưỡng đê điều và xử lý cấp bách sự cố đê điều theo nhiệm vụ được giao tại Thông tư số 68/2020/TT-BTC; không quy định chính sách riêng về khoa học, công nghệ, đổi mới sáng tạo và chuyển đổi số.</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Không bổ sung nội dung quy định riêng trong dự thảo Nghị quyết; nội dung đánh giá liên quan được thể hiện trong hồ sơ kèm theo nếu có.</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trình bày thể thức dự thảo Nghị quyết theo Mẫu số 17 Phụ lục III ban hành kèm theo Nghị định số 187/2025/NĐ-CP.</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Chỉnh lý thể thức dự thảo Nghị quyết theo Mẫu số 17, thống nhất với ý kiến của Sở Tư pháp và Sở Nội vụ.</w:t>
            </w:r>
          </w:p>
        </w:tc>
      </w:tr>
      <w:tr w:rsidR="00887F67" w:rsidRPr="00887F67" w:rsidTr="0044185E">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r w:rsidRPr="00887F67">
              <w:rPr>
                <w:spacing w:val="-2"/>
                <w:sz w:val="22"/>
              </w:rPr>
              <w:t>4</w:t>
            </w:r>
          </w:p>
        </w:tc>
        <w:tc>
          <w:tcPr>
            <w:tcW w:w="14175" w:type="dxa"/>
            <w:gridSpan w:val="4"/>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Sở Tài chính </w:t>
            </w:r>
            <w:r w:rsidRPr="00887F67">
              <w:rPr>
                <w:i/>
                <w:spacing w:val="-2"/>
                <w:sz w:val="22"/>
              </w:rPr>
              <w:t>(tại VB số 4838/STC-TCHCSN ngày 29/5/2026)</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6"/>
                <w:sz w:val="22"/>
              </w:rPr>
            </w:pPr>
            <w:r w:rsidRPr="00887F67">
              <w:rPr>
                <w:spacing w:val="-6"/>
                <w:sz w:val="22"/>
              </w:rPr>
              <w:t>Về dự kiến nguồn lực: dự thảo Tờ trình nêu nhu cầu khoảng 70 tỷ đồng/năm; Sở Tài chính cung cấp số liệu kinh phí bố trí các năm 2023, 2024, 2025 và năm 2026 đã bố trí 24,3 tỷ đồng; đề nghị Sở Nông nghiệp và Môi trường căn cứ kinh phí đã được bố trí, chủ động sắp xếp thực hiện; các năm sau căn cứ đề xuất và khả năng cân đối ngân sách thành phố để tham mưu bố trí.</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Nội dung nguồn lực cần thể hiện theo hướng dự kiến, không tạo cam kết cứng về mức kinh phí hằng năm; việc bố trí kinh phí thực hiện theo dự toán được cấp có thẩm quyền giao và khả năng cân đối ngân sách thành phố.</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Chỉnh lý mục nguồn lực trong Tờ trình theo hướng: kinh phí thực hiện từ ngân sách thành phố và các nguồn vốn hợp pháp khác; được bố trí trong dự toán chi thường xuyên hằng năm theo khả năng cân đối ngân sách địa phương và quy định pháp luật; năm 2026 thực hiện trong phạm vi dự toán đã được giao.</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bổ sung nội dung Nghị quyết số 22/2024/NQ-HĐND ngày 14/11/2024 của Hội đồng nhân dân tỉnh Hải Dương hết hiệu lực kể từ ngày Nghị quyết mới có hiệu lực thi hành.</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Không tiếp thu. Qua rà soát, Nghị quyết số 22/2024/NQ-HĐND ngày 14/11/2024 của Hội đồng nhân dân tỉnh Hải Dương đã được xử lý hiệu lực tại Nghị quyết số 53/NQ-HĐND ngày 26/10/2025 của Hội đồng nhân dân thành phố Hải Phòng. Do đó không quy định lại việc hết hiệu lực của Nghị quyết số 22/2024/NQ-HĐND trong dự thảo Nghị quyết để tránh trùng lặp.</w:t>
            </w:r>
          </w:p>
        </w:tc>
        <w:tc>
          <w:tcPr>
            <w:tcW w:w="4271" w:type="dxa"/>
            <w:tcMar>
              <w:top w:w="80" w:type="dxa"/>
              <w:left w:w="80" w:type="dxa"/>
              <w:bottom w:w="80" w:type="dxa"/>
              <w:right w:w="80" w:type="dxa"/>
            </w:tcMar>
          </w:tcPr>
          <w:p w:rsidR="00887F67" w:rsidRPr="00887F67" w:rsidRDefault="00887F67" w:rsidP="00052475">
            <w:pPr>
              <w:widowControl w:val="0"/>
              <w:jc w:val="both"/>
              <w:rPr>
                <w:spacing w:val="-2"/>
                <w:sz w:val="22"/>
              </w:rPr>
            </w:pPr>
            <w:r w:rsidRPr="00887F67">
              <w:rPr>
                <w:spacing w:val="-2"/>
                <w:sz w:val="22"/>
              </w:rPr>
              <w:t>Giữ nguyên</w:t>
            </w:r>
            <w:r w:rsidR="00052475">
              <w:rPr>
                <w:spacing w:val="-2"/>
                <w:sz w:val="22"/>
              </w:rPr>
              <w:t xml:space="preserve"> nội dung dự thảo</w:t>
            </w:r>
            <w:r w:rsidRPr="00887F67">
              <w:rPr>
                <w:spacing w:val="-2"/>
                <w:sz w:val="22"/>
              </w:rPr>
              <w:t>.</w:t>
            </w:r>
            <w:bookmarkStart w:id="0" w:name="_GoBack"/>
            <w:bookmarkEnd w:id="0"/>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Các nội dung khác không có ý kiến tham gia.</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Ghi nhận.</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Không chỉnh lý.</w:t>
            </w:r>
          </w:p>
        </w:tc>
      </w:tr>
      <w:tr w:rsidR="00887F67" w:rsidRPr="00887F67" w:rsidTr="006D35AE">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r w:rsidRPr="00887F67">
              <w:rPr>
                <w:spacing w:val="-2"/>
                <w:sz w:val="22"/>
              </w:rPr>
              <w:t>5</w:t>
            </w:r>
          </w:p>
        </w:tc>
        <w:tc>
          <w:tcPr>
            <w:tcW w:w="14175" w:type="dxa"/>
            <w:gridSpan w:val="4"/>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UBND xã Hồng Châu </w:t>
            </w:r>
            <w:r w:rsidRPr="00887F67">
              <w:rPr>
                <w:i/>
                <w:spacing w:val="-2"/>
                <w:sz w:val="22"/>
              </w:rPr>
              <w:t>(tại VB số 622/UBND-KT ngày 04/5/2026)</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Cơ bản nhất trí với kết cấu, nội dung dự thảo; đề </w:t>
            </w:r>
            <w:r w:rsidRPr="00887F67">
              <w:rPr>
                <w:spacing w:val="-2"/>
                <w:sz w:val="22"/>
              </w:rPr>
              <w:lastRenderedPageBreak/>
              <w:t>nghị bổ sung tại điểm c khoản 1 Điều 3 cụm từ “Sửa chữa, phát quang cây dại, cây thân gỗ và trồng cỏ mái đê, cơ đê, chân đê, mái kè”.</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lastRenderedPageBreak/>
              <w:t xml:space="preserve">Tiếp thu một phần. Nội dung phát quang cây dại </w:t>
            </w:r>
            <w:r w:rsidRPr="00887F67">
              <w:rPr>
                <w:spacing w:val="-2"/>
                <w:sz w:val="22"/>
              </w:rPr>
              <w:lastRenderedPageBreak/>
              <w:t>trên mái đê, cơ đê, chân đê, mái kè là công việc cần thiết trong duy tu, bảo dưỡng; tuy nhiên cần diễn đạt phù hợp phạm vi Thông tư số 68/2020/TT-BTC và tránh mở rộng sang nội dung không thuộc danh mục chi.</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lastRenderedPageBreak/>
              <w:t xml:space="preserve">Chỉnh lý điểm c khoản 1 Điều 3 theo hướng bổ </w:t>
            </w:r>
            <w:r w:rsidRPr="00887F67">
              <w:rPr>
                <w:spacing w:val="-2"/>
                <w:sz w:val="22"/>
              </w:rPr>
              <w:lastRenderedPageBreak/>
              <w:t>sung nội dung phát quang mái đê, cơ đê, chân đê, mái kè trong phạm vi duy tu, bảo dưỡng đê điều. Nội dung xử lý cây thân gỗ thực hiện theo quy định về bảo vệ an toàn đê điều và quyết định của cấp có thẩm quyền.</w:t>
            </w:r>
          </w:p>
        </w:tc>
      </w:tr>
      <w:tr w:rsidR="00887F67" w:rsidRPr="00887F67" w:rsidTr="004416E9">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r w:rsidRPr="00887F67">
              <w:rPr>
                <w:spacing w:val="-2"/>
                <w:sz w:val="22"/>
              </w:rPr>
              <w:lastRenderedPageBreak/>
              <w:t>6</w:t>
            </w:r>
          </w:p>
        </w:tc>
        <w:tc>
          <w:tcPr>
            <w:tcW w:w="14175" w:type="dxa"/>
            <w:gridSpan w:val="4"/>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UBND xã Vĩnh Lại </w:t>
            </w:r>
            <w:r w:rsidRPr="00887F67">
              <w:rPr>
                <w:i/>
                <w:spacing w:val="-2"/>
                <w:sz w:val="22"/>
              </w:rPr>
              <w:t>(tại VB số 746/UBND-KT ngày 29/4/2026)</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làm rõ trách nhiệm của UBND cấp xã trong kiểm tra, phát hiện ban đầu sự cố đê điều; chủ động xử lý bước đầu tình huống khẩn cấp; phối hợp với đơn vị quản lý chuyên ngành trong duy tu, bảo dưỡng.</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Không tiếp thu vào nội dung dự thảo Nghị quyết. Trách nhiệm của Ủy ban nhân dân cấp xã trong quản lý, bảo vệ đê điều đã được quy định tại Luật Đê điều và các văn bản hướng dẫn thi hành. Dự thảo Nghị quyết chỉ quy định nội dung, nhiệm vụ chi nên không quy định lại trách nhiệm quản lý nhà nước.</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Giữ nguyên nội dung dự thảo; việc tổ chức thực hiện thực hiện theo quy định của pháp luật chuyên ngành và phân cấp quản lý hiện hành.</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bổ sung nội dung chi cho công tác tuần tra, canh gác đê điều trong mùa mưa bão, hỗ trợ lực lượng tại chỗ, lực lượng xung kích phòng chống thiên tai cấp xã.</w:t>
            </w:r>
          </w:p>
        </w:tc>
        <w:tc>
          <w:tcPr>
            <w:tcW w:w="4271" w:type="dxa"/>
            <w:tcMar>
              <w:top w:w="80" w:type="dxa"/>
              <w:left w:w="80" w:type="dxa"/>
              <w:bottom w:w="80" w:type="dxa"/>
              <w:right w:w="80" w:type="dxa"/>
            </w:tcMar>
          </w:tcPr>
          <w:p w:rsidR="00887F67" w:rsidRPr="00887F67" w:rsidRDefault="00887F67" w:rsidP="00887F67">
            <w:pPr>
              <w:widowControl w:val="0"/>
              <w:jc w:val="both"/>
              <w:rPr>
                <w:spacing w:val="-6"/>
                <w:sz w:val="22"/>
              </w:rPr>
            </w:pPr>
            <w:r w:rsidRPr="00887F67">
              <w:rPr>
                <w:spacing w:val="-6"/>
                <w:sz w:val="22"/>
              </w:rPr>
              <w:t>Không tiếp thu vào danh mục chi của Nghị quyết. Công tác tuần tra, canh gác đê điều, hoạt động của lực lượng xung kích phòng chống thiên tai cấp xã thuộc nội dung, cơ chế chi khác theo pháp luật về phòng, chống thiên tai, ngân sách nhà nước và các văn bản có liên quan; không thuộc phạm vi trực tiếp của Nghị quyết này.</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Giữ phạm vi điều chỉnh của dự thảo; nội dung này được thực hiện theo cơ chế tài chính, văn bản chuyên ngành khác phù hợp.</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bổ sung nội dung chi phục vụ tuyên truyền, nâng cao nhận thức cộng đồng về bảo vệ đê điều.</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Không tiếp thu vào danh mục chi của Nghị quyết. Nội dung tuyên truyền, phổ biến pháp luật về đê điều là cần thiết nhưng không thuộc danh mục nội dung chi duy tu, bảo dưỡng và xử lý cấp bách sự cố đê điều theo Thông tư số 68/2020/TT-BTC.</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Không bổ sung vào Điều 3; việc tuyên truyền thực hiện theo chương trình, kế hoạch và nguồn kinh phí phù hợp khác.</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làm rõ nội dung “các công việc khác có liên quan trực tiếp tới công tác duy tu, bảo dưỡng đê điều” tại điểm m khoản 1 Điều 3 để tránh áp dụng không thống nhất.</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Cần làm rõ điều kiện áp dụng để không mở rộng tùy tiện danh mục nhiệm vụ chi.</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Chỉnh lý điểm m khoản 1 Điều 3 theo hướng: các công việc khác có liên quan trực tiếp tới công tác duy tu, bảo dưỡng đê điều theo quy định của Luật Đê điều, Thông tư số 68/2020/TT-BTC, pháp luật có liên quan và được cấp có </w:t>
            </w:r>
            <w:r w:rsidRPr="00887F67">
              <w:rPr>
                <w:spacing w:val="-2"/>
                <w:sz w:val="22"/>
              </w:rPr>
              <w:lastRenderedPageBreak/>
              <w:t>thẩm quyền phê duyệt.</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bổ sung quy định hoặc hướng dẫn rõ tiêu chí xác định “cấp bách” để địa phương chủ động triển khai và thanh quyết toán kinh phí.</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một phần. Dự thảo đã quy định các sự cố phát sinh trước, trong và sau mùa lũ, bão hằng năm chưa được đưa vào kế hoạch và bố trí trong dự toán duy tu, bảo dưỡng hằng năm, cần xử lý kịp thời để bảo đảm an toàn đê điều. Việc hướng dẫn hồ sơ, trình tự xử lý thuộc trách nhiệm tổ chức thực hiện của cơ quan có thẩm quyền.</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Rà soát, chỉnh lý khoản 2 Điều 3 để làm rõ phạm vi các sự cố cần xử lý cấp bách nhằm bảo đảm thống nhất trong quá trình áp dụng.</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nghiên cứu cơ chế tạm ứng kinh phí nhanh trong tình huống khẩn cấp; bổ sung nội dung chi huy động vật tư, phương tiện, nhân lực tại chỗ trong giờ đầu xảy ra sự cố.</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Không quy định trực tiếp trong Nghị quyết. Nội dung tạm ứng, rút dự toán, thanh toán, quyết toán kinh phí và huy động vật tư, phương tiện, nhân lực trong tình huống khẩn cấp thuộc phạm vi pháp luật về ngân sách nhà nước, kho bạc nhà nước, tài chính, phòng chống thiên tai, hộ đê và quyết định của cấp có thẩm quyền.</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Không bổ sung cơ chế riêng vào dự thảo Nghị quyết; thực hiện theo pháp luật hiện hành và hướng dẫn của cơ quan tài chính, kho bạc, cơ quan chuyên ngành.</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nghiên cứu cơ chế phân cấp nguồn kinh phí hoặc hỗ trợ có mục tiêu cho cấp xã, nhất là địa phương có tuyến đê trọng điểm; làm rõ cơ chế huy động và sử dụng các nguồn vốn hợp pháp khác.</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một phần. Việc phân cấp, giao dự toán, hỗ trợ có mục tiêu thuộc thẩm quyền điều hành ngân sách của Ủy ban nhân dân thành phố và Hội đồng nhân dân thành phố theo pháp luật ngân sách. Nghị quyết chỉ quy định nguồn kinh phí thực hiện, không quy định chi tiết cơ chế phân bổ cho từng cấp, từng địa phương.</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Giữ quy định khái quát về nguồn kinh phí; bổ sung trong Tờ trình nội dung việc bố trí, phân bổ, quản lý, sử dụng kinh phí thực hiện theo pháp luật ngân sách nhà nước, khả năng cân đối ngân sách thành phố và phân cấp quản lý hiện hành.</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Đề nghị bổ sung quy định phân công trách nhiệm cụ thể giữa thành phố và xã; hướng dẫn chi tiết trình tự, thủ tục lập dự toán, thanh quyết toán; tăng cường kiểm tra, giám sát nhưng đơn giản hóa thủ tục hành chính đối với tình huống khẩn cấp.</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thu một phần. Nội dung phân công trách nhiệm, lập dự toán, thanh quyết toán thuộc khâu tổ chức thực hiện, đã được pháp luật ngân sách, tài chính, kho bạc và Thông tư số 68/2020/TT-BTC điều chỉnh; Nghị quyết không quy định lại thủ tục chi tiết.</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Chỉnh lý Điều tổ chức thực hiện theo hướng giao Ủy ban nhân dân thành phố tổ chức triển khai, hướng dẫn, kiểm tra việc thực hiện; thủ tục lập, phân bổ, chấp hành dự toán, thanh quyết toán thực hiện theo quy định pháp luật hiện hành.</w:t>
            </w:r>
          </w:p>
        </w:tc>
      </w:tr>
      <w:tr w:rsidR="00887F67" w:rsidRPr="00887F67" w:rsidTr="00DB388F">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r w:rsidRPr="00887F67">
              <w:rPr>
                <w:spacing w:val="-2"/>
                <w:sz w:val="22"/>
              </w:rPr>
              <w:t>7</w:t>
            </w:r>
          </w:p>
        </w:tc>
        <w:tc>
          <w:tcPr>
            <w:tcW w:w="14175" w:type="dxa"/>
            <w:gridSpan w:val="4"/>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Các cơ quan, đơn vị khác; ý kiến trên Cổng thông tin điện tử thành phố</w:t>
            </w:r>
          </w:p>
        </w:tc>
      </w:tr>
      <w:tr w:rsidR="00887F67" w:rsidRPr="00887F67" w:rsidTr="0069710B">
        <w:trPr>
          <w:jc w:val="center"/>
        </w:trPr>
        <w:tc>
          <w:tcPr>
            <w:tcW w:w="567" w:type="dxa"/>
            <w:tcMar>
              <w:top w:w="80" w:type="dxa"/>
              <w:left w:w="80" w:type="dxa"/>
              <w:bottom w:w="80" w:type="dxa"/>
              <w:right w:w="80" w:type="dxa"/>
            </w:tcMar>
          </w:tcPr>
          <w:p w:rsidR="00887F67" w:rsidRPr="00887F67" w:rsidRDefault="00887F67" w:rsidP="00887F67">
            <w:pPr>
              <w:widowControl w:val="0"/>
              <w:jc w:val="center"/>
              <w:rPr>
                <w:spacing w:val="-2"/>
                <w:sz w:val="22"/>
              </w:rPr>
            </w:pPr>
          </w:p>
        </w:tc>
        <w:tc>
          <w:tcPr>
            <w:tcW w:w="1362" w:type="dxa"/>
            <w:tcMar>
              <w:top w:w="80" w:type="dxa"/>
              <w:left w:w="80" w:type="dxa"/>
              <w:bottom w:w="80" w:type="dxa"/>
              <w:right w:w="80" w:type="dxa"/>
            </w:tcMar>
          </w:tcPr>
          <w:p w:rsidR="00887F67" w:rsidRPr="00887F67" w:rsidRDefault="00887F67" w:rsidP="00887F67">
            <w:pPr>
              <w:widowControl w:val="0"/>
              <w:jc w:val="both"/>
              <w:rPr>
                <w:spacing w:val="-2"/>
                <w:sz w:val="22"/>
              </w:rPr>
            </w:pP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 xml:space="preserve">Các cơ quan, đơn vị còn lại thống nhất với bố </w:t>
            </w:r>
            <w:r w:rsidRPr="00887F67">
              <w:rPr>
                <w:spacing w:val="-2"/>
                <w:sz w:val="22"/>
              </w:rPr>
              <w:lastRenderedPageBreak/>
              <w:t>cục, nội dung dự thảo hoặc không có ý kiến khác; trên Cổng thông tin điện tử thành phố không có ý kiến tham gia.</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lastRenderedPageBreak/>
              <w:t>Ghi nhận.</w:t>
            </w:r>
          </w:p>
        </w:tc>
        <w:tc>
          <w:tcPr>
            <w:tcW w:w="4271" w:type="dxa"/>
            <w:tcMar>
              <w:top w:w="80" w:type="dxa"/>
              <w:left w:w="80" w:type="dxa"/>
              <w:bottom w:w="80" w:type="dxa"/>
              <w:right w:w="80" w:type="dxa"/>
            </w:tcMar>
          </w:tcPr>
          <w:p w:rsidR="00887F67" w:rsidRPr="00887F67" w:rsidRDefault="00887F67" w:rsidP="00887F67">
            <w:pPr>
              <w:widowControl w:val="0"/>
              <w:jc w:val="both"/>
              <w:rPr>
                <w:spacing w:val="-2"/>
                <w:sz w:val="22"/>
              </w:rPr>
            </w:pPr>
            <w:r w:rsidRPr="00887F67">
              <w:rPr>
                <w:spacing w:val="-2"/>
                <w:sz w:val="22"/>
              </w:rPr>
              <w:t>Tiếp tục hoàn thiện hồ sơ theo quy định.</w:t>
            </w:r>
          </w:p>
        </w:tc>
      </w:tr>
    </w:tbl>
    <w:p w:rsidR="009F6733" w:rsidRPr="00887F67" w:rsidRDefault="00477020" w:rsidP="00626555">
      <w:pPr>
        <w:widowControl w:val="0"/>
        <w:spacing w:before="240" w:after="60" w:line="264" w:lineRule="auto"/>
        <w:ind w:firstLine="720"/>
        <w:jc w:val="both"/>
        <w:rPr>
          <w:spacing w:val="-2"/>
        </w:rPr>
      </w:pPr>
      <w:r w:rsidRPr="00887F67">
        <w:rPr>
          <w:b/>
          <w:spacing w:val="-2"/>
        </w:rPr>
        <w:lastRenderedPageBreak/>
        <w:t>III. Kết quả tiếp thu, chỉnh lý hồ sơ dự thảo</w:t>
      </w:r>
    </w:p>
    <w:p w:rsidR="009F6733" w:rsidRPr="00887F67" w:rsidRDefault="00477020" w:rsidP="002D7986">
      <w:pPr>
        <w:widowControl w:val="0"/>
        <w:spacing w:after="60" w:line="264" w:lineRule="auto"/>
        <w:ind w:firstLine="720"/>
        <w:jc w:val="both"/>
        <w:rPr>
          <w:spacing w:val="-2"/>
        </w:rPr>
      </w:pPr>
      <w:r w:rsidRPr="00887F67">
        <w:rPr>
          <w:spacing w:val="-2"/>
        </w:rPr>
        <w:t>1. Chỉnh lý phạm vi điều chỉnh của dự thảo Nghị quyết, nêu rõ Nghị quyết quy định nội dung, nhiệm vụ chi theo nội dung được giao tại Điều 5 Thông tư số 68/2020/TT-BTC ngày 15/7/2020 của Bộ trưởng Bộ Tài chính.</w:t>
      </w:r>
    </w:p>
    <w:p w:rsidR="009F6733" w:rsidRPr="00887F67" w:rsidRDefault="00477020" w:rsidP="002D7986">
      <w:pPr>
        <w:widowControl w:val="0"/>
        <w:spacing w:after="60" w:line="264" w:lineRule="auto"/>
        <w:ind w:firstLine="720"/>
        <w:jc w:val="both"/>
        <w:rPr>
          <w:spacing w:val="-2"/>
        </w:rPr>
      </w:pPr>
      <w:r w:rsidRPr="00887F67">
        <w:rPr>
          <w:spacing w:val="-2"/>
        </w:rPr>
        <w:t>2. Rà soát, chỉnh lý danh mục nội dung, nhiệm vụ chi tại Điều 3, bảo đảm thống nhất với Thông tư số 68/2020/TT-BTC, phù hợp nhiệm vụ chi của ngân sách thành phố và không trùng lặp với nhiệm vụ chi của ngân sách trung ương.</w:t>
      </w:r>
    </w:p>
    <w:p w:rsidR="009F6733" w:rsidRPr="00887F67" w:rsidRDefault="00477020" w:rsidP="002D7986">
      <w:pPr>
        <w:widowControl w:val="0"/>
        <w:spacing w:after="60" w:line="264" w:lineRule="auto"/>
        <w:ind w:firstLine="720"/>
        <w:jc w:val="both"/>
        <w:rPr>
          <w:spacing w:val="-2"/>
        </w:rPr>
      </w:pPr>
      <w:r w:rsidRPr="00887F67">
        <w:rPr>
          <w:spacing w:val="-2"/>
        </w:rPr>
        <w:t>3. Bổ sung, chỉnh lý nội dung phát quang mái đê, cơ đê, chân đê, mái kè trong phạm vi duy tu, bảo dưỡng đê điều; làm rõ nội dung “các công việc khác” để bảo đảm áp dụng thống nhất.</w:t>
      </w:r>
    </w:p>
    <w:p w:rsidR="009F6733" w:rsidRPr="00887F67" w:rsidRDefault="00477020" w:rsidP="002D7986">
      <w:pPr>
        <w:widowControl w:val="0"/>
        <w:spacing w:after="60" w:line="264" w:lineRule="auto"/>
        <w:ind w:firstLine="720"/>
        <w:jc w:val="both"/>
        <w:rPr>
          <w:spacing w:val="-2"/>
        </w:rPr>
      </w:pPr>
      <w:r w:rsidRPr="00887F67">
        <w:rPr>
          <w:spacing w:val="-2"/>
        </w:rPr>
        <w:t>4. Chỉnh lý Điều khoản chuyển tiếp theo hướng xử lý các nhiệm vụ đã được giao dự toán, phê duyệt kế hoạch, phê duyệt dự toán hoặc đang triển khai trước ngày Nghị quyết mới có hiệu lực.</w:t>
      </w:r>
    </w:p>
    <w:p w:rsidR="009F6733" w:rsidRPr="00887F67" w:rsidRDefault="00477020" w:rsidP="002D7986">
      <w:pPr>
        <w:widowControl w:val="0"/>
        <w:spacing w:after="60" w:line="264" w:lineRule="auto"/>
        <w:ind w:firstLine="720"/>
        <w:jc w:val="both"/>
        <w:rPr>
          <w:spacing w:val="-2"/>
        </w:rPr>
      </w:pPr>
      <w:r w:rsidRPr="00887F67">
        <w:rPr>
          <w:spacing w:val="-2"/>
        </w:rPr>
        <w:t>5. Chỉnh lý nội dung nguồn lực trong Tờ trình theo hướng kinh phí thực hiện từ ngân sách thành phố và các nguồn vốn hợp pháp khác, được bố trí trong dự toán chi thường xuyên hằng năm theo khả năng cân đối ngân sách địa phương và quy định pháp luật; không xác định cứng mức kinh phí hằng năm.</w:t>
      </w:r>
    </w:p>
    <w:p w:rsidR="009F6733" w:rsidRPr="00887F67" w:rsidRDefault="00477020" w:rsidP="002D7986">
      <w:pPr>
        <w:widowControl w:val="0"/>
        <w:spacing w:after="60" w:line="264" w:lineRule="auto"/>
        <w:ind w:firstLine="720"/>
        <w:jc w:val="both"/>
        <w:rPr>
          <w:spacing w:val="-2"/>
        </w:rPr>
      </w:pPr>
      <w:r w:rsidRPr="00887F67">
        <w:rPr>
          <w:spacing w:val="-2"/>
        </w:rPr>
        <w:t>6. Rà soát việc xử lý hiệu lực của Nghị quyết số 06/2022/NQ-HĐND và Nghị quyết số 22/2024/NQ-HĐND; bổ sung giải trình trong hồ sơ để bảo đảm thống nhất áp dụng sau hợp nhất đơn vị hành chính.</w:t>
      </w:r>
    </w:p>
    <w:p w:rsidR="009F6733" w:rsidRPr="00887F67" w:rsidRDefault="00477020" w:rsidP="002D7986">
      <w:pPr>
        <w:widowControl w:val="0"/>
        <w:spacing w:after="60" w:line="264" w:lineRule="auto"/>
        <w:ind w:firstLine="720"/>
        <w:jc w:val="both"/>
        <w:rPr>
          <w:spacing w:val="-2"/>
        </w:rPr>
      </w:pPr>
      <w:r w:rsidRPr="00887F67">
        <w:rPr>
          <w:spacing w:val="-2"/>
        </w:rPr>
        <w:t>7. Chỉnh lý thể thức, kỹ thuật trình bày dự thảo Nghị quyết theo Mẫu số 17 Phụ lục III ban hành kèm theo Nghị định số 187/2025/NĐ-CP; rà soát căn cứ pháp lý, tên cơ quan ban hành văn bản, tên điều, nơi nhận và các nội dung kỹ thuật khác.</w:t>
      </w:r>
    </w:p>
    <w:p w:rsidR="009F6733" w:rsidRPr="00887F67" w:rsidRDefault="00477020" w:rsidP="002D7986">
      <w:pPr>
        <w:widowControl w:val="0"/>
        <w:spacing w:after="60" w:line="264" w:lineRule="auto"/>
        <w:ind w:firstLine="720"/>
        <w:jc w:val="both"/>
        <w:rPr>
          <w:spacing w:val="-2"/>
        </w:rPr>
      </w:pPr>
      <w:r w:rsidRPr="00887F67">
        <w:rPr>
          <w:spacing w:val="-2"/>
        </w:rPr>
        <w:t>8. Hoàn thiện thành phần hồ sơ gửi Sở Tư pháp thẩm định theo quy định; thực hiện đăng tải bản tổng hợp ý kiến, tiếp thu, giải trình ý kiến góp ý trên cổng/trang thông tin điện tử của Sở Nông nghiệp và Môi trường đúng thời hạn, thời gian quy định.</w:t>
      </w:r>
    </w:p>
    <w:p w:rsidR="00477020" w:rsidRPr="00887F67" w:rsidRDefault="00477020" w:rsidP="002D7986">
      <w:pPr>
        <w:widowControl w:val="0"/>
        <w:spacing w:after="60" w:line="264" w:lineRule="auto"/>
        <w:ind w:firstLine="720"/>
        <w:jc w:val="both"/>
        <w:rPr>
          <w:spacing w:val="-2"/>
        </w:rPr>
      </w:pPr>
      <w:r w:rsidRPr="00887F67">
        <w:rPr>
          <w:spacing w:val="-2"/>
        </w:rPr>
        <w:t>Trên đây là Bản tổng hợp ý kiến, tiếp thu, giải trình ý kiến góp ý đối với dự thảo Nghị quyết của Hội đồng nhân dân thành phố quy định nội dung, nhiệm vụ chi thường xuyên duy tu, bảo dưỡng đê điều và xử lý cấp bách sự cố đê điều trên địa bàn thành phố Hải Phòng. Sở Nông nghiệp và Môi trường tổng hợp, báo cáo và hoàn thiện hồ sơ theo quy định./.</w:t>
      </w:r>
    </w:p>
    <w:sectPr w:rsidR="00477020" w:rsidRPr="00887F67" w:rsidSect="00FD1601">
      <w:headerReference w:type="default" r:id="rId8"/>
      <w:pgSz w:w="16838" w:h="11906"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64" w:rsidRDefault="003A5E64" w:rsidP="00FD1601">
      <w:pPr>
        <w:spacing w:after="0" w:line="240" w:lineRule="auto"/>
      </w:pPr>
      <w:r>
        <w:separator/>
      </w:r>
    </w:p>
  </w:endnote>
  <w:endnote w:type="continuationSeparator" w:id="0">
    <w:p w:rsidR="003A5E64" w:rsidRDefault="003A5E64" w:rsidP="00FD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64" w:rsidRDefault="003A5E64" w:rsidP="00FD1601">
      <w:pPr>
        <w:spacing w:after="0" w:line="240" w:lineRule="auto"/>
      </w:pPr>
      <w:r>
        <w:separator/>
      </w:r>
    </w:p>
  </w:footnote>
  <w:footnote w:type="continuationSeparator" w:id="0">
    <w:p w:rsidR="003A5E64" w:rsidRDefault="003A5E64" w:rsidP="00FD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784775"/>
      <w:docPartObj>
        <w:docPartGallery w:val="Page Numbers (Top of Page)"/>
        <w:docPartUnique/>
      </w:docPartObj>
    </w:sdtPr>
    <w:sdtEndPr>
      <w:rPr>
        <w:noProof/>
      </w:rPr>
    </w:sdtEndPr>
    <w:sdtContent>
      <w:p w:rsidR="00FD1601" w:rsidRDefault="00FD1601" w:rsidP="00FD1601">
        <w:pPr>
          <w:pStyle w:val="Header"/>
          <w:jc w:val="center"/>
        </w:pPr>
        <w:r>
          <w:fldChar w:fldCharType="begin"/>
        </w:r>
        <w:r>
          <w:instrText xml:space="preserve"> PAGE   \* MERGEFORMAT </w:instrText>
        </w:r>
        <w:r>
          <w:fldChar w:fldCharType="separate"/>
        </w:r>
        <w:r w:rsidR="00052475">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2475"/>
    <w:rsid w:val="0006063C"/>
    <w:rsid w:val="001073F6"/>
    <w:rsid w:val="0015074B"/>
    <w:rsid w:val="0029639D"/>
    <w:rsid w:val="002D7986"/>
    <w:rsid w:val="00326F90"/>
    <w:rsid w:val="003A5E64"/>
    <w:rsid w:val="004272AA"/>
    <w:rsid w:val="00477020"/>
    <w:rsid w:val="00554CED"/>
    <w:rsid w:val="00603707"/>
    <w:rsid w:val="00626555"/>
    <w:rsid w:val="0069710B"/>
    <w:rsid w:val="0073094A"/>
    <w:rsid w:val="00887F67"/>
    <w:rsid w:val="009960B1"/>
    <w:rsid w:val="009A444F"/>
    <w:rsid w:val="009A7B2C"/>
    <w:rsid w:val="009F6733"/>
    <w:rsid w:val="00A15E2E"/>
    <w:rsid w:val="00A30B1D"/>
    <w:rsid w:val="00A7332C"/>
    <w:rsid w:val="00AA1D8D"/>
    <w:rsid w:val="00AC79BC"/>
    <w:rsid w:val="00B47730"/>
    <w:rsid w:val="00C81926"/>
    <w:rsid w:val="00CB0664"/>
    <w:rsid w:val="00CF1540"/>
    <w:rsid w:val="00CF3869"/>
    <w:rsid w:val="00FC693F"/>
    <w:rsid w:val="00FD1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124BD"/>
  <w14:defaultImageDpi w14:val="300"/>
  <w15:docId w15:val="{6F772072-0BAD-4EC9-9654-47D1C865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E471-ACE3-4622-B931-43889AEC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5</cp:revision>
  <dcterms:created xsi:type="dcterms:W3CDTF">2026-06-13T03:42:00Z</dcterms:created>
  <dcterms:modified xsi:type="dcterms:W3CDTF">2026-06-13T04:39:00Z</dcterms:modified>
  <cp:category/>
</cp:coreProperties>
</file>