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97" w:type="dxa"/>
        <w:jc w:val="center"/>
        <w:tblLook w:val="0000" w:firstRow="0" w:lastRow="0" w:firstColumn="0" w:lastColumn="0" w:noHBand="0" w:noVBand="0"/>
      </w:tblPr>
      <w:tblGrid>
        <w:gridCol w:w="3924"/>
        <w:gridCol w:w="5373"/>
      </w:tblGrid>
      <w:tr w:rsidR="00DA71EE" w:rsidRPr="00DA71EE" w:rsidTr="00D1399D">
        <w:trPr>
          <w:trHeight w:val="80"/>
          <w:jc w:val="center"/>
        </w:trPr>
        <w:tc>
          <w:tcPr>
            <w:tcW w:w="3924" w:type="dxa"/>
          </w:tcPr>
          <w:p w:rsidR="00DA71EE" w:rsidRPr="00DA71EE" w:rsidRDefault="00DA71EE" w:rsidP="00DA71EE">
            <w:pPr>
              <w:widowControl w:val="0"/>
              <w:spacing w:line="240" w:lineRule="auto"/>
              <w:ind w:firstLine="0"/>
              <w:jc w:val="center"/>
              <w:rPr>
                <w:b/>
                <w:spacing w:val="-2"/>
                <w:sz w:val="26"/>
                <w:szCs w:val="28"/>
              </w:rPr>
            </w:pPr>
            <w:r w:rsidRPr="00DA71EE">
              <w:rPr>
                <w:b/>
                <w:spacing w:val="-2"/>
                <w:sz w:val="26"/>
                <w:szCs w:val="28"/>
              </w:rPr>
              <w:t xml:space="preserve">UỶ BAN NHÂN DÂN </w:t>
            </w:r>
          </w:p>
          <w:p w:rsidR="00DA71EE" w:rsidRPr="00DA71EE" w:rsidRDefault="00DA71EE" w:rsidP="00DA71EE">
            <w:pPr>
              <w:widowControl w:val="0"/>
              <w:spacing w:line="240" w:lineRule="auto"/>
              <w:ind w:firstLine="0"/>
              <w:jc w:val="center"/>
              <w:rPr>
                <w:b/>
                <w:spacing w:val="-2"/>
                <w:szCs w:val="28"/>
              </w:rPr>
            </w:pPr>
            <w:r w:rsidRPr="00DA71EE">
              <w:rPr>
                <w:b/>
                <w:spacing w:val="-2"/>
                <w:sz w:val="26"/>
                <w:szCs w:val="28"/>
              </w:rPr>
              <w:t>THÀNH PHỐ HẢI PHÒNG</w:t>
            </w:r>
          </w:p>
        </w:tc>
        <w:tc>
          <w:tcPr>
            <w:tcW w:w="5373" w:type="dxa"/>
          </w:tcPr>
          <w:p w:rsidR="00DA71EE" w:rsidRPr="00DA71EE" w:rsidRDefault="00DA71EE" w:rsidP="00DA71EE">
            <w:pPr>
              <w:widowControl w:val="0"/>
              <w:spacing w:line="240" w:lineRule="auto"/>
              <w:ind w:firstLine="0"/>
              <w:jc w:val="center"/>
              <w:rPr>
                <w:b/>
                <w:spacing w:val="-2"/>
                <w:w w:val="95"/>
                <w:sz w:val="26"/>
                <w:szCs w:val="26"/>
              </w:rPr>
            </w:pPr>
            <w:r w:rsidRPr="00DA71EE">
              <w:rPr>
                <w:b/>
                <w:spacing w:val="-2"/>
                <w:w w:val="95"/>
                <w:sz w:val="26"/>
                <w:szCs w:val="26"/>
              </w:rPr>
              <w:t>CỘNG HOÀ XÃ HỘI CHỦ NGHĨA VIỆT NAM</w:t>
            </w:r>
          </w:p>
          <w:p w:rsidR="00DA71EE" w:rsidRPr="00DA71EE" w:rsidRDefault="00DA71EE" w:rsidP="00DA71EE">
            <w:pPr>
              <w:widowControl w:val="0"/>
              <w:spacing w:line="240" w:lineRule="auto"/>
              <w:ind w:firstLine="0"/>
              <w:jc w:val="center"/>
              <w:rPr>
                <w:b/>
                <w:spacing w:val="-2"/>
                <w:w w:val="95"/>
                <w:sz w:val="26"/>
                <w:szCs w:val="26"/>
              </w:rPr>
            </w:pPr>
            <w:r w:rsidRPr="00DA71EE">
              <w:rPr>
                <w:b/>
                <w:spacing w:val="-2"/>
                <w:szCs w:val="26"/>
              </w:rPr>
              <w:t>Độc lập - Tự do - Hạnh phúc</w:t>
            </w:r>
          </w:p>
        </w:tc>
      </w:tr>
      <w:tr w:rsidR="00DA71EE" w:rsidRPr="00DA71EE" w:rsidTr="00D1399D">
        <w:trPr>
          <w:trHeight w:val="374"/>
          <w:jc w:val="center"/>
        </w:trPr>
        <w:tc>
          <w:tcPr>
            <w:tcW w:w="3924" w:type="dxa"/>
          </w:tcPr>
          <w:p w:rsidR="00DA71EE" w:rsidRDefault="00DA71EE" w:rsidP="00DA71EE">
            <w:pPr>
              <w:widowControl w:val="0"/>
              <w:spacing w:before="240" w:line="240" w:lineRule="auto"/>
              <w:ind w:firstLine="0"/>
              <w:jc w:val="center"/>
              <w:rPr>
                <w:spacing w:val="-2"/>
                <w:sz w:val="26"/>
                <w:szCs w:val="26"/>
              </w:rPr>
            </w:pPr>
            <w:r w:rsidRPr="00DA71EE">
              <w:rPr>
                <w:noProof/>
                <w:spacing w:val="-2"/>
                <w:sz w:val="26"/>
                <w:szCs w:val="26"/>
              </w:rPr>
              <mc:AlternateContent>
                <mc:Choice Requires="wps">
                  <w:drawing>
                    <wp:anchor distT="0" distB="0" distL="114300" distR="114300" simplePos="0" relativeHeight="251658752" behindDoc="0" locked="0" layoutInCell="1" allowOverlap="1">
                      <wp:simplePos x="0" y="0"/>
                      <wp:positionH relativeFrom="column">
                        <wp:posOffset>716280</wp:posOffset>
                      </wp:positionH>
                      <wp:positionV relativeFrom="paragraph">
                        <wp:posOffset>5080</wp:posOffset>
                      </wp:positionV>
                      <wp:extent cx="942975" cy="0"/>
                      <wp:effectExtent l="11430" t="5080" r="7620" b="1397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2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BE91D5B" id="_x0000_t32" coordsize="21600,21600" o:spt="32" o:oned="t" path="m,l21600,21600e" filled="f">
                      <v:path arrowok="t" fillok="f" o:connecttype="none"/>
                      <o:lock v:ext="edit" shapetype="t"/>
                    </v:shapetype>
                    <v:shape id="Straight Arrow Connector 2" o:spid="_x0000_s1026" type="#_x0000_t32" style="position:absolute;margin-left:56.4pt;margin-top:.4pt;width:74.2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WRcJAIAAEkEAAAOAAAAZHJzL2Uyb0RvYy54bWysVMFu2zAMvQ/YPwi6p449p02MOkVhJ7t0&#10;a4B0H6BIcizMFgVJjRMM+/dRSmK022UY5oNMmeLjI/nk+4dj35GDtE6BLml6M6VEag5C6X1Jv72s&#10;J3NKnGdasA60LOlJOvqw/PjhfjCFzKCFTkhLEES7YjAlbb03RZI43sqeuRswUqOzAdszj1u7T4Rl&#10;A6L3XZJNp7fJAFYYC1w6h1/rs5MuI37TSO6fm8ZJT7qSIjcfVxvXXViT5T0r9paZVvELDfYPLHqm&#10;NCYdoWrmGXm16g+oXnELDhp/w6FPoGkUl7EGrCad/lbNtmVGxlqwOc6MbXL/D5Z/PWwsUaKkGSWa&#10;9TiirbdM7VtPHq2FgVSgNbYRLMlCtwbjCgyq9MaGevlRb80T8O+OaKhapvcysn45GYRKQ0TyLiRs&#10;nMGcu+ELCDzDXj3E1h0b2wdIbAo5xgmdxgnJoyccPy7ybHE3o4RfXQkrrnHGOv9ZQk+CUVJ3KWPk&#10;n8Ys7PDkfGDFimtASKphrbouqqHTZMBMs2wWAxx0SgRnOObsfld1lhxY0FN8YonoeXvMwqsWEayV&#10;TKwutmeqO9uYvNMBD+tCOhfrLJgfi+liNV/N80me3a4m+bSuJ4/rKp/crtO7Wf2prqo6/RmopXnR&#10;KiGkDuyu4k3zvxPH5RqdZTfKd2xD8h499gvJXt+RdBxsmOVZFTsQp429Dhz1Gg9f7la4EG/3aL/9&#10;Ayx/AQAA//8DAFBLAwQUAAYACAAAACEAl9Izc9kAAAAFAQAADwAAAGRycy9kb3ducmV2LnhtbEyO&#10;QUvDQBCF74L/YRnBi7SbRCw1ZlOK4MGjbaHXaXZMotnZkN00sb/e6UkvAx/v8eYrNrPr1JmG0Ho2&#10;kC4TUMSVty3XBg77t8UaVIjIFjvPZOCHAmzK25sCc+sn/qDzLtZKRjjkaKCJsc+1DlVDDsPS98SS&#10;ffrBYRQcam0HnGTcdTpLkpV22LJ8aLCn14aq793oDFAYn9Jk++zqw/tlejhml6+p3xtzfzdvX0BF&#10;muNfGa76og6lOJ38yDaoTjjNRD0akCtxtkofQZ2uqMtC/7cvfwEAAP//AwBQSwECLQAUAAYACAAA&#10;ACEAtoM4kv4AAADhAQAAEwAAAAAAAAAAAAAAAAAAAAAAW0NvbnRlbnRfVHlwZXNdLnhtbFBLAQIt&#10;ABQABgAIAAAAIQA4/SH/1gAAAJQBAAALAAAAAAAAAAAAAAAAAC8BAABfcmVscy8ucmVsc1BLAQIt&#10;ABQABgAIAAAAIQBdAWRcJAIAAEkEAAAOAAAAAAAAAAAAAAAAAC4CAABkcnMvZTJvRG9jLnhtbFBL&#10;AQItABQABgAIAAAAIQCX0jNz2QAAAAUBAAAPAAAAAAAAAAAAAAAAAH4EAABkcnMvZG93bnJldi54&#10;bWxQSwUGAAAAAAQABADzAAAAhAUAAAAA&#10;"/>
                  </w:pict>
                </mc:Fallback>
              </mc:AlternateContent>
            </w:r>
            <w:r w:rsidRPr="00DA71EE">
              <w:rPr>
                <w:spacing w:val="-2"/>
                <w:sz w:val="26"/>
                <w:szCs w:val="26"/>
              </w:rPr>
              <w:t>Số:            /TTr-UBND</w:t>
            </w:r>
          </w:p>
          <w:p w:rsidR="004E1EF0" w:rsidRPr="00DA71EE" w:rsidRDefault="004E1EF0" w:rsidP="004E1EF0">
            <w:pPr>
              <w:widowControl w:val="0"/>
              <w:spacing w:line="240" w:lineRule="auto"/>
              <w:ind w:firstLine="0"/>
              <w:jc w:val="center"/>
              <w:rPr>
                <w:i/>
                <w:spacing w:val="-2"/>
                <w:sz w:val="26"/>
                <w:szCs w:val="26"/>
              </w:rPr>
            </w:pPr>
            <w:r>
              <w:rPr>
                <w:b/>
                <w:spacing w:val="-2"/>
              </w:rPr>
              <w:t>(</w:t>
            </w:r>
            <w:r w:rsidRPr="00DA71EE">
              <w:rPr>
                <w:b/>
                <w:spacing w:val="-2"/>
              </w:rPr>
              <w:t>DỰ THẢO</w:t>
            </w:r>
            <w:r>
              <w:rPr>
                <w:b/>
                <w:spacing w:val="-2"/>
              </w:rPr>
              <w:t>)</w:t>
            </w:r>
          </w:p>
        </w:tc>
        <w:tc>
          <w:tcPr>
            <w:tcW w:w="5373" w:type="dxa"/>
          </w:tcPr>
          <w:p w:rsidR="00DA71EE" w:rsidRPr="00DA71EE" w:rsidRDefault="00DA71EE" w:rsidP="00DA71EE">
            <w:pPr>
              <w:widowControl w:val="0"/>
              <w:spacing w:before="240" w:line="240" w:lineRule="auto"/>
              <w:ind w:firstLine="0"/>
              <w:jc w:val="center"/>
              <w:rPr>
                <w:i/>
                <w:spacing w:val="-2"/>
                <w:sz w:val="26"/>
                <w:szCs w:val="26"/>
              </w:rPr>
            </w:pPr>
            <w:r w:rsidRPr="00DA71EE">
              <w:rPr>
                <w:i/>
                <w:noProof/>
                <w:spacing w:val="-2"/>
                <w:sz w:val="26"/>
                <w:szCs w:val="26"/>
              </w:rPr>
              <mc:AlternateContent>
                <mc:Choice Requires="wps">
                  <w:drawing>
                    <wp:anchor distT="0" distB="0" distL="114300" distR="114300" simplePos="0" relativeHeight="251655680" behindDoc="0" locked="0" layoutInCell="1" allowOverlap="1">
                      <wp:simplePos x="0" y="0"/>
                      <wp:positionH relativeFrom="column">
                        <wp:posOffset>574040</wp:posOffset>
                      </wp:positionH>
                      <wp:positionV relativeFrom="paragraph">
                        <wp:posOffset>20320</wp:posOffset>
                      </wp:positionV>
                      <wp:extent cx="2117725" cy="0"/>
                      <wp:effectExtent l="12065" t="10795" r="13335" b="825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7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4E2CF8" id="Straight Arrow Connector 1" o:spid="_x0000_s1026" type="#_x0000_t32" style="position:absolute;margin-left:45.2pt;margin-top:1.6pt;width:166.75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joXJQIAAEoEAAAOAAAAZHJzL2Uyb0RvYy54bWysVMuu2jAQ3VfqP1jeQwjlGRGurhLo5rYX&#10;idsPMLZDrCYeyzYEVPXfOzaPlnZTVc3CsTMzZ+bMHGfxdGobcpTWKdA5TfsDSqTmIJTe5/TL27o3&#10;o8R5pgVrQMucnqWjT8v37xadyeQQamiEtARBtMs6k9Pae5MlieO1bJnrg5EajRXYlnk82n0iLOsQ&#10;vW2S4WAwSTqwwljg0jn8Wl6MdBnxq0py/1pVTnrS5BRr83G1cd2FNVkuWLa3zNSKX8tg/1BFy5TG&#10;pHeoknlGDlb9AdUqbsFB5fsc2gSqSnEZOSCbdPAbm23NjIxcsDnO3Nvk/h8s/3zcWKIEzo4SzVoc&#10;0dZbpva1J8/WQkcK0BrbCJakoVudcRkGFXpjA19+0lvzAvyrIxqKmum9jFW/nQ1CxYjkISQcnMGc&#10;u+4TCPRhBw+xdafKtgESm0JOcULn+4TkyROOH4dpOp0Ox5Twmy1h2S3QWOc/SmhJ2OTUXXncCaQx&#10;DTu+OI9EMPAWELJqWKumiXJoNOlyOh9jnmBx0CgRjPFg97uiseTIgqDiE7qCYA9uFg5aRLBaMrG6&#10;7j1TzWWP/o0OeEgMy7nuLor5Nh/MV7PVbNQbDSer3mhQlr3ndTHqTdbpdFx+KIuiTL+H0tJRVish&#10;pA7V3dSbjv5OHdd7dNHdXb/3NiSP6JEiFnt7x6LjZMMwL7LYgThvbOhGGDIKNjpfL1e4Eb+eo9fP&#10;X8DyBwAAAP//AwBQSwMEFAAGAAgAAAAhAL/3LpPbAAAABgEAAA8AAABkcnMvZG93bnJldi54bWxM&#10;jsFOwzAQRO9I/IO1SL0gajctiIQ4VVWJA0faSlzdeEkC8TqKnSb061l6KcfRjN68fD25VpywD40n&#10;DYu5AoFUettQpeGwf314BhGiIWtaT6jhBwOsi9ub3GTWj/SOp12sBEMoZEZDHWOXSRnKGp0Jc98h&#10;cffpe2cix76Stjcjw10rE6WepDMN8UNtOtzWWH7vBqcBw/C4UJvUVYe383j/kZy/xm6v9exu2ryA&#10;iDjF6xj+9FkdCnY6+oFsEK2GVK14qWGZgOB6lSxTEMdLlkUu/+sXvwAAAP//AwBQSwECLQAUAAYA&#10;CAAAACEAtoM4kv4AAADhAQAAEwAAAAAAAAAAAAAAAAAAAAAAW0NvbnRlbnRfVHlwZXNdLnhtbFBL&#10;AQItABQABgAIAAAAIQA4/SH/1gAAAJQBAAALAAAAAAAAAAAAAAAAAC8BAABfcmVscy8ucmVsc1BL&#10;AQItABQABgAIAAAAIQA3RjoXJQIAAEoEAAAOAAAAAAAAAAAAAAAAAC4CAABkcnMvZTJvRG9jLnht&#10;bFBLAQItABQABgAIAAAAIQC/9y6T2wAAAAYBAAAPAAAAAAAAAAAAAAAAAH8EAABkcnMvZG93bnJl&#10;di54bWxQSwUGAAAAAAQABADzAAAAhwUAAAAA&#10;"/>
                  </w:pict>
                </mc:Fallback>
              </mc:AlternateContent>
            </w:r>
            <w:r w:rsidRPr="00DA71EE">
              <w:rPr>
                <w:i/>
                <w:spacing w:val="-2"/>
                <w:sz w:val="26"/>
                <w:szCs w:val="26"/>
              </w:rPr>
              <w:t>Hải Phòng, ngày       tháng      năm 2026</w:t>
            </w:r>
          </w:p>
        </w:tc>
      </w:tr>
    </w:tbl>
    <w:p w:rsidR="00DA71EE" w:rsidRPr="00DA71EE" w:rsidRDefault="00DA71EE" w:rsidP="00DA71EE">
      <w:pPr>
        <w:widowControl w:val="0"/>
        <w:ind w:firstLine="0"/>
        <w:jc w:val="center"/>
        <w:rPr>
          <w:b/>
          <w:spacing w:val="-2"/>
        </w:rPr>
      </w:pPr>
    </w:p>
    <w:p w:rsidR="00033C01" w:rsidRPr="00DA71EE" w:rsidRDefault="009774D5" w:rsidP="00DA71EE">
      <w:pPr>
        <w:widowControl w:val="0"/>
        <w:spacing w:line="240" w:lineRule="auto"/>
        <w:ind w:firstLine="0"/>
        <w:jc w:val="center"/>
        <w:rPr>
          <w:spacing w:val="-2"/>
        </w:rPr>
      </w:pPr>
      <w:r w:rsidRPr="00DA71EE">
        <w:rPr>
          <w:b/>
          <w:spacing w:val="-2"/>
          <w:sz w:val="30"/>
        </w:rPr>
        <w:t>TỜ TRÌNH</w:t>
      </w:r>
    </w:p>
    <w:p w:rsidR="00033C01" w:rsidRPr="00DA71EE" w:rsidRDefault="009774D5" w:rsidP="00DA71EE">
      <w:pPr>
        <w:widowControl w:val="0"/>
        <w:spacing w:line="240" w:lineRule="auto"/>
        <w:ind w:firstLine="0"/>
        <w:jc w:val="center"/>
        <w:rPr>
          <w:spacing w:val="-2"/>
        </w:rPr>
      </w:pPr>
      <w:r w:rsidRPr="00DA71EE">
        <w:rPr>
          <w:b/>
          <w:spacing w:val="-2"/>
        </w:rPr>
        <w:t>Dự thảo Nghị quyết của Hội đồng nhân dân thành phố quy định nội dung, nhiệm vụ chi thường xuyên duy tu, bảo dưỡng đê điều và xử lý cấp bách sự cố đê điều trên địa bàn thành phố Hải Phòng</w:t>
      </w:r>
    </w:p>
    <w:p w:rsidR="00033C01" w:rsidRPr="00DA71EE" w:rsidRDefault="00DA71EE" w:rsidP="00DA71EE">
      <w:pPr>
        <w:widowControl w:val="0"/>
        <w:spacing w:line="240" w:lineRule="auto"/>
        <w:ind w:firstLine="0"/>
        <w:jc w:val="center"/>
        <w:rPr>
          <w:spacing w:val="-2"/>
        </w:rPr>
      </w:pPr>
      <w:r w:rsidRPr="00DA71EE">
        <w:rPr>
          <w:noProof/>
          <w:spacing w:val="-2"/>
        </w:rPr>
        <mc:AlternateContent>
          <mc:Choice Requires="wps">
            <w:drawing>
              <wp:anchor distT="0" distB="0" distL="114300" distR="114300" simplePos="0" relativeHeight="251660800" behindDoc="0" locked="0" layoutInCell="1" allowOverlap="1">
                <wp:simplePos x="0" y="0"/>
                <wp:positionH relativeFrom="column">
                  <wp:posOffset>2091055</wp:posOffset>
                </wp:positionH>
                <wp:positionV relativeFrom="paragraph">
                  <wp:posOffset>43180</wp:posOffset>
                </wp:positionV>
                <wp:extent cx="1552575" cy="0"/>
                <wp:effectExtent l="38100" t="38100" r="66675" b="95250"/>
                <wp:wrapNone/>
                <wp:docPr id="3" name="Straight Connector 3"/>
                <wp:cNvGraphicFramePr/>
                <a:graphic xmlns:a="http://schemas.openxmlformats.org/drawingml/2006/main">
                  <a:graphicData uri="http://schemas.microsoft.com/office/word/2010/wordprocessingShape">
                    <wps:wsp>
                      <wps:cNvCnPr/>
                      <wps:spPr>
                        <a:xfrm>
                          <a:off x="0" y="0"/>
                          <a:ext cx="1552575"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4F65EE4" id="Straight Connector 3" o:spid="_x0000_s1026"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164.65pt,3.4pt" to="286.9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DGF2AEAAAwEAAAOAAAAZHJzL2Uyb0RvYy54bWysU02P2yAQvVfqf0DcN46zSj+sOHvIanup&#10;2qi7/QEshhgJGDTQ2Pn3HXDirNpKK1V7wWZm3mPeY9jcjc6yo8JowLe8Xiw5U15CZ/yh5T+fHm4+&#10;cRaT8J2w4FXLTyryu+37d5shNGoFPdhOISMSH5shtLxPKTRVFWWvnIgLCMpTUgM6kWiLh6pDMRC7&#10;s9VqufxQDYBdQJAqRoreT0m+LfxaK5m+ax1VYrbl1FsqK5b1Oa/VdiOaA4rQG3luQ/xHF04YT4fO&#10;VPciCfYLzV9UzkiECDotJLgKtDZSFQ2kpl7+oeaxF0EVLWRODLNN8e1o5bfjHpnpWn7LmReOrugx&#10;oTCHPrEdeE8GArLb7NMQYkPlO7/H8y6GPWbRo0aXvySHjcXb0+ytGhOTFKzX69X645ozeclVV2DA&#10;mL4ocCz/tNwan2WLRhy/xkSHUemlJIetZ0PLPxNhqYpgTfdgrM25MjlqZ5EdBd15GuvcOxG8qKKd&#10;9RTMiiYN5S+drJrofyhNnlDXq+mAPI1XTiGl8unCaz1VZ5imDmbg8nXguT5DVZnUGVy/Dp4R5WTw&#10;aQY74wH/RXC1Qk/1Fwcm3dmCZ+hO5XaLNTRyxbnz88gz/XJf4NdHvP0NAAD//wMAUEsDBBQABgAI&#10;AAAAIQD0+tfc3gAAAAcBAAAPAAAAZHJzL2Rvd25yZXYueG1sTI9RT8JAEITfTfwPlzXhxcgVGkBq&#10;r4SYEGKURNAfcO0tbbW31/QOWv69iy/6tpOZzH6TrgbbiDN2vnakYDKOQCAVztRUKvj82Dw8gvBB&#10;k9GNI1RwQQ+r7PYm1YlxPe3xfAil4BLyiVZQhdAmUvqiQqv92LVI7B1dZ3Vg2ZXSdLrnctvIaRTN&#10;pdU18YdKt/hcYfF9OFkF8v5tu+xn9e71OLxfXuyun+Rfa6VGd8P6CUTAIfyF4YrP6JAxU+5OZLxo&#10;FMTTZcxRBXNewP5sEfOR/2qZpfI/f/YDAAD//wMAUEsBAi0AFAAGAAgAAAAhALaDOJL+AAAA4QEA&#10;ABMAAAAAAAAAAAAAAAAAAAAAAFtDb250ZW50X1R5cGVzXS54bWxQSwECLQAUAAYACAAAACEAOP0h&#10;/9YAAACUAQAACwAAAAAAAAAAAAAAAAAvAQAAX3JlbHMvLnJlbHNQSwECLQAUAAYACAAAACEASxQx&#10;hdgBAAAMBAAADgAAAAAAAAAAAAAAAAAuAgAAZHJzL2Uyb0RvYy54bWxQSwECLQAUAAYACAAAACEA&#10;9PrX3N4AAAAHAQAADwAAAAAAAAAAAAAAAAAyBAAAZHJzL2Rvd25yZXYueG1sUEsFBgAAAAAEAAQA&#10;8wAAAD0FAAAAAA==&#10;" strokecolor="black [3213]">
                <v:shadow on="t" color="black" opacity="24903f" origin=",.5" offset="0,.55556mm"/>
              </v:line>
            </w:pict>
          </mc:Fallback>
        </mc:AlternateContent>
      </w:r>
    </w:p>
    <w:p w:rsidR="00DA71EE" w:rsidRPr="00DA71EE" w:rsidRDefault="00DA71EE" w:rsidP="00DA71EE">
      <w:pPr>
        <w:widowControl w:val="0"/>
        <w:spacing w:line="240" w:lineRule="auto"/>
        <w:ind w:firstLine="0"/>
        <w:jc w:val="center"/>
        <w:rPr>
          <w:b/>
          <w:spacing w:val="-2"/>
        </w:rPr>
      </w:pPr>
    </w:p>
    <w:p w:rsidR="00033C01" w:rsidRPr="00DA71EE" w:rsidRDefault="009774D5" w:rsidP="00DA71EE">
      <w:pPr>
        <w:widowControl w:val="0"/>
        <w:spacing w:line="240" w:lineRule="auto"/>
        <w:ind w:firstLine="0"/>
        <w:jc w:val="center"/>
        <w:rPr>
          <w:spacing w:val="-2"/>
        </w:rPr>
      </w:pPr>
      <w:r w:rsidRPr="00DA71EE">
        <w:rPr>
          <w:spacing w:val="-2"/>
        </w:rPr>
        <w:t>Kính gửi: Hội đồng nhân dân thành phố Hải Phòng</w:t>
      </w:r>
    </w:p>
    <w:p w:rsidR="00DA71EE" w:rsidRPr="00DA71EE" w:rsidRDefault="00DA71EE" w:rsidP="00DA71EE">
      <w:pPr>
        <w:widowControl w:val="0"/>
        <w:spacing w:after="120" w:line="264" w:lineRule="auto"/>
        <w:ind w:firstLine="720"/>
        <w:jc w:val="both"/>
        <w:rPr>
          <w:i/>
          <w:spacing w:val="-2"/>
        </w:rPr>
      </w:pPr>
    </w:p>
    <w:p w:rsidR="00033C01" w:rsidRPr="00DA71EE" w:rsidRDefault="009774D5" w:rsidP="00DA71EE">
      <w:pPr>
        <w:widowControl w:val="0"/>
        <w:spacing w:after="120" w:line="264" w:lineRule="auto"/>
        <w:ind w:firstLine="720"/>
        <w:jc w:val="both"/>
        <w:rPr>
          <w:spacing w:val="-2"/>
        </w:rPr>
      </w:pPr>
      <w:r w:rsidRPr="00DA71EE">
        <w:rPr>
          <w:i/>
          <w:spacing w:val="-2"/>
        </w:rPr>
        <w:t>Căn cứ Luật Tổ chức chính quyền địa phương số 72/2025/QH15 ngày 16 tháng 6 năm 2025;</w:t>
      </w:r>
    </w:p>
    <w:p w:rsidR="00033C01" w:rsidRPr="00DA71EE" w:rsidRDefault="009774D5" w:rsidP="00DA71EE">
      <w:pPr>
        <w:widowControl w:val="0"/>
        <w:spacing w:after="120" w:line="264" w:lineRule="auto"/>
        <w:ind w:firstLine="720"/>
        <w:jc w:val="both"/>
        <w:rPr>
          <w:spacing w:val="-2"/>
        </w:rPr>
      </w:pPr>
      <w:r w:rsidRPr="00DA71EE">
        <w:rPr>
          <w:i/>
          <w:spacing w:val="-2"/>
        </w:rPr>
        <w:t>Căn cứ Luật Ban hành văn bản quy phạm pháp luật số 64/2025/QH15 ngày 19 tháng 02 năm 2025, được sửa đổi, bổ sung bởi Luật số 87/2025/QH15 ngày 25 tháng 6 năm 2025;</w:t>
      </w:r>
    </w:p>
    <w:p w:rsidR="00033C01" w:rsidRPr="00DA71EE" w:rsidRDefault="009774D5" w:rsidP="00DA71EE">
      <w:pPr>
        <w:widowControl w:val="0"/>
        <w:spacing w:after="120" w:line="264" w:lineRule="auto"/>
        <w:ind w:firstLine="720"/>
        <w:jc w:val="both"/>
        <w:rPr>
          <w:spacing w:val="-2"/>
        </w:rPr>
      </w:pPr>
      <w:r w:rsidRPr="00DA71EE">
        <w:rPr>
          <w:i/>
          <w:spacing w:val="-2"/>
        </w:rPr>
        <w:t>Căn cứ Luật Ngân sách nhà nước số 89/2025/QH15 ngày 25 tháng 6 năm 2025;</w:t>
      </w:r>
    </w:p>
    <w:p w:rsidR="00033C01" w:rsidRPr="00DA71EE" w:rsidRDefault="009774D5" w:rsidP="00DA71EE">
      <w:pPr>
        <w:widowControl w:val="0"/>
        <w:spacing w:after="120" w:line="264" w:lineRule="auto"/>
        <w:ind w:firstLine="720"/>
        <w:jc w:val="both"/>
        <w:rPr>
          <w:spacing w:val="-2"/>
        </w:rPr>
      </w:pPr>
      <w:r w:rsidRPr="00DA71EE">
        <w:rPr>
          <w:i/>
          <w:spacing w:val="-2"/>
        </w:rPr>
        <w:t>Căn cứ Luật Đê điều số 79/2006/QH11 ngày 29 tháng 11 năm 2006, được sửa đổi, bổ sung một số điều bởi Luật số 60/2020/QH14 và Luật số 146/2025/QH15;</w:t>
      </w:r>
    </w:p>
    <w:p w:rsidR="00033C01" w:rsidRPr="00DA71EE" w:rsidRDefault="009774D5" w:rsidP="00DA71EE">
      <w:pPr>
        <w:widowControl w:val="0"/>
        <w:spacing w:after="120" w:line="264" w:lineRule="auto"/>
        <w:ind w:firstLine="720"/>
        <w:jc w:val="both"/>
        <w:rPr>
          <w:spacing w:val="-2"/>
        </w:rPr>
      </w:pPr>
      <w:r w:rsidRPr="00DA71EE">
        <w:rPr>
          <w:i/>
          <w:spacing w:val="-2"/>
        </w:rPr>
        <w:t>Căn cứ Nghị định số 73/2026/NĐ-CP ngày 10 tháng 3 năm 2026 của Chính phủ quy định chi tiết và hướng dẫn thi hành một số điều của Luật Ngân sách nhà nước;</w:t>
      </w:r>
    </w:p>
    <w:p w:rsidR="00033C01" w:rsidRPr="00DA71EE" w:rsidRDefault="009774D5" w:rsidP="00DA71EE">
      <w:pPr>
        <w:widowControl w:val="0"/>
        <w:spacing w:after="120" w:line="264" w:lineRule="auto"/>
        <w:ind w:firstLine="720"/>
        <w:jc w:val="both"/>
        <w:rPr>
          <w:spacing w:val="-2"/>
        </w:rPr>
      </w:pPr>
      <w:r w:rsidRPr="00DA71EE">
        <w:rPr>
          <w:i/>
          <w:spacing w:val="-2"/>
        </w:rPr>
        <w:t>Căn cứ Nghị định số 104/2026/NĐ-CP ngày 31 tháng 3 năm 2026 của Chính phủ quy định việc lập dự toán, quản lý, sử dụng và quyết toán chi thường xuyên để thực hiện các nhiệm vụ quy định tại Điều 40 Luật Ngân sách nhà nước;</w:t>
      </w:r>
    </w:p>
    <w:p w:rsidR="00033C01" w:rsidRPr="00DA71EE" w:rsidRDefault="009774D5" w:rsidP="00DA71EE">
      <w:pPr>
        <w:widowControl w:val="0"/>
        <w:spacing w:after="120" w:line="264" w:lineRule="auto"/>
        <w:ind w:firstLine="720"/>
        <w:jc w:val="both"/>
        <w:rPr>
          <w:spacing w:val="-2"/>
        </w:rPr>
      </w:pPr>
      <w:r w:rsidRPr="00DA71EE">
        <w:rPr>
          <w:i/>
          <w:spacing w:val="-2"/>
        </w:rPr>
        <w:t>Căn cứ Nghị định số 78/2025/NĐ-CP ngày 01 tháng 4 năm 2025 của Chính phủ quy định chi tiết một số điều và biện pháp để tổ chức, hướng dẫn thi hành Luật Ban hành văn bản quy phạm pháp luật, được sửa đổi, bổ sung bởi Nghị định số 187/2025/NĐ-CP ngày 01 tháng 7 năm 2025;</w:t>
      </w:r>
    </w:p>
    <w:p w:rsidR="00033C01" w:rsidRPr="00DA71EE" w:rsidRDefault="009774D5" w:rsidP="00DA71EE">
      <w:pPr>
        <w:widowControl w:val="0"/>
        <w:spacing w:after="120" w:line="264" w:lineRule="auto"/>
        <w:ind w:firstLine="720"/>
        <w:jc w:val="both"/>
        <w:rPr>
          <w:spacing w:val="-2"/>
        </w:rPr>
      </w:pPr>
      <w:r w:rsidRPr="00DA71EE">
        <w:rPr>
          <w:i/>
          <w:spacing w:val="-2"/>
        </w:rPr>
        <w:t>Căn cứ Thông tư số 68/2020/TT-BTC ngày 15 tháng 7 năm 2020 của Bộ trưởng Bộ Tài chính quy định quản lý, sử dụng và thanh quyết toán kinh phí chi thường xuyên thực hiện duy tu, bảo dưỡng đê điều và xử lý cấp bách sự cố đê điều;</w:t>
      </w:r>
    </w:p>
    <w:p w:rsidR="00033C01" w:rsidRPr="00DA71EE" w:rsidRDefault="009774D5" w:rsidP="00DA71EE">
      <w:pPr>
        <w:widowControl w:val="0"/>
        <w:spacing w:after="120" w:line="264" w:lineRule="auto"/>
        <w:ind w:firstLine="720"/>
        <w:jc w:val="both"/>
        <w:rPr>
          <w:spacing w:val="-2"/>
        </w:rPr>
      </w:pPr>
      <w:r w:rsidRPr="00DA71EE">
        <w:rPr>
          <w:i/>
          <w:spacing w:val="-2"/>
        </w:rPr>
        <w:lastRenderedPageBreak/>
        <w:t>Căn cứ Quyết định số 06/QĐ-TTHĐND ngày 23 tháng 3 năm 2026 của Thường trực Hội đồng nhân dân thành phố về việc ban hành Danh mục nghị quyết của Hội đồng nhân dân thành phố quy định chi tiết các nội dung được giao;</w:t>
      </w:r>
    </w:p>
    <w:p w:rsidR="00033C01" w:rsidRPr="00DA71EE" w:rsidRDefault="009774D5" w:rsidP="00DA71EE">
      <w:pPr>
        <w:widowControl w:val="0"/>
        <w:spacing w:after="120" w:line="264" w:lineRule="auto"/>
        <w:ind w:firstLine="720"/>
        <w:jc w:val="both"/>
        <w:rPr>
          <w:spacing w:val="-2"/>
        </w:rPr>
      </w:pPr>
      <w:r w:rsidRPr="00DA71EE">
        <w:rPr>
          <w:spacing w:val="-2"/>
        </w:rPr>
        <w:t>Ủy ban nhân dân thành phố trình Hội đồng nhân dân thành phố dự thảo Nghị quyết quy định nội dung, nhiệm vụ chi thường xuyên duy tu, bảo dưỡng đê điều và xử lý cấp bách sự cố đê điều trên địa bàn thành phố Hải Phòng như sau:</w:t>
      </w:r>
    </w:p>
    <w:p w:rsidR="00033C01" w:rsidRPr="00DA71EE" w:rsidRDefault="009774D5" w:rsidP="00DA71EE">
      <w:pPr>
        <w:widowControl w:val="0"/>
        <w:spacing w:after="120" w:line="264" w:lineRule="auto"/>
        <w:ind w:firstLine="720"/>
        <w:jc w:val="both"/>
        <w:rPr>
          <w:spacing w:val="-2"/>
        </w:rPr>
      </w:pPr>
      <w:r w:rsidRPr="00DA71EE">
        <w:rPr>
          <w:b/>
          <w:spacing w:val="-2"/>
        </w:rPr>
        <w:t>I. SỰ CẦN THIẾT BAN HÀNH NGHỊ QUYẾT</w:t>
      </w:r>
    </w:p>
    <w:p w:rsidR="00033C01" w:rsidRPr="00DA71EE" w:rsidRDefault="009774D5" w:rsidP="00DA71EE">
      <w:pPr>
        <w:widowControl w:val="0"/>
        <w:spacing w:after="120" w:line="264" w:lineRule="auto"/>
        <w:ind w:firstLine="720"/>
        <w:jc w:val="both"/>
        <w:rPr>
          <w:spacing w:val="-2"/>
        </w:rPr>
      </w:pPr>
      <w:r w:rsidRPr="00DA71EE">
        <w:rPr>
          <w:b/>
          <w:spacing w:val="-2"/>
        </w:rPr>
        <w:t>1. Cơ sở chính trị</w:t>
      </w:r>
    </w:p>
    <w:p w:rsidR="00033C01" w:rsidRPr="00DA71EE" w:rsidRDefault="009774D5" w:rsidP="00DA71EE">
      <w:pPr>
        <w:widowControl w:val="0"/>
        <w:spacing w:after="120" w:line="264" w:lineRule="auto"/>
        <w:ind w:firstLine="720"/>
        <w:jc w:val="both"/>
        <w:rPr>
          <w:spacing w:val="-2"/>
        </w:rPr>
      </w:pPr>
      <w:r w:rsidRPr="00DA71EE">
        <w:rPr>
          <w:spacing w:val="-2"/>
        </w:rPr>
        <w:t>Chỉ thị số 42-CT/TW ngày 24 tháng 3 năm 2020 của Ban Bí thư về tăng cường sự lãnh đạo của Đảng đối với công tác phòng ngừa, ứng phó, khắc phục hậu quả thiên tai xác định công tác phòng ngừa, ứng phó, khắc phục hậu quả thiên tai là nhiệm vụ quan trọng, cấp bách, thường xuyên của cả hệ thống chính trị và toàn xã hội; yêu cầu tăng cường lãnh đạo, chỉ đạo, hoàn thiện cơ chế, chính sách, huy động và sử dụng hiệu quả nguồn lực cho phòng ngừa, ứng phó, khắc phục hậu quả thiên tai.</w:t>
      </w:r>
    </w:p>
    <w:p w:rsidR="00033C01" w:rsidRPr="00DA71EE" w:rsidRDefault="009774D5" w:rsidP="00DA71EE">
      <w:pPr>
        <w:widowControl w:val="0"/>
        <w:spacing w:after="120" w:line="264" w:lineRule="auto"/>
        <w:ind w:firstLine="720"/>
        <w:jc w:val="both"/>
        <w:rPr>
          <w:spacing w:val="-2"/>
        </w:rPr>
      </w:pPr>
      <w:r w:rsidRPr="00DA71EE">
        <w:rPr>
          <w:spacing w:val="-2"/>
        </w:rPr>
        <w:t>Kết luận số 213-KL/TW ngày 21 tháng 11 năm 2025 của Ban Bí thư về tiếp tục thực hiện Chỉ thị số 42-CT/TW yêu cầu tiếp tục hoàn thiện hệ thống pháp luật, cơ chế, chính sách về phòng, chống thiên tai; phân định rõ thẩm quyền, trách nhiệm; huy động, sử dụng hiệu quả nguồn lực từ ngân sách nhà nước và các nguồn hợp pháp khác; ưu tiên xử lý khẩn cấp, cấp thiết các sự cố đê điều, hồ chứa nước xung yếu và hạ tầng phòng, chống thiên tai.</w:t>
      </w:r>
    </w:p>
    <w:p w:rsidR="00033C01" w:rsidRPr="00DA71EE" w:rsidRDefault="009774D5" w:rsidP="00DA71EE">
      <w:pPr>
        <w:widowControl w:val="0"/>
        <w:spacing w:after="120" w:line="264" w:lineRule="auto"/>
        <w:ind w:firstLine="720"/>
        <w:jc w:val="both"/>
        <w:rPr>
          <w:spacing w:val="-2"/>
        </w:rPr>
      </w:pPr>
      <w:r w:rsidRPr="00DA71EE">
        <w:rPr>
          <w:spacing w:val="-2"/>
        </w:rPr>
        <w:t>Kết luận số 09-KL/TW ngày 10 tháng 3 năm 2026 của Bộ Chính trị về hoàn thiện cấu trúc hệ thống pháp luật Việt Nam đáp ứng yêu cầu phát triển đất nước trong kỷ nguyên mới yêu cầu xây dựng hệ thống pháp luật tinh gọn, thống nhất, đồng bộ, khả thi, công khai, minh bạch; quy định đúng thẩm quyền, đúng phạm vi, hạn chế quy định lại nội dung đã được văn bản cấp trên điều chỉnh. Đây là định hướng quan trọng để xây dựng Nghị quyết bảo đảm ngắn gọn, rõ nhiệm vụ chi, đúng nội dung được giao tại Thông tư số 68/2020/TT-BTC.</w:t>
      </w:r>
    </w:p>
    <w:p w:rsidR="00033C01" w:rsidRPr="00DA71EE" w:rsidRDefault="009774D5" w:rsidP="00DA71EE">
      <w:pPr>
        <w:widowControl w:val="0"/>
        <w:spacing w:after="120" w:line="264" w:lineRule="auto"/>
        <w:ind w:firstLine="720"/>
        <w:jc w:val="both"/>
        <w:rPr>
          <w:spacing w:val="-2"/>
        </w:rPr>
      </w:pPr>
      <w:r w:rsidRPr="00DA71EE">
        <w:rPr>
          <w:spacing w:val="-2"/>
        </w:rPr>
        <w:t>Quy chế làm việc số 09-QC/TU ngày 13 tháng 5 năm 2026 của Ban Chấp hành Đảng bộ thành phố Hải Phòng khóa I, nhiệm kỳ 2025 - 2030 là căn cứ để các cơ quan thực hiện đúng quy trình báo cáo, xin ý kiến cấp có thẩm quyền đối với các chủ trương, chính sách thuộc thẩm quyền theo quy định của Thành ủy.</w:t>
      </w:r>
    </w:p>
    <w:p w:rsidR="00033C01" w:rsidRPr="00DA71EE" w:rsidRDefault="009774D5" w:rsidP="00DA71EE">
      <w:pPr>
        <w:widowControl w:val="0"/>
        <w:spacing w:after="120" w:line="264" w:lineRule="auto"/>
        <w:ind w:firstLine="720"/>
        <w:jc w:val="both"/>
        <w:rPr>
          <w:spacing w:val="-2"/>
        </w:rPr>
      </w:pPr>
      <w:r w:rsidRPr="00DA71EE">
        <w:rPr>
          <w:b/>
          <w:spacing w:val="-2"/>
        </w:rPr>
        <w:t>2. Cơ sở pháp lý</w:t>
      </w:r>
    </w:p>
    <w:p w:rsidR="00033C01" w:rsidRPr="00DA71EE" w:rsidRDefault="009774D5" w:rsidP="00DA71EE">
      <w:pPr>
        <w:widowControl w:val="0"/>
        <w:spacing w:after="120" w:line="264" w:lineRule="auto"/>
        <w:ind w:firstLine="720"/>
        <w:jc w:val="both"/>
        <w:rPr>
          <w:spacing w:val="-2"/>
        </w:rPr>
      </w:pPr>
      <w:r w:rsidRPr="00DA71EE">
        <w:rPr>
          <w:spacing w:val="-2"/>
        </w:rPr>
        <w:t xml:space="preserve">Luật Đê điều quy định bảo vệ đê điều là trách nhiệm của toàn dân, cơ quan nhà nước, tổ chức, cá nhân; Nhà nước đầu tư cho đê điều, ưu tiên đầu tư các tuyến đê </w:t>
      </w:r>
      <w:r w:rsidRPr="00DA71EE">
        <w:rPr>
          <w:spacing w:val="-2"/>
        </w:rPr>
        <w:lastRenderedPageBreak/>
        <w:t>xung yếu; đồng thời dành kinh phí cho việc xử lý đột xuất sự cố đê điều trước, trong và sau mỗi đợt mưa, lũ, bão. Khoản 2 Điều 22 Luật Đê điều quy định ngân sách địa phương đầu tư cho mọi cấp đê trên địa bàn.</w:t>
      </w:r>
    </w:p>
    <w:p w:rsidR="00033C01" w:rsidRPr="00DA71EE" w:rsidRDefault="009774D5" w:rsidP="00DA71EE">
      <w:pPr>
        <w:widowControl w:val="0"/>
        <w:spacing w:after="120" w:line="264" w:lineRule="auto"/>
        <w:ind w:firstLine="720"/>
        <w:jc w:val="both"/>
        <w:rPr>
          <w:spacing w:val="-2"/>
        </w:rPr>
      </w:pPr>
      <w:r w:rsidRPr="00DA71EE">
        <w:rPr>
          <w:spacing w:val="-2"/>
        </w:rPr>
        <w:t>Luật Ngân sách nhà nước số 89/2025/QH15 quy định nguyên tắc quản lý ngân sách nhà nước, phân cấp nguồn thu, nhiệm vụ chi và quan hệ giữa các cấp ngân sách; trong đó việc ban hành chính sách làm phát sinh nhiệm vụ chi ngân sách phải bảo đảm nguồn tài chính, phù hợp khả năng cân đối ngân sách, tuân thủ nguyên tắc phân cấp và thẩm quyền quyết định của Hội đồng nhân dân, Ủy ban nhân dân các cấp.</w:t>
      </w:r>
    </w:p>
    <w:p w:rsidR="00033C01" w:rsidRPr="00DA71EE" w:rsidRDefault="009774D5" w:rsidP="00DA71EE">
      <w:pPr>
        <w:widowControl w:val="0"/>
        <w:spacing w:after="120" w:line="264" w:lineRule="auto"/>
        <w:ind w:firstLine="720"/>
        <w:jc w:val="both"/>
        <w:rPr>
          <w:spacing w:val="-2"/>
        </w:rPr>
      </w:pPr>
      <w:r w:rsidRPr="00DA71EE">
        <w:rPr>
          <w:spacing w:val="-2"/>
        </w:rPr>
        <w:t>Nghị định số 73/2026/NĐ-CP quy định chi tiết, hướng dẫn thi hành một số điều của Luật Ngân sách nhà nước; Nghị định số 104/2026/NĐ-CP quy định việc lập dự toán, quản lý, sử dụng và quyết toán chi thường xuyên để thực hiện các nhiệm vụ quy định tại Điều 40 Luật Ngân sách nhà nước. Đây là cơ sở để quy định trong dự thảo Nghị quyết về nguồn kinh phí, nguyên tắc lập dự toán, quản lý, sử dụng và thanh quyết toán kinh phí theo pháp luật ngân sách.</w:t>
      </w:r>
    </w:p>
    <w:p w:rsidR="00033C01" w:rsidRPr="00DA71EE" w:rsidRDefault="009774D5" w:rsidP="00DA71EE">
      <w:pPr>
        <w:widowControl w:val="0"/>
        <w:spacing w:after="120" w:line="264" w:lineRule="auto"/>
        <w:ind w:firstLine="720"/>
        <w:jc w:val="both"/>
        <w:rPr>
          <w:spacing w:val="-2"/>
        </w:rPr>
      </w:pPr>
      <w:r w:rsidRPr="00DA71EE">
        <w:rPr>
          <w:spacing w:val="-2"/>
        </w:rPr>
        <w:t>Thông tư số 68/2020/TT-BTC quy định quản lý, sử dụng và thanh quyết toán kinh phí chi thường xuyên thực hiện duy tu, bảo dưỡng đê điều và xử lý cấp bách sự cố đê điều. Tại Điều 5, Thông tư giao Ủy ban nhân dân cấp tỉnh căn cứ nội dung chi duy tu, bảo dưỡng đê điều, thực trạng hệ thống đê điều do địa phương quản lý và khả năng kinh phí để trình Hội đồng nhân dân cấp tỉnh phê duyệt nội dung, nhiệm vụ chi duy tu, bảo dưỡng và xử lý cấp bách sự cố đê điều hệ thống đê điều do địa phương quản lý cho phù hợp, bảo đảm an toàn tuyến đê do địa phương quản lý.</w:t>
      </w:r>
    </w:p>
    <w:p w:rsidR="00033C01" w:rsidRPr="00DA71EE" w:rsidRDefault="009774D5" w:rsidP="00DA71EE">
      <w:pPr>
        <w:widowControl w:val="0"/>
        <w:spacing w:after="120" w:line="264" w:lineRule="auto"/>
        <w:ind w:firstLine="720"/>
        <w:jc w:val="both"/>
        <w:rPr>
          <w:spacing w:val="-2"/>
        </w:rPr>
      </w:pPr>
      <w:r w:rsidRPr="00DA71EE">
        <w:rPr>
          <w:spacing w:val="-2"/>
        </w:rPr>
        <w:t>Luật Ban hành văn bản quy phạm pháp luật số 64/2025/QH15, được sửa đổi, bổ sung bởi Luật số 87/2025/QH15; Nghị định số 78/2025/NĐ-CP, được sửa đổi, bổ sung bởi Nghị định số 187/2025/NĐ-CP, quy định về trình tự, thủ tục, hồ sơ, thể thức, kỹ thuật xây dựng, ban hành văn bản quy phạm pháp luật. Dự thảo Nghị quyết được xây dựng theo trình tự, hồ sơ và thể thức quy định tại các văn bản này.</w:t>
      </w:r>
    </w:p>
    <w:p w:rsidR="00033C01" w:rsidRPr="00DA71EE" w:rsidRDefault="009774D5" w:rsidP="00DA71EE">
      <w:pPr>
        <w:widowControl w:val="0"/>
        <w:spacing w:after="120" w:line="264" w:lineRule="auto"/>
        <w:ind w:firstLine="720"/>
        <w:jc w:val="both"/>
        <w:rPr>
          <w:spacing w:val="-2"/>
        </w:rPr>
      </w:pPr>
      <w:r w:rsidRPr="00DA71EE">
        <w:rPr>
          <w:spacing w:val="-2"/>
        </w:rPr>
        <w:t>Sau khi hợp nhất giữa thành phố Hải Phòng và tỉnh Hải Dương, Hội đồng nhân dân thành phố đã ban hành Nghị quyết số 52/NQ-HĐND ngày 26 tháng 10 năm 2025 về việc áp dụng văn bản quy phạm pháp luật do Hội đồng nhân dân thành phố Hải Phòng (cũ) và tỉnh Hải Dương ban hành trên địa bàn thành phố Hải Phòng (mới). Theo Nghị quyết số 52/NQ-HĐND, Nghị quyết số 06/2022/NQ-HĐND ngày 20 tháng 7 năm 2022 của Hội đồng nhân dân thành phố Hải Phòng tiếp tục được áp dụng trên địa bàn thành phố Hải Phòng mới và hết hiệu lực kể từ ngày 01 tháng 3 năm 2027 hoặc hết hiệu lực kể từ ngày có văn bản quy phạm pháp luật do Hội đồng nhân dân thành phố ban hành để thay thế có hiệu lực thi hành, tùy thời điểm nào đến trước. Vì vậy, việc ban hành Nghị quyết mới để thay thế Nghị quyết số 06/2022/NQ-</w:t>
      </w:r>
      <w:r w:rsidRPr="00DA71EE">
        <w:rPr>
          <w:spacing w:val="-2"/>
        </w:rPr>
        <w:lastRenderedPageBreak/>
        <w:t>HĐND là cần thiết, bảo đảm thống nhất cơ chế áp dụng trên địa bàn thành phố.</w:t>
      </w:r>
    </w:p>
    <w:p w:rsidR="00033C01" w:rsidRPr="00DA71EE" w:rsidRDefault="009774D5" w:rsidP="00DA71EE">
      <w:pPr>
        <w:widowControl w:val="0"/>
        <w:spacing w:after="120" w:line="264" w:lineRule="auto"/>
        <w:ind w:firstLine="720"/>
        <w:jc w:val="both"/>
        <w:rPr>
          <w:spacing w:val="-2"/>
        </w:rPr>
      </w:pPr>
      <w:r w:rsidRPr="00DA71EE">
        <w:rPr>
          <w:b/>
          <w:spacing w:val="-2"/>
        </w:rPr>
        <w:t>3. Cơ sở thực tiễn</w:t>
      </w:r>
    </w:p>
    <w:p w:rsidR="00033C01" w:rsidRPr="00DA71EE" w:rsidRDefault="009774D5" w:rsidP="00DA71EE">
      <w:pPr>
        <w:widowControl w:val="0"/>
        <w:spacing w:after="120" w:line="264" w:lineRule="auto"/>
        <w:ind w:firstLine="720"/>
        <w:jc w:val="both"/>
        <w:rPr>
          <w:spacing w:val="-2"/>
        </w:rPr>
      </w:pPr>
      <w:r w:rsidRPr="00DA71EE">
        <w:rPr>
          <w:spacing w:val="-2"/>
        </w:rPr>
        <w:t>Hệ thống đê điều trên địa bàn thành phố Hải Phòng gồm 43 tuyến đê với tổng chiều dài khoảng 789,245 km, bao gồm đê biển, đê cửa sông và đê sông; toàn hệ thống có nhiều kè bảo vệ đê, cống dưới đê và công trình phụ trợ phục vụ quản lý, bảo vệ đê điều. Hệ thống đê điều giữ vai trò đặc biệt quan trọng trong phòng, chống thiên tai, bảo vệ tính mạng, tài sản của Nhà nước và Nhân dân, bảo đảm ổn định sản xuất, đời sống và phát triển kinh tế - xã hội của thành phố.</w:t>
      </w:r>
    </w:p>
    <w:p w:rsidR="00033C01" w:rsidRPr="00DA71EE" w:rsidRDefault="009774D5" w:rsidP="00DA71EE">
      <w:pPr>
        <w:widowControl w:val="0"/>
        <w:spacing w:after="120" w:line="264" w:lineRule="auto"/>
        <w:ind w:firstLine="720"/>
        <w:jc w:val="both"/>
        <w:rPr>
          <w:spacing w:val="-2"/>
        </w:rPr>
      </w:pPr>
      <w:r w:rsidRPr="00DA71EE">
        <w:rPr>
          <w:spacing w:val="-2"/>
        </w:rPr>
        <w:t>Phần lớn các tuyến đê được hình thành từ lâu, kết cấu thân đê không đồng nhất, thường xuyên chịu tác động của mưa, bão, lũ, triều cường, sóng, gió, xói lở bờ sông, bờ biển và biến đổi khí hậu nên tiềm ẩn nguy cơ hư hỏng, sự cố. Công tác duy tu, bảo dưỡng thường xuyên có ý nghĩa quan trọng trong việc phát hiện sớm, xử lý kịp thời các hư hỏng, hạn chế phát triển thành sự cố lớn, tiết kiệm chi phí đầu tư, kéo dài tuổi thọ công trình và bảo đảm an toàn hệ thống đê điều.</w:t>
      </w:r>
    </w:p>
    <w:p w:rsidR="00033C01" w:rsidRPr="00DA71EE" w:rsidRDefault="009774D5" w:rsidP="00DA71EE">
      <w:pPr>
        <w:widowControl w:val="0"/>
        <w:spacing w:after="120" w:line="264" w:lineRule="auto"/>
        <w:ind w:firstLine="720"/>
        <w:jc w:val="both"/>
        <w:rPr>
          <w:spacing w:val="-2"/>
        </w:rPr>
      </w:pPr>
      <w:r w:rsidRPr="00DA71EE">
        <w:rPr>
          <w:spacing w:val="-2"/>
        </w:rPr>
        <w:t>Trong những năm qua, việc bố trí kinh phí duy tu, bảo dưỡng và xử lý cấp bách sự cố đê điều đã góp phần duy trì an toàn công trình, nhưng nhu cầu thực tế còn lớn, nhiều hạng mục cần được kiểm tra, sửa chữa, bảo dưỡng kịp thời. Việc ban hành Nghị quyết mới là cơ sở pháp lý để các cơ quan, đơn vị, địa phương thực hiện lập dự toán, bố trí, quản lý, sử dụng và thanh quyết toán kinh phí theo đúng quy định pháp luật, phù hợp mô hình chính quyền địa phương 02 cấp và điều kiện thực tiễn của thành phố sau hợp nhất.</w:t>
      </w:r>
    </w:p>
    <w:p w:rsidR="00033C01" w:rsidRPr="00DA71EE" w:rsidRDefault="009774D5" w:rsidP="00DA71EE">
      <w:pPr>
        <w:widowControl w:val="0"/>
        <w:spacing w:after="120" w:line="264" w:lineRule="auto"/>
        <w:ind w:firstLine="720"/>
        <w:jc w:val="both"/>
        <w:rPr>
          <w:spacing w:val="-2"/>
        </w:rPr>
      </w:pPr>
      <w:r w:rsidRPr="00DA71EE">
        <w:rPr>
          <w:b/>
          <w:spacing w:val="-2"/>
        </w:rPr>
        <w:t>II. MỤC ĐÍCH BAN HÀNH, QUAN ĐIỂM XÂY DỰNG DỰ THẢO NGHỊ QUYẾT</w:t>
      </w:r>
    </w:p>
    <w:p w:rsidR="00033C01" w:rsidRPr="00DA71EE" w:rsidRDefault="009774D5" w:rsidP="00DA71EE">
      <w:pPr>
        <w:widowControl w:val="0"/>
        <w:spacing w:after="120" w:line="264" w:lineRule="auto"/>
        <w:ind w:firstLine="720"/>
        <w:jc w:val="both"/>
        <w:rPr>
          <w:spacing w:val="-2"/>
        </w:rPr>
      </w:pPr>
      <w:r w:rsidRPr="00DA71EE">
        <w:rPr>
          <w:b/>
          <w:spacing w:val="-2"/>
        </w:rPr>
        <w:t>1. Mục đích ban hành</w:t>
      </w:r>
    </w:p>
    <w:p w:rsidR="00033C01" w:rsidRPr="00DA71EE" w:rsidRDefault="009774D5" w:rsidP="00DA71EE">
      <w:pPr>
        <w:widowControl w:val="0"/>
        <w:spacing w:after="120" w:line="264" w:lineRule="auto"/>
        <w:ind w:firstLine="720"/>
        <w:jc w:val="both"/>
        <w:rPr>
          <w:spacing w:val="-2"/>
        </w:rPr>
      </w:pPr>
      <w:r w:rsidRPr="00DA71EE">
        <w:rPr>
          <w:spacing w:val="-2"/>
        </w:rPr>
        <w:t>Quy định nội dung, nhiệm vụ chi thường xuyên duy tu, bảo dưỡng đê điều và xử lý cấp bách sự cố đê điều trên địa bàn thành phố Hải Phòng theo nhiệm vụ được giao tại Điều 5 Thông tư số 68/2020/TT-BTC; làm cơ sở để lập dự toán, bố trí, quản lý, sử dụng, thanh quyết toán kinh phí, bảo đảm an toàn đê điều, chủ động phòng ngừa, ứng phó, khắc phục hậu quả thiên tai.</w:t>
      </w:r>
    </w:p>
    <w:p w:rsidR="00033C01" w:rsidRPr="00DA71EE" w:rsidRDefault="009774D5" w:rsidP="00DA71EE">
      <w:pPr>
        <w:widowControl w:val="0"/>
        <w:spacing w:after="120" w:line="264" w:lineRule="auto"/>
        <w:ind w:firstLine="720"/>
        <w:jc w:val="both"/>
        <w:rPr>
          <w:spacing w:val="-2"/>
        </w:rPr>
      </w:pPr>
      <w:r w:rsidRPr="00DA71EE">
        <w:rPr>
          <w:b/>
          <w:spacing w:val="-2"/>
        </w:rPr>
        <w:t>2. Quan điểm xây dựng</w:t>
      </w:r>
    </w:p>
    <w:p w:rsidR="00033C01" w:rsidRPr="00DA71EE" w:rsidRDefault="009774D5" w:rsidP="00DA71EE">
      <w:pPr>
        <w:widowControl w:val="0"/>
        <w:spacing w:after="120" w:line="264" w:lineRule="auto"/>
        <w:ind w:firstLine="720"/>
        <w:jc w:val="both"/>
        <w:rPr>
          <w:spacing w:val="-2"/>
        </w:rPr>
      </w:pPr>
      <w:r w:rsidRPr="00DA71EE">
        <w:rPr>
          <w:spacing w:val="-2"/>
        </w:rPr>
        <w:t>a) Bảo đảm phù hợp chủ trương, đường lối của Đảng về phòng ngừa, ứng phó, khắc phục hậu quả thiên tai, hoàn thiện pháp luật và tổ chức thi hành pháp luật.</w:t>
      </w:r>
    </w:p>
    <w:p w:rsidR="00033C01" w:rsidRPr="00DA71EE" w:rsidRDefault="009774D5" w:rsidP="00DA71EE">
      <w:pPr>
        <w:widowControl w:val="0"/>
        <w:spacing w:after="120" w:line="264" w:lineRule="auto"/>
        <w:ind w:firstLine="720"/>
        <w:jc w:val="both"/>
        <w:rPr>
          <w:spacing w:val="-2"/>
        </w:rPr>
      </w:pPr>
      <w:r w:rsidRPr="00DA71EE">
        <w:rPr>
          <w:spacing w:val="-2"/>
        </w:rPr>
        <w:t xml:space="preserve">b) Bảo đảm đúng thẩm quyền của Hội đồng nhân dân thành phố; quy định đúng phạm vi, nội dung được giao tại Thông tư số 68/2020/TT-BTC; không quy định lại các nội dung đã được pháp luật ngân sách, đê điều và văn bản hướng dẫn </w:t>
      </w:r>
      <w:r w:rsidRPr="00DA71EE">
        <w:rPr>
          <w:spacing w:val="-2"/>
        </w:rPr>
        <w:lastRenderedPageBreak/>
        <w:t>quy định cụ thể.</w:t>
      </w:r>
    </w:p>
    <w:p w:rsidR="00033C01" w:rsidRPr="00DA71EE" w:rsidRDefault="009774D5" w:rsidP="00DA71EE">
      <w:pPr>
        <w:widowControl w:val="0"/>
        <w:spacing w:after="120" w:line="264" w:lineRule="auto"/>
        <w:ind w:firstLine="720"/>
        <w:jc w:val="both"/>
        <w:rPr>
          <w:spacing w:val="-2"/>
        </w:rPr>
      </w:pPr>
      <w:r w:rsidRPr="00DA71EE">
        <w:rPr>
          <w:spacing w:val="-2"/>
        </w:rPr>
        <w:t>c) Bảo đảm phù hợp Luật Ngân sách nhà nước, khả năng cân đối ngân sách thành phố; việc lập dự toán, phân bổ, quản lý, sử dụng và thanh quyết toán kinh phí thực hiện theo pháp luật hiện hành.</w:t>
      </w:r>
    </w:p>
    <w:p w:rsidR="00033C01" w:rsidRPr="00DA71EE" w:rsidRDefault="009774D5" w:rsidP="00DA71EE">
      <w:pPr>
        <w:widowControl w:val="0"/>
        <w:spacing w:after="120" w:line="264" w:lineRule="auto"/>
        <w:ind w:firstLine="720"/>
        <w:jc w:val="both"/>
        <w:rPr>
          <w:spacing w:val="-2"/>
        </w:rPr>
      </w:pPr>
      <w:r w:rsidRPr="00DA71EE">
        <w:rPr>
          <w:spacing w:val="-2"/>
        </w:rPr>
        <w:t>d) Bảo đảm tính thống nhất, đồng bộ với mô hình chính quyền địa phương 02 cấp, tình hình thực tế hệ thống đê điều trên địa bàn thành phố và yêu cầu thống nhất cơ chế, chính sách sau hợp nhất.</w:t>
      </w:r>
    </w:p>
    <w:p w:rsidR="00033C01" w:rsidRPr="00DA71EE" w:rsidRDefault="009774D5" w:rsidP="00DA71EE">
      <w:pPr>
        <w:widowControl w:val="0"/>
        <w:spacing w:after="120" w:line="264" w:lineRule="auto"/>
        <w:ind w:firstLine="720"/>
        <w:jc w:val="both"/>
        <w:rPr>
          <w:spacing w:val="-2"/>
        </w:rPr>
      </w:pPr>
      <w:r w:rsidRPr="00DA71EE">
        <w:rPr>
          <w:b/>
          <w:spacing w:val="-2"/>
        </w:rPr>
        <w:t>III. QUÁ TRÌNH XÂY DỰNG DỰ THẢO NGHỊ QUYẾT</w:t>
      </w:r>
    </w:p>
    <w:p w:rsidR="00033C01" w:rsidRPr="00DA71EE" w:rsidRDefault="009774D5" w:rsidP="00DA71EE">
      <w:pPr>
        <w:widowControl w:val="0"/>
        <w:spacing w:after="120" w:line="264" w:lineRule="auto"/>
        <w:ind w:firstLine="720"/>
        <w:jc w:val="both"/>
        <w:rPr>
          <w:spacing w:val="-2"/>
        </w:rPr>
      </w:pPr>
      <w:r w:rsidRPr="00DA71EE">
        <w:rPr>
          <w:spacing w:val="-2"/>
        </w:rPr>
        <w:t>Ngày 23 tháng 3 năm 2026, Thường trực Hội đồng nhân dân thành phố ban hành Quyết định số 06/QĐ-TTHĐND về việc ban hành Danh mục nghị quyết của Hội đồng nhân dân thành phố quy định chi tiết các nội dung được giao, trong đó có nội dung xây dựng Nghị quyết quy định nội dung, nhiệm vụ chi thường xuyên duy tu, bảo dưỡng và xử lý cấp bách sự cố đê điều trên địa bàn thành phố Hải Phòng.</w:t>
      </w:r>
    </w:p>
    <w:p w:rsidR="00033C01" w:rsidRPr="00DA71EE" w:rsidRDefault="009774D5" w:rsidP="00DA71EE">
      <w:pPr>
        <w:widowControl w:val="0"/>
        <w:spacing w:after="120" w:line="264" w:lineRule="auto"/>
        <w:ind w:firstLine="720"/>
        <w:jc w:val="both"/>
        <w:rPr>
          <w:spacing w:val="-2"/>
        </w:rPr>
      </w:pPr>
      <w:r w:rsidRPr="00DA71EE">
        <w:rPr>
          <w:spacing w:val="-2"/>
        </w:rPr>
        <w:t>Trên cơ sở nhiệm vụ được giao, Sở Nông nghiệp và Môi trường đã chủ trì rà soát các quy định của Luật Đê điều, Luật Ngân sách nhà nước, Luật Ban hành văn bản quy phạm pháp luật, Thông tư số 68/2020/TT-BTC và các văn bản pháp luật có liên quan; tổng kết thực tiễn thi hành Nghị quyết số 06/2022/NQ-HĐND; rà soát việc áp dụng văn bản quy phạm pháp luật sau hợp nhất theo Nghị quyết số 52/NQ-HĐND; xây dựng hồ sơ dự thảo Nghị quyết theo quy định.</w:t>
      </w:r>
    </w:p>
    <w:p w:rsidR="00033C01" w:rsidRPr="00DA71EE" w:rsidRDefault="009774D5" w:rsidP="00DA71EE">
      <w:pPr>
        <w:widowControl w:val="0"/>
        <w:spacing w:after="120" w:line="264" w:lineRule="auto"/>
        <w:ind w:firstLine="720"/>
        <w:jc w:val="both"/>
        <w:rPr>
          <w:spacing w:val="-2"/>
        </w:rPr>
      </w:pPr>
      <w:r w:rsidRPr="00DA71EE">
        <w:rPr>
          <w:spacing w:val="-2"/>
        </w:rPr>
        <w:t>Sở Nông nghiệp và Môi trường đã có Công văn số 4554/SNNMT-CCTNNPCTT ngày 24 tháng 4 năm 2026 đề nghị Văn phòng Ủy ban nhân dân thành phố, Cổng Thông tin điện tử thành phố đăng tải dự thảo Tờ trình và dự thảo Nghị quyết để lấy ý kiến cơ quan, tổ chức, cá nhân theo quy định. Dự thảo đã được đăng tải trên Cổng Thông tin điện tử thành phố, thời gian lấy ý kiến từ ngày 25 tháng 4 năm 2026 đến ngày 05 tháng 5 năm 2026; đến thời điểm kết thúc đăng tải, không có ý kiến tham gia trên Cổng Thông tin điện tử thành phố.</w:t>
      </w:r>
    </w:p>
    <w:p w:rsidR="00033C01" w:rsidRPr="00DA71EE" w:rsidRDefault="009774D5" w:rsidP="00DA71EE">
      <w:pPr>
        <w:widowControl w:val="0"/>
        <w:spacing w:after="120" w:line="264" w:lineRule="auto"/>
        <w:ind w:firstLine="720"/>
        <w:jc w:val="both"/>
        <w:rPr>
          <w:spacing w:val="-2"/>
        </w:rPr>
      </w:pPr>
      <w:r w:rsidRPr="00DA71EE">
        <w:rPr>
          <w:spacing w:val="-2"/>
        </w:rPr>
        <w:t>Đồng thời, Sở Nông nghiệp và Môi trường đã có Công văn số 4555/SNNMT-CCTNNPCTT ngày 24 tháng 4 năm 2026 gửi các sở, ngành, địa phương để lấy ý kiến tham gia đối với hồ sơ dự thảo. Đến ngày 01 tháng 6 năm 2026, Sở Nông nghiệp và Môi trường đã nhận được 109 văn bản tham gia ý kiến; trong đó có 103 ý kiến nhất trí với bố cục, nội dung dự thảo và 06 ý kiến có đề nghị sửa đổi, bổ sung của Sở Tư pháp, Sở Nội vụ, Sở Khoa học và Công nghệ, Sở Tài chính, Ủy ban nhân dân xã Hồng Châu và Ủy ban nhân dân xã Vĩnh Lại.</w:t>
      </w:r>
    </w:p>
    <w:p w:rsidR="00033C01" w:rsidRDefault="009774D5" w:rsidP="00DA71EE">
      <w:pPr>
        <w:widowControl w:val="0"/>
        <w:spacing w:after="120" w:line="264" w:lineRule="auto"/>
        <w:ind w:firstLine="720"/>
        <w:jc w:val="both"/>
        <w:rPr>
          <w:spacing w:val="-2"/>
        </w:rPr>
      </w:pPr>
      <w:r w:rsidRPr="00DA71EE">
        <w:rPr>
          <w:spacing w:val="-2"/>
        </w:rPr>
        <w:t xml:space="preserve">Trên cơ sở ý kiến góp ý, Sở Nông nghiệp và Môi trường đã nghiên cứu, tiếp thu, giải trình; chỉnh lý dự thảo Nghị quyết, dự thảo Tờ trình và hoàn thiện các tài </w:t>
      </w:r>
      <w:r w:rsidRPr="00DA71EE">
        <w:rPr>
          <w:spacing w:val="-2"/>
        </w:rPr>
        <w:lastRenderedPageBreak/>
        <w:t>liệu trong hồ sơ gồm: báo cáo tổng kết việc thi hành pháp luật kèm phụ lục rà soát chủ trương, đường lối của Đảng và văn bản quy phạm pháp luật có liên quan; bản tổng hợp, tiếp thu, giải trình ý kiến góp ý; bản so sánh nội dung dự thảo Nghị quyết; bản đánh giá thủ tục hành chính, phân cấp, thực hiện nhiệm vụ, quyền hạn được phân cấp, việc ứng dụng, thúc đẩy phát triển khoa học, công nghệ, đổi mới sáng tạo và chuyển đổi số.</w:t>
      </w:r>
    </w:p>
    <w:p w:rsidR="00D32A3E" w:rsidRPr="00DA71EE" w:rsidRDefault="00D32A3E" w:rsidP="00D32A3E">
      <w:pPr>
        <w:spacing w:before="160"/>
        <w:ind w:firstLine="720"/>
        <w:jc w:val="both"/>
        <w:rPr>
          <w:spacing w:val="-2"/>
        </w:rPr>
      </w:pPr>
      <w:r>
        <w:t xml:space="preserve">Đã đăng tải trên cổng/trang thông tin điện tử của Sở Nông nghiệp và Môi trường Hải Phòng </w:t>
      </w:r>
      <w:r w:rsidRPr="00D32A3E">
        <w:t>Bản tổng hợp ý kiến, tiếp thu, giải trình ý kiến góp ý đối với dự thảo Nghị quyết của Hội đồng nhân dân thành phố quy định nội dung, nhiệm vụ chi thường xuyên duy tu, bảo dưỡng đê điều và xử lý cấp bách sự cố đê điều trên địa bàn thành phố Hải Phòng.</w:t>
      </w:r>
    </w:p>
    <w:p w:rsidR="00033C01" w:rsidRPr="00DA71EE" w:rsidRDefault="009774D5" w:rsidP="00DA71EE">
      <w:pPr>
        <w:widowControl w:val="0"/>
        <w:spacing w:after="120" w:line="264" w:lineRule="auto"/>
        <w:ind w:firstLine="720"/>
        <w:jc w:val="both"/>
        <w:rPr>
          <w:spacing w:val="-2"/>
        </w:rPr>
      </w:pPr>
      <w:r w:rsidRPr="00DA71EE">
        <w:rPr>
          <w:spacing w:val="-2"/>
        </w:rPr>
        <w:t>Hồ sơ dự thảo Nghị quyết được hoàn thiện để gửi Sở Tư pháp thẩm định và trình cấp có thẩm quyền xem xét theo quy định của Luật Ban hành văn bản quy phạm pháp luật và các văn bản hướng dẫn thi hành.</w:t>
      </w:r>
    </w:p>
    <w:p w:rsidR="00033C01" w:rsidRPr="00DA71EE" w:rsidRDefault="009774D5" w:rsidP="00DA71EE">
      <w:pPr>
        <w:widowControl w:val="0"/>
        <w:spacing w:after="120" w:line="264" w:lineRule="auto"/>
        <w:ind w:firstLine="720"/>
        <w:jc w:val="both"/>
        <w:rPr>
          <w:spacing w:val="-2"/>
        </w:rPr>
      </w:pPr>
      <w:r w:rsidRPr="00DA71EE">
        <w:rPr>
          <w:b/>
          <w:spacing w:val="-2"/>
        </w:rPr>
        <w:t>IV. BỐ CỤC VÀ NỘI DUNG CƠ BẢN CỦA DỰ THẢO NGHỊ QUYẾT</w:t>
      </w:r>
    </w:p>
    <w:p w:rsidR="00033C01" w:rsidRPr="00DA71EE" w:rsidRDefault="009774D5" w:rsidP="00DA71EE">
      <w:pPr>
        <w:widowControl w:val="0"/>
        <w:spacing w:after="120" w:line="264" w:lineRule="auto"/>
        <w:ind w:firstLine="720"/>
        <w:jc w:val="both"/>
        <w:rPr>
          <w:spacing w:val="-2"/>
        </w:rPr>
      </w:pPr>
      <w:r w:rsidRPr="00DA71EE">
        <w:rPr>
          <w:b/>
          <w:spacing w:val="-2"/>
        </w:rPr>
        <w:t>1. Bố cục</w:t>
      </w:r>
    </w:p>
    <w:p w:rsidR="00033C01" w:rsidRPr="00DA71EE" w:rsidRDefault="009774D5" w:rsidP="00DA71EE">
      <w:pPr>
        <w:widowControl w:val="0"/>
        <w:spacing w:after="120" w:line="264" w:lineRule="auto"/>
        <w:ind w:firstLine="720"/>
        <w:jc w:val="both"/>
        <w:rPr>
          <w:spacing w:val="-2"/>
        </w:rPr>
      </w:pPr>
      <w:r w:rsidRPr="00DA71EE">
        <w:rPr>
          <w:spacing w:val="-2"/>
        </w:rPr>
        <w:t>Dự thảo Nghị quyết gồm 07 điều:</w:t>
      </w:r>
    </w:p>
    <w:p w:rsidR="00033C01" w:rsidRPr="00DA71EE" w:rsidRDefault="009774D5" w:rsidP="00DA71EE">
      <w:pPr>
        <w:widowControl w:val="0"/>
        <w:spacing w:after="120" w:line="264" w:lineRule="auto"/>
        <w:ind w:firstLine="720"/>
        <w:jc w:val="both"/>
        <w:rPr>
          <w:spacing w:val="-2"/>
        </w:rPr>
      </w:pPr>
      <w:r w:rsidRPr="00DA71EE">
        <w:rPr>
          <w:spacing w:val="-2"/>
        </w:rPr>
        <w:t>- Điều 1. Phạm vi điều chỉnh;</w:t>
      </w:r>
    </w:p>
    <w:p w:rsidR="00033C01" w:rsidRPr="00DA71EE" w:rsidRDefault="009774D5" w:rsidP="00DA71EE">
      <w:pPr>
        <w:widowControl w:val="0"/>
        <w:spacing w:after="120" w:line="264" w:lineRule="auto"/>
        <w:ind w:firstLine="720"/>
        <w:jc w:val="both"/>
        <w:rPr>
          <w:spacing w:val="-2"/>
        </w:rPr>
      </w:pPr>
      <w:r w:rsidRPr="00DA71EE">
        <w:rPr>
          <w:spacing w:val="-2"/>
        </w:rPr>
        <w:t>- Điều 2. Đối tượng áp dụng;</w:t>
      </w:r>
    </w:p>
    <w:p w:rsidR="00033C01" w:rsidRPr="00DA71EE" w:rsidRDefault="009774D5" w:rsidP="00DA71EE">
      <w:pPr>
        <w:widowControl w:val="0"/>
        <w:spacing w:after="120" w:line="264" w:lineRule="auto"/>
        <w:ind w:firstLine="720"/>
        <w:jc w:val="both"/>
        <w:rPr>
          <w:spacing w:val="-2"/>
        </w:rPr>
      </w:pPr>
      <w:r w:rsidRPr="00DA71EE">
        <w:rPr>
          <w:spacing w:val="-2"/>
        </w:rPr>
        <w:t>- Điều 3. Nội dung, nhiệm vụ chi thường xuyên duy tu, bảo dưỡng đê điều và xử lý cấp bách sự cố đê điều;</w:t>
      </w:r>
    </w:p>
    <w:p w:rsidR="00033C01" w:rsidRPr="00DA71EE" w:rsidRDefault="009774D5" w:rsidP="00DA71EE">
      <w:pPr>
        <w:widowControl w:val="0"/>
        <w:spacing w:after="120" w:line="264" w:lineRule="auto"/>
        <w:ind w:firstLine="720"/>
        <w:jc w:val="both"/>
        <w:rPr>
          <w:spacing w:val="-2"/>
        </w:rPr>
      </w:pPr>
      <w:r w:rsidRPr="00DA71EE">
        <w:rPr>
          <w:spacing w:val="-2"/>
        </w:rPr>
        <w:t>- Điều 4. Nguồn kinh phí, lập dự toán, quản lý, sử dụng và thanh quyết toán kinh phí;</w:t>
      </w:r>
    </w:p>
    <w:p w:rsidR="00033C01" w:rsidRPr="00DA71EE" w:rsidRDefault="009774D5" w:rsidP="00DA71EE">
      <w:pPr>
        <w:widowControl w:val="0"/>
        <w:spacing w:after="120" w:line="264" w:lineRule="auto"/>
        <w:ind w:firstLine="720"/>
        <w:jc w:val="both"/>
        <w:rPr>
          <w:spacing w:val="-2"/>
        </w:rPr>
      </w:pPr>
      <w:r w:rsidRPr="00DA71EE">
        <w:rPr>
          <w:spacing w:val="-2"/>
        </w:rPr>
        <w:t>- Điều 5. Điều khoản chuyển tiếp;</w:t>
      </w:r>
    </w:p>
    <w:p w:rsidR="00033C01" w:rsidRPr="00DA71EE" w:rsidRDefault="009774D5" w:rsidP="00DA71EE">
      <w:pPr>
        <w:widowControl w:val="0"/>
        <w:spacing w:after="120" w:line="264" w:lineRule="auto"/>
        <w:ind w:firstLine="720"/>
        <w:jc w:val="both"/>
        <w:rPr>
          <w:spacing w:val="-2"/>
        </w:rPr>
      </w:pPr>
      <w:r w:rsidRPr="00DA71EE">
        <w:rPr>
          <w:spacing w:val="-2"/>
        </w:rPr>
        <w:t>- Điều 6. Hiệu lực thi hành;</w:t>
      </w:r>
    </w:p>
    <w:p w:rsidR="00033C01" w:rsidRPr="00DA71EE" w:rsidRDefault="009774D5" w:rsidP="00DA71EE">
      <w:pPr>
        <w:widowControl w:val="0"/>
        <w:spacing w:after="120" w:line="264" w:lineRule="auto"/>
        <w:ind w:firstLine="720"/>
        <w:jc w:val="both"/>
        <w:rPr>
          <w:spacing w:val="-2"/>
        </w:rPr>
      </w:pPr>
      <w:r w:rsidRPr="00DA71EE">
        <w:rPr>
          <w:spacing w:val="-2"/>
        </w:rPr>
        <w:t>- Điều 7. Tổ chức thực hiện.</w:t>
      </w:r>
    </w:p>
    <w:p w:rsidR="00033C01" w:rsidRPr="00DA71EE" w:rsidRDefault="009774D5" w:rsidP="00DA71EE">
      <w:pPr>
        <w:widowControl w:val="0"/>
        <w:spacing w:after="120" w:line="264" w:lineRule="auto"/>
        <w:ind w:firstLine="720"/>
        <w:jc w:val="both"/>
        <w:rPr>
          <w:spacing w:val="-2"/>
        </w:rPr>
      </w:pPr>
      <w:r w:rsidRPr="00DA71EE">
        <w:rPr>
          <w:b/>
          <w:spacing w:val="-2"/>
        </w:rPr>
        <w:t>2. Nội dung cơ bản</w:t>
      </w:r>
    </w:p>
    <w:p w:rsidR="00033C01" w:rsidRPr="00DA71EE" w:rsidRDefault="009774D5" w:rsidP="00DA71EE">
      <w:pPr>
        <w:widowControl w:val="0"/>
        <w:spacing w:after="120" w:line="264" w:lineRule="auto"/>
        <w:ind w:firstLine="720"/>
        <w:jc w:val="both"/>
        <w:rPr>
          <w:spacing w:val="-2"/>
        </w:rPr>
      </w:pPr>
      <w:r w:rsidRPr="00DA71EE">
        <w:rPr>
          <w:spacing w:val="-2"/>
        </w:rPr>
        <w:t xml:space="preserve">Dự thảo Nghị quyết quy định phạm vi điều chỉnh, đối tượng áp dụng và các nội dung, nhiệm vụ chi thường xuyên duy tu, bảo dưỡng đê điều, gồm: sửa chữa, cải tạo, gia cố mặt đê; sửa chữa, gia cố đường gom, đường hành lang chân đê, dốc lên xuống đê; sửa chữa, trồng cỏ, chăm sóc, bảo trì cỏ, phát quang mái đê, cơ đê, chân đê, mái kè; đắp đất, trồng cây chắn sóng; khảo sát, phát hiện và xử lý mối, ẩn họa trong thân đê; kiểm tra, đánh giá chất lượng cống dưới đê; kiểm tra hiện trạng kè bảo </w:t>
      </w:r>
      <w:r w:rsidRPr="00DA71EE">
        <w:rPr>
          <w:spacing w:val="-2"/>
        </w:rPr>
        <w:lastRenderedPageBreak/>
        <w:t>vệ đê; bổ sung, sửa chữa công trình phục vụ quản lý, bảo vệ đê điều; sửa chữa công trình phụ trợ; bổ sung, bảo dưỡng, thu gom vật tư dự trữ phòng, chống lụt bão liên quan đến đê điều đối với phần vật tư do địa phương quản lý, thuộc nhiệm vụ chi của ngân sách thành phố theo phân cấp; khảo sát địa hình, địa chất, đo đạc, bổ sung cơ sở dữ liệu về đê điều và các công việc khác có liên quan trực tiếp tới công tác duy tu, bảo dưỡng đê điều theo quy định.</w:t>
      </w:r>
    </w:p>
    <w:p w:rsidR="00033C01" w:rsidRPr="00DA71EE" w:rsidRDefault="009774D5" w:rsidP="00DA71EE">
      <w:pPr>
        <w:widowControl w:val="0"/>
        <w:spacing w:after="120" w:line="264" w:lineRule="auto"/>
        <w:ind w:firstLine="720"/>
        <w:jc w:val="both"/>
        <w:rPr>
          <w:spacing w:val="-2"/>
        </w:rPr>
      </w:pPr>
      <w:r w:rsidRPr="00DA71EE">
        <w:rPr>
          <w:spacing w:val="-2"/>
        </w:rPr>
        <w:t>Dự thảo Nghị quyết quy định nội dung, nhiệm vụ chi xử lý cấp bách sự cố đê điều đối với các sự cố phát sinh trước, trong và sau mùa lũ, bão hằng năm, chưa được đưa vào kế hoạch và chưa được bố trí trong dự toán duy tu, bảo dưỡng đê điều hằng năm, cần xử lý để bảo đảm an toàn đê điều, như: sạt trượt mái đê, mái kè; nứt đê; sập tổ mối; sụt, lún thân đê; sạt trượt bờ sông có nguy cơ ảnh hưởng đến an toàn đê điều; rò rỉ, thấm, tổ mối và khuyết tật trong thân đê; lỗ sủi, mạch sủi, bãi sủi, mạch đùn, bục đất, giếng phụt; nước lũ tràn qua đỉnh đê; hư hỏng cống qua đê; hàn khẩu đê; giếng giảm áp làm việc không bình thường.</w:t>
      </w:r>
    </w:p>
    <w:p w:rsidR="00033C01" w:rsidRPr="00DA71EE" w:rsidRDefault="009774D5" w:rsidP="00DA71EE">
      <w:pPr>
        <w:widowControl w:val="0"/>
        <w:spacing w:after="120" w:line="264" w:lineRule="auto"/>
        <w:ind w:firstLine="720"/>
        <w:jc w:val="both"/>
        <w:rPr>
          <w:spacing w:val="-2"/>
        </w:rPr>
      </w:pPr>
      <w:r w:rsidRPr="00DA71EE">
        <w:rPr>
          <w:spacing w:val="-2"/>
        </w:rPr>
        <w:t>Dự thảo Nghị quyết quy định kinh phí thực hiện từ ngân sách thành phố và các nguồn vốn hợp pháp khác; việc bố trí kinh phí trong dự toán chi thường xuyên hằng năm theo phân cấp ngân sách, khả năng cân đối của ngân sách thành phố và quy định pháp luật; việc lập dự toán, phân bổ, quản lý, sử dụng, thanh quyết toán kinh phí thực hiện theo Luật Ngân sách nhà nước, các văn bản hướng dẫn, Thông tư số 68/2020/TT-BTC và quy định pháp luật có liên quan.</w:t>
      </w:r>
    </w:p>
    <w:p w:rsidR="00033C01" w:rsidRPr="00DA71EE" w:rsidRDefault="009774D5" w:rsidP="00DA71EE">
      <w:pPr>
        <w:widowControl w:val="0"/>
        <w:spacing w:after="120" w:line="264" w:lineRule="auto"/>
        <w:ind w:firstLine="720"/>
        <w:jc w:val="both"/>
        <w:rPr>
          <w:spacing w:val="-2"/>
        </w:rPr>
      </w:pPr>
      <w:r w:rsidRPr="00DA71EE">
        <w:rPr>
          <w:spacing w:val="-2"/>
        </w:rPr>
        <w:t>Dự thảo Nghị quyết có điều khoản chuyển tiếp đối với các nhiệm vụ đã được cấp có thẩm quyền giao dự toán, phê duyệt kế hoạch, phê duyệt dự toán hoặc đang triển khai trước ngày Nghị quyết có hiệu lực; đồng thời quy định Nghị quyết số 06/2022/NQ-HĐND ngày 20 tháng 7 năm 2022 của Hội đồng nhân dân thành phố Hải Phòng hết hiệu lực kể từ ngày Nghị quyết mới có hiệu lực thi hành.</w:t>
      </w:r>
    </w:p>
    <w:p w:rsidR="00033C01" w:rsidRPr="00DA71EE" w:rsidRDefault="009774D5" w:rsidP="00DA71EE">
      <w:pPr>
        <w:widowControl w:val="0"/>
        <w:spacing w:after="120" w:line="264" w:lineRule="auto"/>
        <w:ind w:firstLine="720"/>
        <w:jc w:val="both"/>
        <w:rPr>
          <w:spacing w:val="-2"/>
        </w:rPr>
      </w:pPr>
      <w:r w:rsidRPr="00DA71EE">
        <w:rPr>
          <w:b/>
          <w:spacing w:val="-2"/>
        </w:rPr>
        <w:t>V. DỰ KIẾN NGUỒN LỰC, ĐIỀU KIỆN BẢO ĐẢM THI HÀNH VÀ THỜI GIAN THÔNG QUA</w:t>
      </w:r>
    </w:p>
    <w:p w:rsidR="00033C01" w:rsidRPr="00DA71EE" w:rsidRDefault="009774D5" w:rsidP="00DA71EE">
      <w:pPr>
        <w:widowControl w:val="0"/>
        <w:spacing w:after="120" w:line="264" w:lineRule="auto"/>
        <w:ind w:firstLine="720"/>
        <w:jc w:val="both"/>
        <w:rPr>
          <w:spacing w:val="-2"/>
        </w:rPr>
      </w:pPr>
      <w:r w:rsidRPr="00DA71EE">
        <w:rPr>
          <w:spacing w:val="-2"/>
        </w:rPr>
        <w:t>Kinh phí thực hiện Nghị quyết được bảo đảm từ ngân sách thành phố và các nguồn vốn hợp pháp khác theo quy định của pháp luật. Việc bố trí kinh phí thực hiện trong dự toán chi thường xuyên hằng năm theo khả năng cân đối của ngân sách thành phố, phân cấp ngân sách và quy định pháp luật; không qu</w:t>
      </w:r>
      <w:bookmarkStart w:id="0" w:name="_GoBack"/>
      <w:bookmarkEnd w:id="0"/>
      <w:r w:rsidRPr="00DA71EE">
        <w:rPr>
          <w:spacing w:val="-2"/>
        </w:rPr>
        <w:t>y định cứng mức kinh phí hằng năm trong Nghị quyết.</w:t>
      </w:r>
    </w:p>
    <w:p w:rsidR="00033C01" w:rsidRPr="00DA71EE" w:rsidRDefault="009774D5" w:rsidP="00DA71EE">
      <w:pPr>
        <w:widowControl w:val="0"/>
        <w:spacing w:after="120" w:line="264" w:lineRule="auto"/>
        <w:ind w:firstLine="720"/>
        <w:jc w:val="both"/>
        <w:rPr>
          <w:spacing w:val="-2"/>
        </w:rPr>
      </w:pPr>
      <w:r w:rsidRPr="00DA71EE">
        <w:rPr>
          <w:spacing w:val="-2"/>
        </w:rPr>
        <w:t xml:space="preserve">Việc lập dự toán, phân bổ, quản lý, sử dụng, thanh quyết toán kinh phí thực hiện theo Luật Ngân sách nhà nước, Nghị định số 73/2026/NĐ-CP, Nghị định số 104/2026/NĐ-CP, Thông tư số 68/2020/TT-BTC và các quy định pháp luật có liên quan. Năm 2026, kinh phí thực hiện trong phạm vi dự toán được cấp có thẩm quyền </w:t>
      </w:r>
      <w:r w:rsidRPr="00DA71EE">
        <w:rPr>
          <w:spacing w:val="-2"/>
        </w:rPr>
        <w:lastRenderedPageBreak/>
        <w:t>giao; các năm tiếp theo căn cứ nhu cầu thực tế, nhiệm vụ được cấp có thẩm quyền phê duyệt và khả năng cân đối ngân sách thành phố để bố trí theo quy định.</w:t>
      </w:r>
    </w:p>
    <w:p w:rsidR="00033C01" w:rsidRPr="00DA71EE" w:rsidRDefault="009774D5" w:rsidP="00DA71EE">
      <w:pPr>
        <w:widowControl w:val="0"/>
        <w:spacing w:after="120" w:line="264" w:lineRule="auto"/>
        <w:ind w:firstLine="720"/>
        <w:jc w:val="both"/>
        <w:rPr>
          <w:spacing w:val="-2"/>
        </w:rPr>
      </w:pPr>
      <w:r w:rsidRPr="00DA71EE">
        <w:rPr>
          <w:spacing w:val="-2"/>
        </w:rPr>
        <w:t>Điều kiện bảo đảm thi hành: Ủy ban nhân dân thành phố chỉ đạo các sở, ngành, địa phương, đơn vị liên quan tổ chức triển khai thực hiện theo chức năng, nhiệm vụ; tăng cường kiểm tra, giám sát việc lập dự toán, quản lý, sử dụng, thanh quyết toán kinh phí, bảo đảm đúng mục đích, tiết kiệm, hiệu quả, công khai, minh bạch.</w:t>
      </w:r>
    </w:p>
    <w:p w:rsidR="00033C01" w:rsidRPr="00DA71EE" w:rsidRDefault="009774D5" w:rsidP="00DA71EE">
      <w:pPr>
        <w:widowControl w:val="0"/>
        <w:spacing w:after="120" w:line="264" w:lineRule="auto"/>
        <w:ind w:firstLine="720"/>
        <w:jc w:val="both"/>
        <w:rPr>
          <w:spacing w:val="-2"/>
        </w:rPr>
      </w:pPr>
      <w:r w:rsidRPr="00DA71EE">
        <w:rPr>
          <w:spacing w:val="-2"/>
        </w:rPr>
        <w:t>Thời gian trình thông qua: Kỳ họp thường lệ cuối năm 2026 của Hội đồng nhân dân thành phố theo Quyết định số 06/QĐ-TTHĐND ngày 23 tháng 3 năm 2026 của Thường trực Hội đồng nhân dân thành phố.</w:t>
      </w:r>
    </w:p>
    <w:p w:rsidR="00033C01" w:rsidRPr="00DA71EE" w:rsidRDefault="009774D5" w:rsidP="00DA71EE">
      <w:pPr>
        <w:widowControl w:val="0"/>
        <w:spacing w:after="120" w:line="264" w:lineRule="auto"/>
        <w:ind w:firstLine="720"/>
        <w:jc w:val="both"/>
        <w:rPr>
          <w:spacing w:val="-2"/>
        </w:rPr>
      </w:pPr>
      <w:r w:rsidRPr="00DA71EE">
        <w:rPr>
          <w:b/>
          <w:spacing w:val="-2"/>
        </w:rPr>
        <w:t>VI. KIẾN NGHỊ, ĐỀ XUẤT</w:t>
      </w:r>
    </w:p>
    <w:p w:rsidR="00033C01" w:rsidRPr="00DA71EE" w:rsidRDefault="009774D5" w:rsidP="00DA71EE">
      <w:pPr>
        <w:widowControl w:val="0"/>
        <w:spacing w:after="120" w:line="264" w:lineRule="auto"/>
        <w:ind w:firstLine="720"/>
        <w:jc w:val="both"/>
        <w:rPr>
          <w:spacing w:val="-2"/>
        </w:rPr>
      </w:pPr>
      <w:r w:rsidRPr="00DA71EE">
        <w:rPr>
          <w:spacing w:val="-2"/>
        </w:rPr>
        <w:t>Ủy ban nhân dân thành phố kính trình Hội đồng nhân dân thành phố xem xét, ban hành Nghị quyết quy định nội dung, nhiệm vụ chi thường xuyên duy tu, bảo dưỡng đê điều và xử lý cấp bách sự cố đê điều trên địa bàn thành phố Hải Phòng.</w:t>
      </w:r>
    </w:p>
    <w:p w:rsidR="00033C01" w:rsidRPr="00DA71EE" w:rsidRDefault="009774D5" w:rsidP="00DA71EE">
      <w:pPr>
        <w:widowControl w:val="0"/>
        <w:spacing w:after="120" w:line="264" w:lineRule="auto"/>
        <w:ind w:firstLine="720"/>
        <w:jc w:val="both"/>
        <w:rPr>
          <w:spacing w:val="-2"/>
        </w:rPr>
      </w:pPr>
      <w:r w:rsidRPr="00DA71EE">
        <w:rPr>
          <w:spacing w:val="-2"/>
        </w:rPr>
        <w:t>Xin gửi kèm theo Tờ trình này: (1) Dự thảo Nghị quyết; (2) Báo cáo tổng kết việc thi hành pháp luật kèm phụ lục rà soát chủ trương, đường lối của Đảng và văn bản quy phạm pháp luật có liên quan; (3) Bản tổng hợp, tiếp thu, giải trình ý kiến góp ý; (4) Bản so sánh nội dung dự thảo Nghị quyết; (5) Bản đánh giá thủ tục hành chính, việc phân cấp, thực hiện nhiệm vụ, quyền hạn được phân cấp, việc ứng dụng, thúc đẩy phát triển khoa học, công nghệ, đổi mới sáng tạo và chuyển đổi số; (6) Báo cáo thẩm định của Sở Tư pháp và các tài liệu liên quan theo quy định./.</w:t>
      </w:r>
    </w:p>
    <w:tbl>
      <w:tblPr>
        <w:tblW w:w="9651" w:type="dxa"/>
        <w:jc w:val="center"/>
        <w:tblLook w:val="01E0" w:firstRow="1" w:lastRow="1" w:firstColumn="1" w:lastColumn="1" w:noHBand="0" w:noVBand="0"/>
      </w:tblPr>
      <w:tblGrid>
        <w:gridCol w:w="4825"/>
        <w:gridCol w:w="4826"/>
      </w:tblGrid>
      <w:tr w:rsidR="00DA71EE" w:rsidRPr="001F1FEC" w:rsidTr="00DA71EE">
        <w:trPr>
          <w:trHeight w:val="229"/>
          <w:jc w:val="center"/>
        </w:trPr>
        <w:tc>
          <w:tcPr>
            <w:tcW w:w="4825" w:type="dxa"/>
          </w:tcPr>
          <w:p w:rsidR="00DA71EE" w:rsidRPr="00AD2D3B" w:rsidRDefault="00DA71EE" w:rsidP="00DA71EE">
            <w:pPr>
              <w:widowControl w:val="0"/>
              <w:tabs>
                <w:tab w:val="center" w:pos="7106"/>
              </w:tabs>
              <w:spacing w:line="240" w:lineRule="auto"/>
              <w:ind w:firstLine="0"/>
              <w:jc w:val="both"/>
              <w:rPr>
                <w:rFonts w:eastAsia="Calibri"/>
                <w:b/>
                <w:i/>
                <w:sz w:val="24"/>
                <w:szCs w:val="24"/>
                <w:lang w:val="sq-AL"/>
              </w:rPr>
            </w:pPr>
            <w:r>
              <w:rPr>
                <w:rFonts w:eastAsia="Calibri"/>
                <w:b/>
                <w:i/>
                <w:sz w:val="24"/>
                <w:lang w:val="sq-AL"/>
              </w:rPr>
              <w:t xml:space="preserve">  </w:t>
            </w:r>
            <w:r w:rsidRPr="00AD2D3B">
              <w:rPr>
                <w:rFonts w:eastAsia="Calibri"/>
                <w:b/>
                <w:i/>
                <w:sz w:val="24"/>
                <w:szCs w:val="24"/>
                <w:lang w:val="sq-AL"/>
              </w:rPr>
              <w:t>Nơi nhận:</w:t>
            </w:r>
          </w:p>
          <w:p w:rsidR="00DA71EE" w:rsidRPr="00CE5D36" w:rsidRDefault="00DA71EE" w:rsidP="00DA71EE">
            <w:pPr>
              <w:widowControl w:val="0"/>
              <w:tabs>
                <w:tab w:val="center" w:pos="7106"/>
              </w:tabs>
              <w:spacing w:line="240" w:lineRule="auto"/>
              <w:ind w:firstLine="0"/>
              <w:rPr>
                <w:rFonts w:eastAsia="Calibri"/>
                <w:sz w:val="22"/>
              </w:rPr>
            </w:pPr>
            <w:r w:rsidRPr="00CE5D36">
              <w:rPr>
                <w:rFonts w:eastAsia="Calibri"/>
                <w:sz w:val="22"/>
              </w:rPr>
              <w:t>- Như trên;</w:t>
            </w:r>
          </w:p>
          <w:p w:rsidR="00DA71EE" w:rsidRPr="00CE5D36" w:rsidRDefault="00DA71EE" w:rsidP="00DA71EE">
            <w:pPr>
              <w:widowControl w:val="0"/>
              <w:tabs>
                <w:tab w:val="center" w:pos="7106"/>
              </w:tabs>
              <w:spacing w:line="240" w:lineRule="auto"/>
              <w:ind w:firstLine="0"/>
              <w:rPr>
                <w:rFonts w:eastAsia="Calibri"/>
                <w:sz w:val="22"/>
              </w:rPr>
            </w:pPr>
            <w:r w:rsidRPr="00CE5D36">
              <w:rPr>
                <w:rFonts w:eastAsia="Calibri"/>
                <w:sz w:val="22"/>
              </w:rPr>
              <w:t>- TTTU, TTHĐND;</w:t>
            </w:r>
          </w:p>
          <w:p w:rsidR="00DA71EE" w:rsidRPr="00CE5D36" w:rsidRDefault="00DA71EE" w:rsidP="00DA71EE">
            <w:pPr>
              <w:widowControl w:val="0"/>
              <w:tabs>
                <w:tab w:val="center" w:pos="7106"/>
              </w:tabs>
              <w:spacing w:line="240" w:lineRule="auto"/>
              <w:ind w:firstLine="0"/>
              <w:rPr>
                <w:rFonts w:eastAsia="Calibri"/>
                <w:sz w:val="22"/>
              </w:rPr>
            </w:pPr>
            <w:r w:rsidRPr="00CE5D36">
              <w:rPr>
                <w:rFonts w:eastAsia="Calibri"/>
                <w:sz w:val="22"/>
              </w:rPr>
              <w:t>- Các Đại biểu HĐND TP;</w:t>
            </w:r>
          </w:p>
          <w:p w:rsidR="00DA71EE" w:rsidRPr="00CE5D36" w:rsidRDefault="00DA71EE" w:rsidP="00DA71EE">
            <w:pPr>
              <w:widowControl w:val="0"/>
              <w:tabs>
                <w:tab w:val="center" w:pos="7106"/>
              </w:tabs>
              <w:spacing w:line="240" w:lineRule="auto"/>
              <w:ind w:firstLine="0"/>
              <w:rPr>
                <w:rFonts w:eastAsia="Calibri"/>
                <w:sz w:val="22"/>
              </w:rPr>
            </w:pPr>
            <w:r w:rsidRPr="00CE5D36">
              <w:rPr>
                <w:rFonts w:eastAsia="Calibri"/>
                <w:sz w:val="22"/>
              </w:rPr>
              <w:t>- Các Ban HĐND TP;</w:t>
            </w:r>
          </w:p>
          <w:p w:rsidR="00DA71EE" w:rsidRPr="00CE5D36" w:rsidRDefault="00DA71EE" w:rsidP="00DA71EE">
            <w:pPr>
              <w:widowControl w:val="0"/>
              <w:tabs>
                <w:tab w:val="center" w:pos="7106"/>
              </w:tabs>
              <w:spacing w:line="240" w:lineRule="auto"/>
              <w:ind w:firstLine="0"/>
              <w:rPr>
                <w:rFonts w:eastAsia="Calibri"/>
                <w:sz w:val="22"/>
              </w:rPr>
            </w:pPr>
            <w:r w:rsidRPr="00CE5D36">
              <w:rPr>
                <w:rFonts w:eastAsia="Calibri"/>
                <w:sz w:val="22"/>
              </w:rPr>
              <w:t>- VP Đoàn ĐBQH&amp;HĐND TP;</w:t>
            </w:r>
          </w:p>
          <w:p w:rsidR="00DA71EE" w:rsidRPr="00CE5D36" w:rsidRDefault="00DA71EE" w:rsidP="00DA71EE">
            <w:pPr>
              <w:widowControl w:val="0"/>
              <w:tabs>
                <w:tab w:val="center" w:pos="7106"/>
              </w:tabs>
              <w:spacing w:line="240" w:lineRule="auto"/>
              <w:ind w:firstLine="0"/>
              <w:rPr>
                <w:rFonts w:eastAsia="Calibri"/>
                <w:sz w:val="22"/>
              </w:rPr>
            </w:pPr>
            <w:r w:rsidRPr="00CE5D36">
              <w:rPr>
                <w:rFonts w:eastAsia="Calibri"/>
                <w:sz w:val="22"/>
              </w:rPr>
              <w:t>- CT, các PCT UBND TP;</w:t>
            </w:r>
            <w:r w:rsidRPr="00CE5D36">
              <w:rPr>
                <w:rFonts w:eastAsia="Calibri"/>
                <w:sz w:val="22"/>
              </w:rPr>
              <w:br/>
              <w:t>- CVP, các PCVP UBND TP;</w:t>
            </w:r>
          </w:p>
          <w:p w:rsidR="00DA71EE" w:rsidRPr="00CE5D36" w:rsidRDefault="00DA71EE" w:rsidP="00DA71EE">
            <w:pPr>
              <w:widowControl w:val="0"/>
              <w:tabs>
                <w:tab w:val="center" w:pos="7106"/>
              </w:tabs>
              <w:spacing w:line="240" w:lineRule="auto"/>
              <w:ind w:firstLine="0"/>
              <w:rPr>
                <w:rFonts w:eastAsia="Calibri"/>
                <w:sz w:val="22"/>
              </w:rPr>
            </w:pPr>
            <w:r w:rsidRPr="00CE5D36">
              <w:rPr>
                <w:rFonts w:eastAsia="Calibri"/>
                <w:sz w:val="22"/>
              </w:rPr>
              <w:t>- Phòng NN&amp;MT, TH;</w:t>
            </w:r>
          </w:p>
          <w:p w:rsidR="00DA71EE" w:rsidRPr="00CE5D36" w:rsidRDefault="00DA71EE" w:rsidP="00DA71EE">
            <w:pPr>
              <w:widowControl w:val="0"/>
              <w:tabs>
                <w:tab w:val="center" w:pos="7106"/>
              </w:tabs>
              <w:spacing w:line="240" w:lineRule="auto"/>
              <w:ind w:firstLine="0"/>
              <w:rPr>
                <w:rFonts w:eastAsia="Calibri"/>
                <w:sz w:val="22"/>
              </w:rPr>
            </w:pPr>
            <w:r w:rsidRPr="00CE5D36">
              <w:rPr>
                <w:rFonts w:eastAsia="Calibri"/>
                <w:sz w:val="22"/>
              </w:rPr>
              <w:t>- Các Sở: NN&amp;MT, TP, TC;</w:t>
            </w:r>
          </w:p>
          <w:p w:rsidR="00DA71EE" w:rsidRPr="008B482C" w:rsidRDefault="00DA71EE" w:rsidP="00DA71EE">
            <w:pPr>
              <w:widowControl w:val="0"/>
              <w:tabs>
                <w:tab w:val="center" w:pos="7106"/>
              </w:tabs>
              <w:spacing w:line="240" w:lineRule="auto"/>
              <w:ind w:firstLine="0"/>
              <w:rPr>
                <w:rFonts w:eastAsia="Calibri"/>
                <w:lang w:val="sq-AL"/>
              </w:rPr>
            </w:pPr>
            <w:r w:rsidRPr="00CE5D36">
              <w:rPr>
                <w:rFonts w:eastAsia="Calibri"/>
                <w:sz w:val="22"/>
              </w:rPr>
              <w:t>- Lưu: VT, NNMT.</w:t>
            </w:r>
          </w:p>
        </w:tc>
        <w:tc>
          <w:tcPr>
            <w:tcW w:w="4826" w:type="dxa"/>
          </w:tcPr>
          <w:p w:rsidR="00DA71EE" w:rsidRPr="00EC3DEE" w:rsidRDefault="00DA71EE" w:rsidP="00DA71EE">
            <w:pPr>
              <w:widowControl w:val="0"/>
              <w:tabs>
                <w:tab w:val="center" w:pos="7106"/>
              </w:tabs>
              <w:spacing w:line="240" w:lineRule="auto"/>
              <w:ind w:firstLine="0"/>
              <w:jc w:val="center"/>
              <w:rPr>
                <w:rFonts w:eastAsia="Calibri"/>
                <w:b/>
                <w:sz w:val="26"/>
                <w:szCs w:val="26"/>
                <w:lang w:val="sq-AL"/>
              </w:rPr>
            </w:pPr>
            <w:r w:rsidRPr="00EC3DEE">
              <w:rPr>
                <w:rFonts w:eastAsia="Calibri"/>
                <w:b/>
                <w:sz w:val="26"/>
                <w:szCs w:val="26"/>
                <w:lang w:val="sq-AL"/>
              </w:rPr>
              <w:t>TM. ỦY BAN NHÂN DÂN</w:t>
            </w:r>
          </w:p>
          <w:p w:rsidR="00DA71EE" w:rsidRDefault="00DA71EE" w:rsidP="00DA71EE">
            <w:pPr>
              <w:widowControl w:val="0"/>
              <w:tabs>
                <w:tab w:val="center" w:pos="7106"/>
              </w:tabs>
              <w:spacing w:line="240" w:lineRule="auto"/>
              <w:ind w:firstLine="0"/>
              <w:jc w:val="center"/>
              <w:rPr>
                <w:rFonts w:eastAsia="Calibri"/>
                <w:b/>
                <w:sz w:val="26"/>
                <w:szCs w:val="26"/>
              </w:rPr>
            </w:pPr>
            <w:r w:rsidRPr="00EC3DEE">
              <w:rPr>
                <w:rFonts w:eastAsia="Calibri"/>
                <w:b/>
                <w:sz w:val="26"/>
                <w:szCs w:val="26"/>
              </w:rPr>
              <w:t>CHỦ TỊCH</w:t>
            </w:r>
          </w:p>
          <w:p w:rsidR="00DA71EE" w:rsidRDefault="00DA71EE" w:rsidP="00DA71EE">
            <w:pPr>
              <w:widowControl w:val="0"/>
              <w:tabs>
                <w:tab w:val="center" w:pos="7106"/>
              </w:tabs>
              <w:spacing w:line="240" w:lineRule="auto"/>
              <w:ind w:firstLine="0"/>
              <w:jc w:val="center"/>
              <w:rPr>
                <w:rFonts w:eastAsia="Calibri"/>
                <w:b/>
                <w:sz w:val="26"/>
                <w:szCs w:val="26"/>
              </w:rPr>
            </w:pPr>
          </w:p>
          <w:p w:rsidR="00DA71EE" w:rsidRDefault="00DA71EE" w:rsidP="00DA71EE">
            <w:pPr>
              <w:widowControl w:val="0"/>
              <w:tabs>
                <w:tab w:val="center" w:pos="7106"/>
              </w:tabs>
              <w:spacing w:line="240" w:lineRule="auto"/>
              <w:ind w:firstLine="0"/>
              <w:jc w:val="center"/>
              <w:rPr>
                <w:rFonts w:eastAsia="Calibri"/>
                <w:b/>
                <w:sz w:val="26"/>
                <w:szCs w:val="26"/>
              </w:rPr>
            </w:pPr>
          </w:p>
          <w:p w:rsidR="00DA71EE" w:rsidRDefault="00DA71EE" w:rsidP="00DA71EE">
            <w:pPr>
              <w:widowControl w:val="0"/>
              <w:tabs>
                <w:tab w:val="center" w:pos="7106"/>
              </w:tabs>
              <w:spacing w:line="240" w:lineRule="auto"/>
              <w:ind w:firstLine="0"/>
              <w:jc w:val="center"/>
              <w:rPr>
                <w:rFonts w:eastAsia="Calibri"/>
                <w:b/>
                <w:sz w:val="26"/>
                <w:szCs w:val="26"/>
              </w:rPr>
            </w:pPr>
          </w:p>
          <w:p w:rsidR="00DA71EE" w:rsidRDefault="00DA71EE" w:rsidP="00DA71EE">
            <w:pPr>
              <w:widowControl w:val="0"/>
              <w:tabs>
                <w:tab w:val="center" w:pos="7106"/>
              </w:tabs>
              <w:spacing w:line="240" w:lineRule="auto"/>
              <w:ind w:firstLine="0"/>
              <w:jc w:val="center"/>
              <w:rPr>
                <w:rFonts w:eastAsia="Calibri"/>
                <w:b/>
                <w:sz w:val="26"/>
                <w:szCs w:val="26"/>
              </w:rPr>
            </w:pPr>
          </w:p>
          <w:p w:rsidR="00DA71EE" w:rsidRDefault="00DA71EE" w:rsidP="00DA71EE">
            <w:pPr>
              <w:widowControl w:val="0"/>
              <w:tabs>
                <w:tab w:val="center" w:pos="7106"/>
              </w:tabs>
              <w:spacing w:line="240" w:lineRule="auto"/>
              <w:ind w:firstLine="0"/>
              <w:jc w:val="center"/>
              <w:rPr>
                <w:rFonts w:eastAsia="Calibri"/>
                <w:b/>
                <w:sz w:val="26"/>
                <w:szCs w:val="26"/>
              </w:rPr>
            </w:pPr>
          </w:p>
          <w:p w:rsidR="00DA71EE" w:rsidRDefault="00DA71EE" w:rsidP="00DA71EE">
            <w:pPr>
              <w:widowControl w:val="0"/>
              <w:tabs>
                <w:tab w:val="center" w:pos="7106"/>
              </w:tabs>
              <w:spacing w:line="240" w:lineRule="auto"/>
              <w:ind w:firstLine="0"/>
              <w:jc w:val="center"/>
              <w:rPr>
                <w:rFonts w:eastAsia="Calibri"/>
                <w:b/>
                <w:sz w:val="26"/>
                <w:szCs w:val="26"/>
              </w:rPr>
            </w:pPr>
          </w:p>
          <w:p w:rsidR="00DA71EE" w:rsidRDefault="00DA71EE" w:rsidP="00DA71EE">
            <w:pPr>
              <w:widowControl w:val="0"/>
              <w:tabs>
                <w:tab w:val="center" w:pos="7106"/>
              </w:tabs>
              <w:spacing w:line="240" w:lineRule="auto"/>
              <w:ind w:firstLine="0"/>
              <w:jc w:val="center"/>
              <w:rPr>
                <w:rFonts w:eastAsia="Calibri"/>
                <w:b/>
                <w:sz w:val="26"/>
              </w:rPr>
            </w:pPr>
            <w:r w:rsidRPr="00582B7A">
              <w:rPr>
                <w:rFonts w:eastAsia="Calibri"/>
                <w:b/>
                <w:szCs w:val="28"/>
              </w:rPr>
              <w:t>Đỗ Thành Trung</w:t>
            </w:r>
          </w:p>
          <w:p w:rsidR="00DA71EE" w:rsidRPr="001F1FEC" w:rsidRDefault="00DA71EE" w:rsidP="00DA71EE">
            <w:pPr>
              <w:widowControl w:val="0"/>
              <w:tabs>
                <w:tab w:val="center" w:pos="7106"/>
              </w:tabs>
              <w:spacing w:line="240" w:lineRule="auto"/>
              <w:ind w:firstLine="0"/>
              <w:jc w:val="center"/>
              <w:rPr>
                <w:rFonts w:eastAsia="Calibri"/>
              </w:rPr>
            </w:pPr>
          </w:p>
        </w:tc>
      </w:tr>
    </w:tbl>
    <w:p w:rsidR="009774D5" w:rsidRPr="00DA71EE" w:rsidRDefault="009774D5" w:rsidP="00DA71EE">
      <w:pPr>
        <w:widowControl w:val="0"/>
        <w:rPr>
          <w:spacing w:val="-2"/>
        </w:rPr>
      </w:pPr>
    </w:p>
    <w:sectPr w:rsidR="009774D5" w:rsidRPr="00DA71EE" w:rsidSect="00DA71EE">
      <w:headerReference w:type="default" r:id="rId8"/>
      <w:pgSz w:w="12240" w:h="15840" w:code="1"/>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7ADD" w:rsidRDefault="00257ADD" w:rsidP="00DA71EE">
      <w:pPr>
        <w:spacing w:line="240" w:lineRule="auto"/>
      </w:pPr>
      <w:r>
        <w:separator/>
      </w:r>
    </w:p>
  </w:endnote>
  <w:endnote w:type="continuationSeparator" w:id="0">
    <w:p w:rsidR="00257ADD" w:rsidRDefault="00257ADD" w:rsidP="00DA71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7ADD" w:rsidRDefault="00257ADD" w:rsidP="00DA71EE">
      <w:pPr>
        <w:spacing w:line="240" w:lineRule="auto"/>
      </w:pPr>
      <w:r>
        <w:separator/>
      </w:r>
    </w:p>
  </w:footnote>
  <w:footnote w:type="continuationSeparator" w:id="0">
    <w:p w:rsidR="00257ADD" w:rsidRDefault="00257ADD" w:rsidP="00DA71E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9552101"/>
      <w:docPartObj>
        <w:docPartGallery w:val="Page Numbers (Top of Page)"/>
        <w:docPartUnique/>
      </w:docPartObj>
    </w:sdtPr>
    <w:sdtEndPr>
      <w:rPr>
        <w:noProof/>
      </w:rPr>
    </w:sdtEndPr>
    <w:sdtContent>
      <w:p w:rsidR="00DA71EE" w:rsidRDefault="00DA71EE" w:rsidP="00DA71EE">
        <w:pPr>
          <w:pStyle w:val="Header"/>
          <w:jc w:val="center"/>
        </w:pPr>
        <w:r>
          <w:fldChar w:fldCharType="begin"/>
        </w:r>
        <w:r>
          <w:instrText xml:space="preserve"> PAGE   \* MERGEFORMAT </w:instrText>
        </w:r>
        <w:r>
          <w:fldChar w:fldCharType="separate"/>
        </w:r>
        <w:r w:rsidR="004E1EF0">
          <w:rPr>
            <w:noProof/>
          </w:rPr>
          <w:t>7</w:t>
        </w:r>
        <w:r>
          <w:rPr>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3C01"/>
    <w:rsid w:val="00034616"/>
    <w:rsid w:val="0006063C"/>
    <w:rsid w:val="0015074B"/>
    <w:rsid w:val="00257ADD"/>
    <w:rsid w:val="0029639D"/>
    <w:rsid w:val="002C34F1"/>
    <w:rsid w:val="00326F90"/>
    <w:rsid w:val="004E1EF0"/>
    <w:rsid w:val="009774D5"/>
    <w:rsid w:val="00A45144"/>
    <w:rsid w:val="00AA1D8D"/>
    <w:rsid w:val="00B47730"/>
    <w:rsid w:val="00CB0664"/>
    <w:rsid w:val="00D32A3E"/>
    <w:rsid w:val="00DA71E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54915A"/>
  <w14:defaultImageDpi w14:val="300"/>
  <w15:docId w15:val="{035047DA-3EAE-4C1D-BDF5-5D1CEEB59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pPr>
      <w:spacing w:after="0"/>
      <w:ind w:firstLine="567"/>
    </w:pPr>
    <w:rPr>
      <w:rFonts w:ascii="Times New Roman" w:eastAsia="Times New Roman" w:hAnsi="Times New Roman"/>
      <w:sz w:val="28"/>
    </w:rPr>
  </w:style>
  <w:style w:type="paragraph" w:styleId="Heading1">
    <w:name w:val="heading 1"/>
    <w:basedOn w:val="Normal"/>
    <w:next w:val="Normal"/>
    <w:link w:val="Heading1Char"/>
    <w:uiPriority w:val="9"/>
    <w:qFormat/>
    <w:rsid w:val="00FC693F"/>
    <w:pPr>
      <w:keepNext/>
      <w:keepLines/>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next w:val="Normal"/>
    <w:link w:val="Heading2Char"/>
    <w:uiPriority w:val="9"/>
    <w:unhideWhenUsed/>
    <w:qFormat/>
    <w:rsid w:val="00FC693F"/>
    <w:pPr>
      <w:keepNext/>
      <w:keepLines/>
      <w:outlineLvl w:val="1"/>
    </w:pPr>
    <w:rPr>
      <w:rFonts w:asciiTheme="majorHAnsi" w:eastAsiaTheme="majorEastAsia" w:hAnsiTheme="majorHAnsi" w:cstheme="majorBidi"/>
      <w:b/>
      <w:bCs/>
      <w:color w:val="4F81BD" w:themeColor="accent1"/>
      <w:szCs w:val="26"/>
    </w:rPr>
  </w:style>
  <w:style w:type="paragraph" w:styleId="Heading3">
    <w:name w:val="heading 3"/>
    <w:basedOn w:val="Normal"/>
    <w:next w:val="Normal"/>
    <w:link w:val="Heading3Char"/>
    <w:uiPriority w:val="9"/>
    <w:unhideWhenUsed/>
    <w:qFormat/>
    <w:rsid w:val="00FC693F"/>
    <w:pPr>
      <w:keepNext/>
      <w:keepLines/>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ind w:firstLine="567"/>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30E138-6B51-43F4-9BCD-0FB1F8761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2696</Words>
  <Characters>15373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18033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Dự thảo Tờ trình Nghị quyết duy tu đê điều</dc:title>
  <dc:subject/>
  <dc:creator>Sở Nông nghiệp và Môi trường</dc:creator>
  <cp:keywords/>
  <dc:description>generated by python-docx</dc:description>
  <cp:lastModifiedBy>Admin</cp:lastModifiedBy>
  <cp:revision>6</cp:revision>
  <dcterms:created xsi:type="dcterms:W3CDTF">2013-12-23T23:15:00Z</dcterms:created>
  <dcterms:modified xsi:type="dcterms:W3CDTF">2026-06-13T08:51:00Z</dcterms:modified>
  <cp:category/>
</cp:coreProperties>
</file>