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EA7F" w14:textId="08C68A29" w:rsidR="00047127" w:rsidRDefault="00047127" w:rsidP="00C07777">
      <w:pPr>
        <w:jc w:val="center"/>
        <w:rPr>
          <w:b/>
          <w:bCs/>
        </w:rPr>
      </w:pPr>
      <w:r>
        <w:rPr>
          <w:b/>
          <w:bCs/>
        </w:rPr>
        <w:t>DANH MỤC</w:t>
      </w:r>
      <w:r w:rsidR="00C07777" w:rsidRPr="00C07777">
        <w:rPr>
          <w:b/>
          <w:bCs/>
        </w:rPr>
        <w:t xml:space="preserve"> THỦ TỤC HÀNH CHÍNH </w:t>
      </w:r>
    </w:p>
    <w:p w14:paraId="2059CF3B" w14:textId="034177D5" w:rsidR="00404FBD" w:rsidRDefault="00C07777" w:rsidP="00C07777">
      <w:pPr>
        <w:jc w:val="center"/>
        <w:rPr>
          <w:b/>
          <w:bCs/>
        </w:rPr>
      </w:pPr>
      <w:r w:rsidRPr="00C07777">
        <w:rPr>
          <w:b/>
          <w:bCs/>
        </w:rPr>
        <w:t>LĨNH VỰC TÀI CHÍNH ĐẤT ĐAI (01 THỦ TỤC)</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839"/>
        <w:gridCol w:w="963"/>
      </w:tblGrid>
      <w:tr w:rsidR="00047127" w:rsidRPr="00047127" w14:paraId="69F4E029" w14:textId="77777777" w:rsidTr="009E0660">
        <w:trPr>
          <w:tblHeader/>
          <w:jc w:val="center"/>
        </w:trPr>
        <w:tc>
          <w:tcPr>
            <w:tcW w:w="958" w:type="dxa"/>
          </w:tcPr>
          <w:p w14:paraId="75DFF644" w14:textId="77777777" w:rsidR="00047127" w:rsidRPr="00047127" w:rsidRDefault="00047127" w:rsidP="009E0660">
            <w:pPr>
              <w:spacing w:after="0" w:line="240" w:lineRule="auto"/>
              <w:jc w:val="center"/>
              <w:rPr>
                <w:b/>
                <w:bCs/>
                <w:szCs w:val="28"/>
              </w:rPr>
            </w:pPr>
            <w:bookmarkStart w:id="0" w:name="_Hlk212117543"/>
            <w:r w:rsidRPr="00047127">
              <w:rPr>
                <w:b/>
                <w:bCs/>
                <w:szCs w:val="28"/>
              </w:rPr>
              <w:br w:type="page"/>
              <w:t>STT</w:t>
            </w:r>
          </w:p>
        </w:tc>
        <w:tc>
          <w:tcPr>
            <w:tcW w:w="7839" w:type="dxa"/>
          </w:tcPr>
          <w:p w14:paraId="2BF790EE" w14:textId="77777777" w:rsidR="00047127" w:rsidRPr="00047127" w:rsidRDefault="00047127" w:rsidP="009E0660">
            <w:pPr>
              <w:spacing w:after="0" w:line="240" w:lineRule="auto"/>
              <w:jc w:val="center"/>
              <w:rPr>
                <w:b/>
                <w:bCs/>
                <w:szCs w:val="28"/>
              </w:rPr>
            </w:pPr>
            <w:r w:rsidRPr="00047127">
              <w:rPr>
                <w:b/>
                <w:bCs/>
                <w:szCs w:val="28"/>
              </w:rPr>
              <w:t>Tên thủ tục hành chính</w:t>
            </w:r>
          </w:p>
        </w:tc>
        <w:tc>
          <w:tcPr>
            <w:tcW w:w="963" w:type="dxa"/>
          </w:tcPr>
          <w:p w14:paraId="537FD400" w14:textId="77777777" w:rsidR="00047127" w:rsidRPr="00047127" w:rsidRDefault="00047127" w:rsidP="009E0660">
            <w:pPr>
              <w:spacing w:after="0" w:line="240" w:lineRule="auto"/>
              <w:jc w:val="center"/>
              <w:rPr>
                <w:b/>
                <w:bCs/>
                <w:szCs w:val="28"/>
              </w:rPr>
            </w:pPr>
            <w:r w:rsidRPr="00047127">
              <w:rPr>
                <w:b/>
                <w:bCs/>
                <w:szCs w:val="28"/>
              </w:rPr>
              <w:t>Trang</w:t>
            </w:r>
          </w:p>
        </w:tc>
      </w:tr>
      <w:tr w:rsidR="00047127" w:rsidRPr="00047127" w14:paraId="425900AA" w14:textId="77777777" w:rsidTr="009E0660">
        <w:trPr>
          <w:jc w:val="center"/>
        </w:trPr>
        <w:tc>
          <w:tcPr>
            <w:tcW w:w="958" w:type="dxa"/>
            <w:vAlign w:val="center"/>
          </w:tcPr>
          <w:p w14:paraId="72486EC4" w14:textId="77777777" w:rsidR="00047127" w:rsidRPr="00047127" w:rsidRDefault="00047127" w:rsidP="009E0660">
            <w:pPr>
              <w:numPr>
                <w:ilvl w:val="0"/>
                <w:numId w:val="1"/>
              </w:numPr>
              <w:spacing w:after="0" w:line="240" w:lineRule="auto"/>
              <w:jc w:val="center"/>
              <w:rPr>
                <w:szCs w:val="28"/>
              </w:rPr>
            </w:pPr>
          </w:p>
        </w:tc>
        <w:tc>
          <w:tcPr>
            <w:tcW w:w="7839" w:type="dxa"/>
            <w:vAlign w:val="center"/>
          </w:tcPr>
          <w:p w14:paraId="5FCE484B" w14:textId="65431576" w:rsidR="00047127" w:rsidRPr="00047127" w:rsidRDefault="00047127" w:rsidP="00047127">
            <w:pPr>
              <w:spacing w:after="0" w:line="240" w:lineRule="auto"/>
              <w:jc w:val="both"/>
              <w:rPr>
                <w:szCs w:val="28"/>
              </w:rPr>
            </w:pPr>
            <w:r w:rsidRPr="00047127">
              <w:rPr>
                <w:szCs w:val="28"/>
              </w:rPr>
              <w:t xml:space="preserve">Thanh toán, xóa nợ tiền sử dụng đất đối với hộ gia đình, cá nhân được ghi nợ - </w:t>
            </w:r>
            <w:r w:rsidRPr="00047127">
              <w:rPr>
                <w:color w:val="000000"/>
                <w:szCs w:val="28"/>
              </w:rPr>
              <w:t>1.012996</w:t>
            </w:r>
          </w:p>
        </w:tc>
        <w:tc>
          <w:tcPr>
            <w:tcW w:w="963" w:type="dxa"/>
            <w:vAlign w:val="center"/>
          </w:tcPr>
          <w:p w14:paraId="07B83F17" w14:textId="77777777" w:rsidR="00047127" w:rsidRPr="00047127" w:rsidRDefault="00047127" w:rsidP="009E0660">
            <w:pPr>
              <w:spacing w:after="0" w:line="240" w:lineRule="auto"/>
              <w:jc w:val="center"/>
              <w:rPr>
                <w:szCs w:val="28"/>
              </w:rPr>
            </w:pPr>
            <w:r w:rsidRPr="00047127">
              <w:rPr>
                <w:szCs w:val="28"/>
              </w:rPr>
              <w:t>02</w:t>
            </w:r>
          </w:p>
        </w:tc>
      </w:tr>
      <w:bookmarkEnd w:id="0"/>
    </w:tbl>
    <w:p w14:paraId="570090BD" w14:textId="77777777" w:rsidR="00047127" w:rsidRDefault="00047127" w:rsidP="00C07777">
      <w:pPr>
        <w:jc w:val="center"/>
        <w:rPr>
          <w:b/>
          <w:bCs/>
        </w:rPr>
      </w:pPr>
    </w:p>
    <w:p w14:paraId="43773CF8" w14:textId="77777777" w:rsidR="00047127" w:rsidRDefault="00047127" w:rsidP="00C07777">
      <w:pPr>
        <w:jc w:val="center"/>
        <w:rPr>
          <w:b/>
          <w:bCs/>
        </w:rPr>
      </w:pPr>
    </w:p>
    <w:p w14:paraId="2B73041D" w14:textId="77777777" w:rsidR="00047127" w:rsidRPr="00C07777" w:rsidRDefault="00047127" w:rsidP="00C07777">
      <w:pPr>
        <w:jc w:val="center"/>
        <w:rPr>
          <w:b/>
          <w:bCs/>
        </w:rPr>
      </w:pPr>
    </w:p>
    <w:p w14:paraId="3FC68562" w14:textId="77777777" w:rsidR="00047127" w:rsidRDefault="00047127" w:rsidP="00C07777">
      <w:pPr>
        <w:spacing w:before="120" w:after="280" w:afterAutospacing="1"/>
        <w:rPr>
          <w:b/>
          <w:bCs/>
        </w:rPr>
      </w:pPr>
      <w:r>
        <w:rPr>
          <w:b/>
          <w:bCs/>
        </w:rPr>
        <w:br/>
      </w:r>
    </w:p>
    <w:p w14:paraId="6A10A0E0" w14:textId="77777777" w:rsidR="00047127" w:rsidRDefault="00047127">
      <w:pPr>
        <w:rPr>
          <w:b/>
          <w:bCs/>
        </w:rPr>
      </w:pPr>
      <w:r>
        <w:rPr>
          <w:b/>
          <w:bCs/>
        </w:rPr>
        <w:br w:type="page"/>
      </w:r>
    </w:p>
    <w:p w14:paraId="40323551" w14:textId="3DF7E4C8" w:rsidR="00C07777" w:rsidRDefault="00C07777" w:rsidP="00C07777">
      <w:pPr>
        <w:spacing w:before="120" w:after="280" w:afterAutospacing="1"/>
      </w:pPr>
      <w:r w:rsidRPr="00C6419F">
        <w:rPr>
          <w:b/>
          <w:bCs/>
        </w:rPr>
        <w:lastRenderedPageBreak/>
        <w:t>1.</w:t>
      </w:r>
      <w:r>
        <w:t xml:space="preserve"> </w:t>
      </w:r>
      <w:bookmarkStart w:id="1" w:name="dieu_3_1"/>
      <w:r>
        <w:rPr>
          <w:b/>
          <w:bCs/>
        </w:rPr>
        <w:t>Thanh toán, xóa nợ tiền sử dụng đất đối với hộ gia đình, cá nhân được ghi nợ</w:t>
      </w:r>
      <w:bookmarkEnd w:id="1"/>
      <w:r w:rsidR="00C6419F">
        <w:rPr>
          <w:b/>
          <w:bCs/>
        </w:rPr>
        <w:t xml:space="preserve"> - </w:t>
      </w:r>
      <w:r w:rsidR="00C6419F">
        <w:rPr>
          <w:b/>
          <w:bCs/>
          <w:color w:val="000000"/>
          <w:sz w:val="26"/>
          <w:szCs w:val="26"/>
        </w:rPr>
        <w:t>1.012996</w:t>
      </w:r>
    </w:p>
    <w:p w14:paraId="613429CF" w14:textId="77777777" w:rsidR="00C07777" w:rsidRDefault="00C07777" w:rsidP="00DA7922">
      <w:pPr>
        <w:spacing w:before="120" w:after="0" w:line="240" w:lineRule="auto"/>
        <w:ind w:firstLine="709"/>
        <w:jc w:val="both"/>
      </w:pPr>
      <w:r>
        <w:rPr>
          <w:b/>
          <w:bCs/>
        </w:rPr>
        <w:t>a.</w:t>
      </w:r>
      <w:r>
        <w:t xml:space="preserve"> Trình tự thực hiện:</w:t>
      </w:r>
    </w:p>
    <w:p w14:paraId="2934CBAF" w14:textId="77777777" w:rsidR="00C07777" w:rsidRDefault="00C07777" w:rsidP="00DA7922">
      <w:pPr>
        <w:spacing w:before="120" w:after="0" w:line="240" w:lineRule="auto"/>
        <w:ind w:firstLine="709"/>
        <w:jc w:val="both"/>
      </w:pPr>
      <w:r>
        <w:rPr>
          <w:i/>
          <w:iCs/>
        </w:rPr>
        <w:t>Bước 1:</w:t>
      </w:r>
      <w:r>
        <w:t xml:space="preserve"> Căn cứ thời hạn ghi nợ theo quy định tại Nghị định về bồi thường, hỗ trợ, tái định cư khi Nhà nước thu hồi đất, Nghị định về cấp giấy chứng nhận, hộ gia đình, cá nhân thực hiện thanh toán nợ tiền sử dụng đất bằng cách nộp một lần tiền sử dụng đất còn nợ vào ngân sách nhà nước theo quy định của pháp luật về quản lý thuế.</w:t>
      </w:r>
    </w:p>
    <w:p w14:paraId="6976B81C" w14:textId="77777777" w:rsidR="00C07777" w:rsidRDefault="00C07777" w:rsidP="00DA7922">
      <w:pPr>
        <w:spacing w:before="120" w:after="0" w:line="240" w:lineRule="auto"/>
        <w:ind w:firstLine="709"/>
        <w:jc w:val="both"/>
      </w:pPr>
      <w:r>
        <w:t>Cơ quan thu ngân sách nhà nước theo quy định của pháp luật về quản lý thuế có trách nhiệm thu tiền sử dụng đất còn nợ theo số nợ ghi trên Giấy chứng nhận hoặc Thông báo của cơ quan thuế và cung cấp chứng từ cho hộ gia đình, cá nhân; đồng thời chuyển thông tin về số tiền thu được của hộ gia đình, cá nhân đến các cơ quan liên quan theo quy định.</w:t>
      </w:r>
    </w:p>
    <w:p w14:paraId="0A820B94" w14:textId="77777777" w:rsidR="00C07777" w:rsidRDefault="00C07777" w:rsidP="00DA7922">
      <w:pPr>
        <w:spacing w:before="120" w:after="0" w:line="240" w:lineRule="auto"/>
        <w:ind w:firstLine="709"/>
        <w:jc w:val="both"/>
      </w:pPr>
      <w:r>
        <w:t xml:space="preserve">Cơ quan thuế ban hành Thông báo về việc xác nhận việc hoàn thành nghĩa vụ tài chính về thu tiền sử dụng đất thực hiện theo </w:t>
      </w:r>
      <w:bookmarkStart w:id="2" w:name="bieumau_ms_03_pl1_103_2024_nd_cp"/>
      <w:r>
        <w:t>Mẫu số 03 tại Phụ lục I</w:t>
      </w:r>
      <w:bookmarkEnd w:id="2"/>
      <w:r>
        <w:t xml:space="preserve"> ban hành kèm theo Nghị định này.</w:t>
      </w:r>
    </w:p>
    <w:p w14:paraId="3A02D47A" w14:textId="0EEE1A80" w:rsidR="00C07777" w:rsidRDefault="00C07777" w:rsidP="00DA7922">
      <w:pPr>
        <w:spacing w:before="120" w:after="0" w:line="240" w:lineRule="auto"/>
        <w:ind w:firstLine="709"/>
        <w:jc w:val="both"/>
      </w:pPr>
      <w:r>
        <w:rPr>
          <w:i/>
          <w:iCs/>
        </w:rPr>
        <w:t>Bước 2:</w:t>
      </w:r>
      <w:r>
        <w:t xml:space="preserve"> Người sử dụng đất nộp hồ sơ đến </w:t>
      </w:r>
      <w:bookmarkStart w:id="3" w:name="_Hlk210572877"/>
      <w:r w:rsidR="00C6419F">
        <w:t>Trung tâm Phục vụ hành chính công</w:t>
      </w:r>
      <w:bookmarkEnd w:id="3"/>
      <w:r w:rsidR="00C6419F">
        <w:t xml:space="preserve"> </w:t>
      </w:r>
      <w:r>
        <w:t>để được xóa nợ ghi trên Giấy chứng nhận.</w:t>
      </w:r>
    </w:p>
    <w:p w14:paraId="199E3081" w14:textId="77777777" w:rsidR="00C07777" w:rsidRDefault="00C07777" w:rsidP="00DA7922">
      <w:pPr>
        <w:spacing w:before="120" w:after="0" w:line="240" w:lineRule="auto"/>
        <w:ind w:firstLine="709"/>
        <w:jc w:val="both"/>
      </w:pPr>
      <w:r>
        <w:rPr>
          <w:i/>
          <w:iCs/>
        </w:rPr>
        <w:t>Bước 3:</w:t>
      </w:r>
      <w:r>
        <w:t xml:space="preserve"> Văn phòng đăng ký đất đai hoặc cơ quan có chức năng quản lý đất đai hoặc bộ phận một cửa liên thông sẽ rà soát, đối chiếu hồ sơ đã nhận để thực hiện xóa nợ ghi trên Giấy chứng nhận và trả lại Giấy chứng nhận 01 ngày làm việc.</w:t>
      </w:r>
    </w:p>
    <w:p w14:paraId="64B772B8" w14:textId="77777777" w:rsidR="00C07777" w:rsidRDefault="00C07777" w:rsidP="00DA7922">
      <w:pPr>
        <w:spacing w:before="120" w:after="0" w:line="240" w:lineRule="auto"/>
        <w:ind w:firstLine="709"/>
        <w:jc w:val="both"/>
      </w:pPr>
      <w:r>
        <w:rPr>
          <w:b/>
          <w:bCs/>
        </w:rPr>
        <w:t>b.</w:t>
      </w:r>
      <w:r>
        <w:t xml:space="preserve"> Cách thức thực hiện: Nộp hồ sơ trực tiếp hoặc qua bưu chính.</w:t>
      </w:r>
    </w:p>
    <w:p w14:paraId="6CB8DCF9" w14:textId="77777777" w:rsidR="00C07777" w:rsidRDefault="00C07777" w:rsidP="00DA7922">
      <w:pPr>
        <w:spacing w:before="120" w:after="0" w:line="240" w:lineRule="auto"/>
        <w:ind w:firstLine="709"/>
        <w:jc w:val="both"/>
      </w:pPr>
      <w:r>
        <w:rPr>
          <w:b/>
          <w:bCs/>
        </w:rPr>
        <w:t>c.</w:t>
      </w:r>
      <w:r>
        <w:t xml:space="preserve"> Thành phần, số lượng hồ sơ:</w:t>
      </w:r>
    </w:p>
    <w:p w14:paraId="0B023E63" w14:textId="5E48FDA7" w:rsidR="00C07777" w:rsidRDefault="00DA7922" w:rsidP="00DA7922">
      <w:pPr>
        <w:spacing w:before="120" w:after="0" w:line="240" w:lineRule="auto"/>
        <w:ind w:firstLine="709"/>
        <w:jc w:val="both"/>
      </w:pPr>
      <w:r>
        <w:t>*</w:t>
      </w:r>
      <w:r w:rsidR="00C07777">
        <w:t xml:space="preserve"> Thành phần hồ sơ: </w:t>
      </w:r>
      <w:r w:rsidR="00C07777">
        <w:rPr>
          <w:i/>
          <w:iCs/>
        </w:rPr>
        <w:t xml:space="preserve">(khoản 3 Điều 22 Nghị định số </w:t>
      </w:r>
      <w:bookmarkStart w:id="4" w:name="tvpllink_jjveqhwxgx_15"/>
      <w:r w:rsidR="00C07777">
        <w:rPr>
          <w:i/>
          <w:iCs/>
        </w:rPr>
        <w:t>103/2024/NĐ-CP</w:t>
      </w:r>
      <w:bookmarkEnd w:id="4"/>
      <w:r w:rsidR="00C07777">
        <w:rPr>
          <w:i/>
          <w:iCs/>
        </w:rPr>
        <w:t xml:space="preserve"> ngày 30/7/2024 của Chính phủ)</w:t>
      </w:r>
    </w:p>
    <w:p w14:paraId="70200E3D" w14:textId="77777777" w:rsidR="00C07777" w:rsidRDefault="00C07777" w:rsidP="00DA7922">
      <w:pPr>
        <w:spacing w:before="120" w:after="0" w:line="240" w:lineRule="auto"/>
        <w:ind w:firstLine="709"/>
        <w:jc w:val="both"/>
      </w:pPr>
      <w:r>
        <w:t>- Giấy chứng nhận quyền sử dụng đất (01 bản gốc).</w:t>
      </w:r>
    </w:p>
    <w:p w14:paraId="18CF35CB" w14:textId="77777777" w:rsidR="00C07777" w:rsidRDefault="00C07777" w:rsidP="00DA7922">
      <w:pPr>
        <w:spacing w:before="120" w:after="0" w:line="240" w:lineRule="auto"/>
        <w:ind w:firstLine="709"/>
        <w:jc w:val="both"/>
      </w:pPr>
      <w:r>
        <w:t>- Chứng từ nộp tiền sử dụng đất (bản gốc) hoặc Thông báo về việc xác nhận việc hoàn thành nghĩa vụ tài chính về thu tiền sử dụng đất (01 bản gốc).</w:t>
      </w:r>
    </w:p>
    <w:p w14:paraId="604F7B7E" w14:textId="494AB792" w:rsidR="00C07777" w:rsidRDefault="00DA7922" w:rsidP="00DA7922">
      <w:pPr>
        <w:spacing w:before="120" w:after="0" w:line="240" w:lineRule="auto"/>
        <w:ind w:firstLine="709"/>
        <w:jc w:val="both"/>
      </w:pPr>
      <w:r>
        <w:t>*</w:t>
      </w:r>
      <w:r w:rsidR="00C07777">
        <w:t xml:space="preserve"> Số lượng hồ sơ: 01 bộ.</w:t>
      </w:r>
    </w:p>
    <w:p w14:paraId="64418D4D" w14:textId="77777777" w:rsidR="00C07777" w:rsidRDefault="00C07777" w:rsidP="00DA7922">
      <w:pPr>
        <w:spacing w:before="120" w:after="0" w:line="240" w:lineRule="auto"/>
        <w:ind w:firstLine="709"/>
        <w:jc w:val="both"/>
      </w:pPr>
      <w:r>
        <w:rPr>
          <w:b/>
          <w:bCs/>
        </w:rPr>
        <w:t>d.</w:t>
      </w:r>
      <w:r>
        <w:t xml:space="preserve"> Thời hạn giải quyết: 01 ngày kể từ ngày nhận dù hồ sơ.</w:t>
      </w:r>
    </w:p>
    <w:p w14:paraId="41D6BED4" w14:textId="77777777" w:rsidR="00C07777" w:rsidRDefault="00C07777" w:rsidP="00DA7922">
      <w:pPr>
        <w:spacing w:before="120" w:after="0" w:line="240" w:lineRule="auto"/>
        <w:ind w:firstLine="709"/>
        <w:jc w:val="both"/>
      </w:pPr>
      <w:r>
        <w:rPr>
          <w:b/>
          <w:bCs/>
        </w:rPr>
        <w:t>đ.</w:t>
      </w:r>
      <w:r>
        <w:t xml:space="preserve"> Đối tượng thực hiện thủ tục hành chính: hộ gia đình, cá nhân là người được bố trí tái định cư.</w:t>
      </w:r>
    </w:p>
    <w:p w14:paraId="6663AE85" w14:textId="77777777" w:rsidR="00C07777" w:rsidRDefault="00C07777" w:rsidP="00DA7922">
      <w:pPr>
        <w:spacing w:before="120" w:after="0" w:line="240" w:lineRule="auto"/>
        <w:ind w:firstLine="709"/>
        <w:jc w:val="both"/>
      </w:pPr>
      <w:r>
        <w:rPr>
          <w:b/>
          <w:bCs/>
        </w:rPr>
        <w:t>e.</w:t>
      </w:r>
      <w:r>
        <w:t xml:space="preserve"> Cơ quan giải quyết thủ tục hành chính: Văn phòng đăng ký đất đai hoặc cơ quan có chức năng quản lý đất đai hoặc bộ phận một cửa liên thông.</w:t>
      </w:r>
    </w:p>
    <w:p w14:paraId="192B068D" w14:textId="77777777" w:rsidR="00C07777" w:rsidRDefault="00C07777" w:rsidP="00DA7922">
      <w:pPr>
        <w:spacing w:before="120" w:after="0" w:line="240" w:lineRule="auto"/>
        <w:ind w:firstLine="709"/>
        <w:jc w:val="both"/>
      </w:pPr>
      <w:r>
        <w:rPr>
          <w:b/>
          <w:bCs/>
        </w:rPr>
        <w:lastRenderedPageBreak/>
        <w:t>g.</w:t>
      </w:r>
      <w:r>
        <w:t xml:space="preserve"> Kết quả thực hiện thủ tục hành chính: Giấy chứng nhận quyền sử dụng đất, quyền sở hữu tài sản gắn liền với đất trong đó có nội dung về số tiền sử dụng đất đã được xóa nợ.</w:t>
      </w:r>
    </w:p>
    <w:p w14:paraId="22A707B9" w14:textId="77777777" w:rsidR="00C07777" w:rsidRDefault="00C07777" w:rsidP="00DA7922">
      <w:pPr>
        <w:spacing w:before="120" w:after="0" w:line="240" w:lineRule="auto"/>
        <w:ind w:firstLine="709"/>
        <w:jc w:val="both"/>
      </w:pPr>
      <w:r>
        <w:rPr>
          <w:b/>
          <w:bCs/>
        </w:rPr>
        <w:t>h.</w:t>
      </w:r>
      <w:r>
        <w:t xml:space="preserve"> Phí, lệ phí: Không có.</w:t>
      </w:r>
    </w:p>
    <w:p w14:paraId="7CDFF608" w14:textId="77777777" w:rsidR="00C07777" w:rsidRDefault="00C07777" w:rsidP="00DA7922">
      <w:pPr>
        <w:spacing w:before="120" w:after="0" w:line="240" w:lineRule="auto"/>
        <w:ind w:firstLine="709"/>
        <w:jc w:val="both"/>
      </w:pPr>
      <w:r>
        <w:rPr>
          <w:b/>
          <w:bCs/>
        </w:rPr>
        <w:t>i.</w:t>
      </w:r>
      <w:r>
        <w:t xml:space="preserve"> Yêu cầu, điều kiện thực hiện thủ tục hành chính: Không có.</w:t>
      </w:r>
    </w:p>
    <w:p w14:paraId="36EE8918" w14:textId="77777777" w:rsidR="00C07777" w:rsidRDefault="00C07777" w:rsidP="00DA7922">
      <w:pPr>
        <w:spacing w:before="120" w:after="0" w:line="240" w:lineRule="auto"/>
        <w:ind w:firstLine="709"/>
        <w:jc w:val="both"/>
      </w:pPr>
      <w:r>
        <w:rPr>
          <w:b/>
          <w:bCs/>
        </w:rPr>
        <w:t>k.</w:t>
      </w:r>
      <w:r>
        <w:t xml:space="preserve"> Căn cứ pháp lý của thủ tục hành chính: Nghị định số </w:t>
      </w:r>
      <w:bookmarkStart w:id="5" w:name="tvpllink_jjveqhwxgx_16"/>
      <w:r>
        <w:t>103/2024/NĐ-CP</w:t>
      </w:r>
      <w:bookmarkEnd w:id="5"/>
      <w:r>
        <w:t xml:space="preserve"> ngày 30/7/2024 của Chính phủ quy định về tiền sử dụng đất, tiền thuê đất./.</w:t>
      </w:r>
    </w:p>
    <w:p w14:paraId="7A7CAE38" w14:textId="780E1EAE" w:rsidR="00C07777" w:rsidRDefault="00C07777" w:rsidP="00DA7922">
      <w:pPr>
        <w:spacing w:before="120" w:after="0" w:line="240" w:lineRule="auto"/>
        <w:ind w:firstLine="709"/>
        <w:jc w:val="both"/>
      </w:pPr>
    </w:p>
    <w:sectPr w:rsidR="00C07777" w:rsidSect="00CA1AE1">
      <w:headerReference w:type="default" r:id="rId7"/>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FE64" w14:textId="77777777" w:rsidR="00B749EE" w:rsidRDefault="00B749EE" w:rsidP="00047127">
      <w:pPr>
        <w:spacing w:after="0" w:line="240" w:lineRule="auto"/>
      </w:pPr>
      <w:r>
        <w:separator/>
      </w:r>
    </w:p>
  </w:endnote>
  <w:endnote w:type="continuationSeparator" w:id="0">
    <w:p w14:paraId="3137B191" w14:textId="77777777" w:rsidR="00B749EE" w:rsidRDefault="00B749EE" w:rsidP="0004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1D31" w14:textId="77777777" w:rsidR="00B749EE" w:rsidRDefault="00B749EE" w:rsidP="00047127">
      <w:pPr>
        <w:spacing w:after="0" w:line="240" w:lineRule="auto"/>
      </w:pPr>
      <w:r>
        <w:separator/>
      </w:r>
    </w:p>
  </w:footnote>
  <w:footnote w:type="continuationSeparator" w:id="0">
    <w:p w14:paraId="5D388E95" w14:textId="77777777" w:rsidR="00B749EE" w:rsidRDefault="00B749EE" w:rsidP="00047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189291"/>
      <w:docPartObj>
        <w:docPartGallery w:val="Page Numbers (Top of Page)"/>
        <w:docPartUnique/>
      </w:docPartObj>
    </w:sdtPr>
    <w:sdtEndPr>
      <w:rPr>
        <w:noProof/>
      </w:rPr>
    </w:sdtEndPr>
    <w:sdtContent>
      <w:p w14:paraId="24C21F6A" w14:textId="37FF3426" w:rsidR="00047127" w:rsidRDefault="00047127" w:rsidP="0004712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4273"/>
    <w:multiLevelType w:val="hybridMultilevel"/>
    <w:tmpl w:val="06BCBB8A"/>
    <w:lvl w:ilvl="0" w:tplc="1888740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3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77"/>
    <w:rsid w:val="00047127"/>
    <w:rsid w:val="00404FBD"/>
    <w:rsid w:val="00471F4B"/>
    <w:rsid w:val="008A552B"/>
    <w:rsid w:val="00B44A37"/>
    <w:rsid w:val="00B749EE"/>
    <w:rsid w:val="00C07777"/>
    <w:rsid w:val="00C6419F"/>
    <w:rsid w:val="00CA1AE1"/>
    <w:rsid w:val="00DA7922"/>
    <w:rsid w:val="00E8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AFFA"/>
  <w15:chartTrackingRefBased/>
  <w15:docId w15:val="{115F81E4-1A1C-4967-844C-DE7857C6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777"/>
    <w:pPr>
      <w:ind w:left="720"/>
      <w:contextualSpacing/>
    </w:pPr>
  </w:style>
  <w:style w:type="paragraph" w:styleId="Header">
    <w:name w:val="header"/>
    <w:basedOn w:val="Normal"/>
    <w:link w:val="HeaderChar"/>
    <w:uiPriority w:val="99"/>
    <w:unhideWhenUsed/>
    <w:rsid w:val="00047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127"/>
  </w:style>
  <w:style w:type="paragraph" w:styleId="Footer">
    <w:name w:val="footer"/>
    <w:basedOn w:val="Normal"/>
    <w:link w:val="FooterChar"/>
    <w:uiPriority w:val="99"/>
    <w:unhideWhenUsed/>
    <w:rsid w:val="00047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2025-10-05T11:13:00Z</dcterms:created>
  <dcterms:modified xsi:type="dcterms:W3CDTF">2025-10-24T01:13:00Z</dcterms:modified>
</cp:coreProperties>
</file>