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6520"/>
        <w:gridCol w:w="8220"/>
      </w:tblGrid>
      <w:tr w:rsidR="00F075AB">
        <w:trPr>
          <w:jc w:val="center"/>
        </w:trPr>
        <w:tc>
          <w:tcPr>
            <w:tcW w:w="6520" w:type="dxa"/>
            <w:tcMar>
              <w:top w:w="0" w:type="dxa"/>
              <w:left w:w="20" w:type="dxa"/>
              <w:bottom w:w="0" w:type="dxa"/>
              <w:right w:w="20" w:type="dxa"/>
            </w:tcMar>
          </w:tcPr>
          <w:p w:rsidR="00F075AB" w:rsidRDefault="00ED0BD1" w:rsidP="009B4975">
            <w:pPr>
              <w:spacing w:line="240" w:lineRule="auto"/>
              <w:jc w:val="center"/>
            </w:pPr>
            <w:r>
              <w:rPr>
                <w:sz w:val="25"/>
              </w:rPr>
              <w:t>ỦY BAN NHÂN DÂN</w:t>
            </w:r>
            <w:r>
              <w:rPr>
                <w:sz w:val="25"/>
              </w:rPr>
              <w:br/>
              <w:t>THÀNH PHỐ HẢI PHÒNG</w:t>
            </w:r>
            <w:r>
              <w:rPr>
                <w:sz w:val="25"/>
              </w:rPr>
              <w:br/>
            </w:r>
            <w:r>
              <w:rPr>
                <w:b/>
                <w:sz w:val="25"/>
              </w:rPr>
              <w:t>SỞ NÔNG NGHIỆP VÀ MÔI TRƯỜNG</w:t>
            </w:r>
          </w:p>
        </w:tc>
        <w:tc>
          <w:tcPr>
            <w:tcW w:w="8220" w:type="dxa"/>
            <w:tcMar>
              <w:top w:w="0" w:type="dxa"/>
              <w:left w:w="20" w:type="dxa"/>
              <w:bottom w:w="0" w:type="dxa"/>
              <w:right w:w="20" w:type="dxa"/>
            </w:tcMar>
          </w:tcPr>
          <w:p w:rsidR="00F075AB" w:rsidRDefault="009B4975" w:rsidP="009B4975">
            <w:pPr>
              <w:spacing w:line="240" w:lineRule="auto"/>
              <w:jc w:val="center"/>
            </w:pPr>
            <w:r>
              <w:rPr>
                <w:b/>
                <w:noProof/>
                <w:sz w:val="25"/>
              </w:rPr>
              <mc:AlternateContent>
                <mc:Choice Requires="wps">
                  <w:drawing>
                    <wp:anchor distT="0" distB="0" distL="114300" distR="114300" simplePos="0" relativeHeight="251660288" behindDoc="0" locked="0" layoutInCell="1" allowOverlap="1">
                      <wp:simplePos x="0" y="0"/>
                      <wp:positionH relativeFrom="column">
                        <wp:posOffset>1567180</wp:posOffset>
                      </wp:positionH>
                      <wp:positionV relativeFrom="paragraph">
                        <wp:posOffset>397510</wp:posOffset>
                      </wp:positionV>
                      <wp:extent cx="2057400" cy="0"/>
                      <wp:effectExtent l="38100" t="38100" r="76200" b="95250"/>
                      <wp:wrapNone/>
                      <wp:docPr id="2" name="Straight Connector 2"/>
                      <wp:cNvGraphicFramePr/>
                      <a:graphic xmlns:a="http://schemas.openxmlformats.org/drawingml/2006/main">
                        <a:graphicData uri="http://schemas.microsoft.com/office/word/2010/wordprocessingShape">
                          <wps:wsp>
                            <wps:cNvCnPr/>
                            <wps:spPr>
                              <a:xfrm>
                                <a:off x="0" y="0"/>
                                <a:ext cx="20574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FD5CB6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3.4pt,31.3pt" to="285.4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" strokecolor="black [3213]">
                      <v:shadow on="t" color="black" opacity="24903f" origin=",.5" offset="0,.55556mm"/>
                    </v:line>
                  </w:pict>
                </mc:Fallback>
              </mc:AlternateContent>
            </w:r>
            <w:r w:rsidR="00ED0BD1">
              <w:rPr>
                <w:b/>
                <w:sz w:val="25"/>
              </w:rPr>
              <w:t>CỘNG HÒA XÃ HỘI CHỦ NGHĨA VIỆT NAM</w:t>
            </w:r>
            <w:r w:rsidR="00ED0BD1">
              <w:rPr>
                <w:b/>
                <w:sz w:val="25"/>
              </w:rPr>
              <w:br/>
            </w:r>
            <w:r w:rsidR="00ED0BD1" w:rsidRPr="009B4975">
              <w:rPr>
                <w:b/>
                <w:sz w:val="26"/>
              </w:rPr>
              <w:t>Độc lập - Tự do - Hạnh phúc</w:t>
            </w:r>
          </w:p>
        </w:tc>
      </w:tr>
      <w:tr w:rsidR="00F075AB">
        <w:trPr>
          <w:jc w:val="center"/>
        </w:trPr>
        <w:tc>
          <w:tcPr>
            <w:tcW w:w="6520" w:type="dxa"/>
            <w:tcMar>
              <w:top w:w="0" w:type="dxa"/>
              <w:left w:w="20" w:type="dxa"/>
              <w:bottom w:w="0" w:type="dxa"/>
              <w:right w:w="20" w:type="dxa"/>
            </w:tcMar>
          </w:tcPr>
          <w:p w:rsidR="00F075AB" w:rsidRPr="009B4975" w:rsidRDefault="009B4975" w:rsidP="009B4975">
            <w:pPr>
              <w:spacing w:line="240" w:lineRule="auto"/>
              <w:jc w:val="center"/>
            </w:pPr>
            <w:r>
              <w:rPr>
                <w:noProof/>
                <w:sz w:val="26"/>
              </w:rPr>
              <mc:AlternateContent>
                <mc:Choice Requires="wps">
                  <w:drawing>
                    <wp:anchor distT="0" distB="0" distL="114300" distR="114300" simplePos="0" relativeHeight="251659264" behindDoc="0" locked="0" layoutInCell="1" allowOverlap="1">
                      <wp:simplePos x="0" y="0"/>
                      <wp:positionH relativeFrom="column">
                        <wp:posOffset>1468120</wp:posOffset>
                      </wp:positionH>
                      <wp:positionV relativeFrom="paragraph">
                        <wp:posOffset>21590</wp:posOffset>
                      </wp:positionV>
                      <wp:extent cx="1019175" cy="0"/>
                      <wp:effectExtent l="38100" t="38100" r="66675" b="95250"/>
                      <wp:wrapNone/>
                      <wp:docPr id="1" name="Straight Connector 1"/>
                      <wp:cNvGraphicFramePr/>
                      <a:graphic xmlns:a="http://schemas.openxmlformats.org/drawingml/2006/main">
                        <a:graphicData uri="http://schemas.microsoft.com/office/word/2010/wordprocessingShape">
                          <wps:wsp>
                            <wps:cNvCnPr/>
                            <wps:spPr>
                              <a:xfrm>
                                <a:off x="0" y="0"/>
                                <a:ext cx="1019175"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56B8A0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6pt,1.7pt" to="195.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" strokecolor="black [3213]">
                      <v:shadow on="t" color="black" opacity="24903f" origin=",.5" offset="0,.55556mm"/>
                    </v:line>
                  </w:pict>
                </mc:Fallback>
              </mc:AlternateContent>
            </w:r>
            <w:r w:rsidR="00ED0BD1">
              <w:rPr>
                <w:sz w:val="26"/>
              </w:rPr>
              <w:br/>
            </w:r>
            <w:r w:rsidR="00ED0BD1" w:rsidRPr="009B4975">
              <w:rPr>
                <w:sz w:val="24"/>
              </w:rPr>
              <w:t>(DỰ THẢO)</w:t>
            </w:r>
          </w:p>
        </w:tc>
        <w:tc>
          <w:tcPr>
            <w:tcW w:w="8220" w:type="dxa"/>
            <w:tcMar>
              <w:top w:w="0" w:type="dxa"/>
              <w:left w:w="20" w:type="dxa"/>
              <w:bottom w:w="0" w:type="dxa"/>
              <w:right w:w="20" w:type="dxa"/>
            </w:tcMar>
          </w:tcPr>
          <w:p w:rsidR="00F075AB" w:rsidRDefault="00ED0BD1" w:rsidP="009B4975">
            <w:pPr>
              <w:spacing w:line="240" w:lineRule="auto"/>
              <w:jc w:val="center"/>
            </w:pPr>
            <w:r>
              <w:rPr>
                <w:i/>
                <w:sz w:val="26"/>
              </w:rPr>
              <w:t>Hải Phòng,</w:t>
            </w:r>
            <w:r w:rsidR="009B4975">
              <w:rPr>
                <w:i/>
                <w:sz w:val="26"/>
              </w:rPr>
              <w:t xml:space="preserve"> ngày      tháng     </w:t>
            </w:r>
            <w:r>
              <w:rPr>
                <w:i/>
                <w:sz w:val="26"/>
              </w:rPr>
              <w:t xml:space="preserve"> năm 2026</w:t>
            </w:r>
          </w:p>
        </w:tc>
      </w:tr>
    </w:tbl>
    <w:p w:rsidR="009B4975" w:rsidRDefault="009B4975">
      <w:pPr>
        <w:keepNext/>
        <w:spacing w:before="160" w:after="40"/>
        <w:jc w:val="center"/>
        <w:rPr>
          <w:b/>
          <w:sz w:val="26"/>
          <w:szCs w:val="26"/>
        </w:rPr>
      </w:pPr>
      <w:bookmarkStart w:id="0" w:name="_GoBack"/>
      <w:bookmarkEnd w:id="0"/>
    </w:p>
    <w:p w:rsidR="00F075AB" w:rsidRPr="009B4975" w:rsidRDefault="00ED0BD1">
      <w:pPr>
        <w:keepNext/>
        <w:spacing w:before="160" w:after="40"/>
        <w:jc w:val="center"/>
        <w:rPr>
          <w:sz w:val="26"/>
          <w:szCs w:val="26"/>
        </w:rPr>
      </w:pPr>
      <w:r w:rsidRPr="009B4975">
        <w:rPr>
          <w:b/>
          <w:sz w:val="26"/>
          <w:szCs w:val="26"/>
        </w:rPr>
        <w:t>BẢN SO SÁNH, THUYẾT MINH NỘI DUNG DỰ THẢO</w:t>
      </w:r>
    </w:p>
    <w:p w:rsidR="00F075AB" w:rsidRDefault="009B4975">
      <w:pPr>
        <w:keepNext/>
        <w:spacing w:after="160" w:line="252" w:lineRule="auto"/>
        <w:jc w:val="center"/>
        <w:rPr>
          <w:b/>
          <w:sz w:val="26"/>
          <w:szCs w:val="26"/>
        </w:rPr>
      </w:pPr>
      <w:r>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3112135</wp:posOffset>
                </wp:positionH>
                <wp:positionV relativeFrom="paragraph">
                  <wp:posOffset>429260</wp:posOffset>
                </wp:positionV>
                <wp:extent cx="1771650" cy="0"/>
                <wp:effectExtent l="38100" t="38100" r="76200" b="95250"/>
                <wp:wrapNone/>
                <wp:docPr id="3" name="Straight Connector 3"/>
                <wp:cNvGraphicFramePr/>
                <a:graphic xmlns:a="http://schemas.openxmlformats.org/drawingml/2006/main">
                  <a:graphicData uri="http://schemas.microsoft.com/office/word/2010/wordprocessingShape">
                    <wps:wsp>
                      <wps:cNvCnPr/>
                      <wps:spPr>
                        <a:xfrm>
                          <a:off x="0" y="0"/>
                          <a:ext cx="177165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A6B401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5.05pt,33.8pt" to="384.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" strokecolor="black [3213]">
                <v:shadow on="t" color="black" opacity="24903f" origin=",.5" offset="0,.55556mm"/>
              </v:line>
            </w:pict>
          </mc:Fallback>
        </mc:AlternateContent>
      </w:r>
      <w:r w:rsidR="00ED0BD1" w:rsidRPr="009B4975">
        <w:rPr>
          <w:b/>
          <w:sz w:val="26"/>
          <w:szCs w:val="26"/>
        </w:rPr>
        <w:t xml:space="preserve">Quyết định ban hành Quy định cơ cấu tổ chức, nguồn </w:t>
      </w:r>
      <w:r w:rsidR="00ED0BD1" w:rsidRPr="009B4975">
        <w:rPr>
          <w:b/>
          <w:sz w:val="26"/>
          <w:szCs w:val="26"/>
        </w:rPr>
        <w:t>kinh phí và chế độ thù lao đối với lực lượng quản lý đê nhân dân; mức thù lao đối với lực lượng tuần tra, canh gác bảo vệ đê điều trong mùa lũ trên địa bàn thành phố Hải Phòng</w:t>
      </w:r>
    </w:p>
    <w:p w:rsidR="009B4975" w:rsidRPr="009B4975" w:rsidRDefault="009B4975">
      <w:pPr>
        <w:keepNext/>
        <w:spacing w:after="160" w:line="252" w:lineRule="auto"/>
        <w:jc w:val="center"/>
        <w:rPr>
          <w:sz w:val="26"/>
          <w:szCs w:val="26"/>
        </w:rPr>
      </w:pPr>
    </w:p>
    <w:p w:rsidR="00F075AB" w:rsidRPr="009B4975" w:rsidRDefault="00ED0BD1">
      <w:pPr>
        <w:spacing w:after="120"/>
        <w:ind w:firstLine="454"/>
        <w:jc w:val="both"/>
        <w:rPr>
          <w:sz w:val="26"/>
          <w:szCs w:val="26"/>
        </w:rPr>
      </w:pPr>
      <w:r w:rsidRPr="009B4975">
        <w:rPr>
          <w:sz w:val="26"/>
          <w:szCs w:val="26"/>
        </w:rPr>
        <w:t>Văn bản đối chiếu: Quyết định số 684/2011/QĐ-UBND ngày 06/5/2011 của Ủy ban nhân</w:t>
      </w:r>
      <w:r w:rsidRPr="009B4975">
        <w:rPr>
          <w:sz w:val="26"/>
          <w:szCs w:val="26"/>
        </w:rPr>
        <w:t xml:space="preserve"> dân thành phố Hải Phòng; Quyết định số 10/2019/QĐ-UBND ngày 11/4/2019 của Ủy ban nhân dân tỉnh Hải Dương; các quy định pháp luật hiện hành có liên quan.</w:t>
      </w:r>
    </w:p>
    <w:tbl>
      <w:tblPr>
        <w:tblW w:w="1404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81"/>
        <w:gridCol w:w="2217"/>
        <w:gridCol w:w="3748"/>
        <w:gridCol w:w="3801"/>
        <w:gridCol w:w="3696"/>
      </w:tblGrid>
      <w:tr w:rsidR="009B4975" w:rsidRPr="009B4975" w:rsidTr="009B4975">
        <w:trPr>
          <w:cantSplit/>
          <w:trHeight w:val="240"/>
          <w:jc w:val="center"/>
        </w:trPr>
        <w:tc>
          <w:tcPr>
            <w:tcW w:w="581" w:type="dxa"/>
            <w:tcMar>
              <w:top w:w="60" w:type="dxa"/>
              <w:left w:w="70" w:type="dxa"/>
              <w:bottom w:w="60" w:type="dxa"/>
              <w:right w:w="70" w:type="dxa"/>
            </w:tcMar>
            <w:vAlign w:val="center"/>
          </w:tcPr>
          <w:p w:rsidR="009B4975" w:rsidRPr="009B4975" w:rsidRDefault="009B4975" w:rsidP="009B4975">
            <w:pPr>
              <w:spacing w:line="252" w:lineRule="auto"/>
              <w:jc w:val="center"/>
              <w:rPr>
                <w:rFonts w:cs="Times New Roman"/>
                <w:sz w:val="20"/>
                <w:szCs w:val="20"/>
              </w:rPr>
            </w:pPr>
            <w:r w:rsidRPr="009B4975">
              <w:rPr>
                <w:rFonts w:cs="Times New Roman"/>
                <w:b/>
                <w:sz w:val="20"/>
                <w:szCs w:val="20"/>
              </w:rPr>
              <w:t>STT</w:t>
            </w:r>
          </w:p>
        </w:tc>
        <w:tc>
          <w:tcPr>
            <w:tcW w:w="2217" w:type="dxa"/>
            <w:tcMar>
              <w:top w:w="60" w:type="dxa"/>
              <w:left w:w="70" w:type="dxa"/>
              <w:bottom w:w="60" w:type="dxa"/>
              <w:right w:w="70" w:type="dxa"/>
            </w:tcMar>
            <w:vAlign w:val="center"/>
          </w:tcPr>
          <w:p w:rsidR="009B4975" w:rsidRPr="009B4975" w:rsidRDefault="009B4975" w:rsidP="009B4975">
            <w:pPr>
              <w:spacing w:line="252" w:lineRule="auto"/>
              <w:jc w:val="center"/>
              <w:rPr>
                <w:rFonts w:cs="Times New Roman"/>
                <w:sz w:val="20"/>
                <w:szCs w:val="20"/>
              </w:rPr>
            </w:pPr>
            <w:r w:rsidRPr="009B4975">
              <w:rPr>
                <w:rFonts w:cs="Times New Roman"/>
                <w:b/>
                <w:sz w:val="20"/>
                <w:szCs w:val="20"/>
              </w:rPr>
              <w:t>Nội dung so sánh</w:t>
            </w:r>
          </w:p>
        </w:tc>
        <w:tc>
          <w:tcPr>
            <w:tcW w:w="3748" w:type="dxa"/>
            <w:tcMar>
              <w:top w:w="60" w:type="dxa"/>
              <w:left w:w="70" w:type="dxa"/>
              <w:bottom w:w="60" w:type="dxa"/>
              <w:right w:w="70" w:type="dxa"/>
            </w:tcMar>
            <w:vAlign w:val="center"/>
          </w:tcPr>
          <w:p w:rsidR="009B4975" w:rsidRPr="009B4975" w:rsidRDefault="009B4975" w:rsidP="009B4975">
            <w:pPr>
              <w:spacing w:line="252" w:lineRule="auto"/>
              <w:jc w:val="center"/>
              <w:rPr>
                <w:rFonts w:cs="Times New Roman"/>
                <w:sz w:val="20"/>
                <w:szCs w:val="20"/>
              </w:rPr>
            </w:pPr>
            <w:r w:rsidRPr="009B4975">
              <w:rPr>
                <w:rFonts w:cs="Times New Roman"/>
                <w:b/>
                <w:sz w:val="20"/>
                <w:szCs w:val="20"/>
              </w:rPr>
              <w:t>Quy định hiện hành/đang áp dụng</w:t>
            </w:r>
          </w:p>
        </w:tc>
        <w:tc>
          <w:tcPr>
            <w:tcW w:w="3801" w:type="dxa"/>
            <w:tcMar>
              <w:top w:w="60" w:type="dxa"/>
              <w:left w:w="70" w:type="dxa"/>
              <w:bottom w:w="60" w:type="dxa"/>
              <w:right w:w="70" w:type="dxa"/>
            </w:tcMar>
            <w:vAlign w:val="center"/>
          </w:tcPr>
          <w:p w:rsidR="009B4975" w:rsidRPr="009B4975" w:rsidRDefault="009B4975" w:rsidP="009B4975">
            <w:pPr>
              <w:spacing w:line="252" w:lineRule="auto"/>
              <w:jc w:val="center"/>
              <w:rPr>
                <w:rFonts w:cs="Times New Roman"/>
                <w:sz w:val="20"/>
                <w:szCs w:val="20"/>
              </w:rPr>
            </w:pPr>
            <w:r w:rsidRPr="009B4975">
              <w:rPr>
                <w:rFonts w:cs="Times New Roman"/>
                <w:b/>
                <w:sz w:val="20"/>
                <w:szCs w:val="20"/>
              </w:rPr>
              <w:t>Nội dung dự thảo</w:t>
            </w:r>
          </w:p>
        </w:tc>
        <w:tc>
          <w:tcPr>
            <w:tcW w:w="3696" w:type="dxa"/>
            <w:tcMar>
              <w:top w:w="60" w:type="dxa"/>
              <w:left w:w="70" w:type="dxa"/>
              <w:bottom w:w="60" w:type="dxa"/>
              <w:right w:w="70" w:type="dxa"/>
            </w:tcMar>
            <w:vAlign w:val="center"/>
          </w:tcPr>
          <w:p w:rsidR="009B4975" w:rsidRPr="009B4975" w:rsidRDefault="009B4975" w:rsidP="009B4975">
            <w:pPr>
              <w:spacing w:line="252" w:lineRule="auto"/>
              <w:jc w:val="center"/>
              <w:rPr>
                <w:rFonts w:cs="Times New Roman"/>
                <w:sz w:val="20"/>
                <w:szCs w:val="20"/>
              </w:rPr>
            </w:pPr>
            <w:r w:rsidRPr="009B4975">
              <w:rPr>
                <w:rFonts w:cs="Times New Roman"/>
                <w:b/>
                <w:sz w:val="20"/>
                <w:szCs w:val="20"/>
              </w:rPr>
              <w:t>Thuyết minh, lý do sửa đổi, bổ sung</w:t>
            </w:r>
          </w:p>
        </w:tc>
      </w:tr>
      <w:tr w:rsidR="00F075AB" w:rsidRPr="009B4975" w:rsidTr="009B4975">
        <w:trPr>
          <w:cantSplit/>
          <w:trHeight w:val="1305"/>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Tên gọi, phạm vi điều chỉnh</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Quyết định số 684/2011/QĐ-UBND chỉ quy định về tổ chức, hoạt động và chế độ chính sách của lực lượng quản lý đê nhân dân trên địa bàn Hải Phòng cũ. Quyết định số 10/2019/QĐ-UBND chỉ quy định mức thù lao và nguồn kinh phí </w:t>
            </w:r>
            <w:r w:rsidRPr="009B4975">
              <w:rPr>
                <w:rFonts w:cs="Times New Roman"/>
                <w:sz w:val="20"/>
                <w:szCs w:val="20"/>
              </w:rPr>
              <w:t>đối với lực lượng tuần tra, canh gác đê trên địa bàn Hải Dương cũ.</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Điều 1 Quy định kèm theo: điều chỉnh đồng thời cơ cấu tổ chức, nhiệm vụ, chế độ báo cáo, nguồn kinh phí, chế độ thù lao đối với lực lượng quản lý đê nhân dân và mức thù lao, nguồn kinh phí </w:t>
            </w:r>
            <w:r w:rsidRPr="009B4975">
              <w:rPr>
                <w:rFonts w:cs="Times New Roman"/>
                <w:sz w:val="20"/>
                <w:szCs w:val="20"/>
              </w:rPr>
              <w:t>đối với lực lượng tuần tra, canh gác đê trên toàn địa bàn thành phố Hải Phòng.</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Hợp nhất hai nhóm nội dung có liên quan vào một văn bản; bảo đảm thống nhất chính sách sau sắp xếp đơn vị hành chính, khắc phục tình trạng mỗi khu vực áp dụng một cơ chế khác nh</w:t>
            </w:r>
            <w:r w:rsidRPr="009B4975">
              <w:rPr>
                <w:rFonts w:cs="Times New Roman"/>
                <w:sz w:val="20"/>
                <w:szCs w:val="20"/>
              </w:rPr>
              <w:t>au.</w:t>
            </w:r>
          </w:p>
        </w:tc>
      </w:tr>
      <w:tr w:rsidR="00F075AB" w:rsidRPr="009B4975" w:rsidTr="009B4975">
        <w:trPr>
          <w:cantSplit/>
          <w:trHeight w:val="1305"/>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2</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Đối tượng áp dụng</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Quyết định số 684/2011/QĐ-UBND quy định chung đối với lực lượng quản lý đê nhân dân và cơ quan, địa phương có liên quan. Quyết định số 10/2019/QĐ-UBND áp dụng đối với người lao động không hưởng lương từ ngân sách nhà nước được Ủy </w:t>
            </w:r>
            <w:r w:rsidRPr="009B4975">
              <w:rPr>
                <w:rFonts w:cs="Times New Roman"/>
                <w:sz w:val="20"/>
                <w:szCs w:val="20"/>
              </w:rPr>
              <w:t>ban nhân dân cấp xã huy động tuần tra, canh gác đê.</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Điều 2: quy định cụ thể các sở, ngành; Ủy ban nhân dân xã, phường, đặc khu có đê; lực lượng quản lý đê nhân dân; người tham gia tuần tra, canh gác theo quyết định thành lập, huy động và tổ chức, cá nhân </w:t>
            </w:r>
            <w:r w:rsidRPr="009B4975">
              <w:rPr>
                <w:rFonts w:cs="Times New Roman"/>
                <w:sz w:val="20"/>
                <w:szCs w:val="20"/>
              </w:rPr>
              <w:t>liên quan.</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Làm rõ đầy đủ chủ thể chịu tác động và chủ thể có trách nhiệm tổ chức thực hiện; phù hợp mô hình chính quyền địa phương hai cấp.</w:t>
            </w:r>
          </w:p>
        </w:tc>
      </w:tr>
      <w:tr w:rsidR="00F075AB" w:rsidRPr="009B4975" w:rsidTr="009B4975">
        <w:trPr>
          <w:cantSplit/>
          <w:trHeight w:val="108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3</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Nguyên tắc thực hiện</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Hai Quyết định cũ chưa có điều riêng quy định nguyên tắc tổ chức, quản lý lực lượng và chi t</w:t>
            </w:r>
            <w:r w:rsidRPr="009B4975">
              <w:rPr>
                <w:rFonts w:cs="Times New Roman"/>
                <w:sz w:val="20"/>
                <w:szCs w:val="20"/>
              </w:rPr>
              <w:t>rả thù lao.</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3: bổ sung nguyên tắc tuân thủ pháp luật về đê điều, phòng, chống thiên tai, ngân sách; tổ chức, quản lý theo pháp luật chuyên ngành; chi trả đúng đối tượng, đúng thời gian thực tế, công khai, minh bạch và đủ hồ sơ, chứng từ.</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Tăng tính min</w:t>
            </w:r>
            <w:r w:rsidRPr="009B4975">
              <w:rPr>
                <w:rFonts w:cs="Times New Roman"/>
                <w:sz w:val="20"/>
                <w:szCs w:val="20"/>
              </w:rPr>
              <w:t>h bạch, khả thi; tạo căn cứ kiểm tra, thanh toán, quyết toán và phòng ngừa chi sai, chi trùng.</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lastRenderedPageBreak/>
              <w:t>4</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Thẩm quyền thành lập lực lượng quản lý đê nhân dân</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684/2011/QĐ-UBND giao Ủy ban nhân dân cấp xã tuyển dụng, quyết định người làm quản lý đê nhân</w:t>
            </w:r>
            <w:r w:rsidRPr="009B4975">
              <w:rPr>
                <w:rFonts w:cs="Times New Roman"/>
                <w:sz w:val="20"/>
                <w:szCs w:val="20"/>
              </w:rPr>
              <w:t xml:space="preserve"> dân thông qua hợp đồng lao động một năm.</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1 Điều 4: lực lượng quản lý đê nhân dân do Ủy ban nhân dân thành phố thành lập; tổ chức theo địa bàn xã, phường, đặc khu ven đê; do Ủy ban nhân dân cấp xã trực tiếp quản lý.</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Cập nhật khoản 3 Điều 37 Luật Đê đ</w:t>
            </w:r>
            <w:r w:rsidRPr="009B4975">
              <w:rPr>
                <w:rFonts w:cs="Times New Roman"/>
                <w:sz w:val="20"/>
                <w:szCs w:val="20"/>
              </w:rPr>
              <w:t>iều sau sửa đổi; phân biệt rõ thẩm quyền thành lập của cấp tỉnh và trách nhiệm quản lý trực tiếp của cấp xã.</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5</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Định mức bố trí nhân viên</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5 Quy định kèm theo Quyết định số 684/2011/QĐ-UBND: mỗi nhân viên quản lý đê quản lý trung bình 03 km đê.</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2</w:t>
            </w:r>
            <w:r w:rsidRPr="009B4975">
              <w:rPr>
                <w:rFonts w:cs="Times New Roman"/>
                <w:sz w:val="20"/>
                <w:szCs w:val="20"/>
              </w:rPr>
              <w:t xml:space="preserve"> Điều 4: tiếp tục quy định bình quân 03 km/người; cho phép bố trí thấp hơn tại khu vực xung yếu, trọng điểm, có nhiều cống, kè hoặc yêu cầu quản lý đặc thù.</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Kế thừa định mức đã áp dụng ổn định, đồng thời bổ sung tính linh hoạt để phản ánh đúng mức độ phức </w:t>
            </w:r>
            <w:r w:rsidRPr="009B4975">
              <w:rPr>
                <w:rFonts w:cs="Times New Roman"/>
                <w:sz w:val="20"/>
                <w:szCs w:val="20"/>
              </w:rPr>
              <w:t>tạp, mật độ công trình và yêu cầu quản lý thực tế.</w:t>
            </w:r>
          </w:p>
        </w:tc>
      </w:tr>
      <w:tr w:rsidR="00F075AB" w:rsidRPr="009B4975" w:rsidTr="009B4975">
        <w:trPr>
          <w:cantSplit/>
          <w:trHeight w:val="108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6</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Rà soát, kiện toàn hằng năm</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684/2011/QĐ-UBND chưa quy định thời điểm rà soát, quy trình tổng hợp, trình thành lập, kiện toàn hoặc thay thế nhân viên trong năm.</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Khoản 3, khoản 4 Điều 4: </w:t>
            </w:r>
            <w:r w:rsidRPr="009B4975">
              <w:rPr>
                <w:rFonts w:cs="Times New Roman"/>
                <w:sz w:val="20"/>
                <w:szCs w:val="20"/>
              </w:rPr>
              <w:t>trước ngày 15/6 hằng năm, cấp xã rà soát, lập danh sách gửi Sở Nông nghiệp và Môi trường tổng hợp, báo cáo Ủy ban nhân dân thành phố; trường hợp cần thay thế, bổ sung trong năm thực hiện theo quy trình tương tự.</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Bảo đảm lực lượng được kiện toàn trước mùa l</w:t>
            </w:r>
            <w:r w:rsidRPr="009B4975">
              <w:rPr>
                <w:rFonts w:cs="Times New Roman"/>
                <w:sz w:val="20"/>
                <w:szCs w:val="20"/>
              </w:rPr>
              <w:t>ũ, có quy trình rõ ràng và phù hợp thẩm quyền mới.</w:t>
            </w:r>
          </w:p>
        </w:tc>
      </w:tr>
      <w:tr w:rsidR="00F075AB" w:rsidRPr="009B4975" w:rsidTr="009B4975">
        <w:trPr>
          <w:cantSplit/>
          <w:trHeight w:val="1095"/>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7</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Tiêu chuẩn nhân viên quản lý đê nhân dân</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6 Quyết định số 684/2011/QĐ-UBND quy định độ tuổi khác nhau giữa nam và nữ, có trường hợp từ 15 tuổi; yêu cầu trình độ phổ thông cơ sở và tuyển dụng theo hợ</w:t>
            </w:r>
            <w:r w:rsidRPr="009B4975">
              <w:rPr>
                <w:rFonts w:cs="Times New Roman"/>
                <w:sz w:val="20"/>
                <w:szCs w:val="20"/>
              </w:rPr>
              <w:t>p đồng lao động.</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5: là công dân Việt Nam; cư trú tại địa phương hoặc am hiểu địa bàn; có sức khỏe, tinh thần trách nhiệm, khả năng thực hiện nhiệm vụ; hiểu biết pháp luật; tự nguyện và chấp hành phân công, hướng dẫn chuyên môn.</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Bỏ điều kiện tuổi, giới</w:t>
            </w:r>
            <w:r w:rsidRPr="009B4975">
              <w:rPr>
                <w:rFonts w:cs="Times New Roman"/>
                <w:sz w:val="20"/>
                <w:szCs w:val="20"/>
              </w:rPr>
              <w:t xml:space="preserve"> tính, hợp đồng lao động không còn phù hợp; chuyển sang tiêu chuẩn về năng lực, sức khỏe, trách nhiệm và hiểu biết địa bàn, bảo đảm khả thi và bình đẳng.</w:t>
            </w:r>
          </w:p>
        </w:tc>
      </w:tr>
      <w:tr w:rsidR="00F075AB" w:rsidRPr="009B4975" w:rsidTr="009B4975">
        <w:trPr>
          <w:cantSplit/>
          <w:trHeight w:val="108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8</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Nhiệm vụ của nhân viên quản lý đê nhân dân</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4 Quyết định số 684/2011/QĐ-UBND liệt kê chi tiết n</w:t>
            </w:r>
            <w:r w:rsidRPr="009B4975">
              <w:rPr>
                <w:rFonts w:cs="Times New Roman"/>
                <w:sz w:val="20"/>
                <w:szCs w:val="20"/>
              </w:rPr>
              <w:t>hiệm vụ: kiểm tra, phát hiện, báo cáo hư hỏng, sự cố; ngăn chặn vi phạm; lập biên bản, kiến nghị xử lý; tuyên truyền; tham gia phương án hộ đê; bảo vệ cơ sở vật chất và phối hợp các lực lượng.</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6 dẫn chiếu thực hiện nhiệm vụ, quyền hạn theo Điều 41 Luậ</w:t>
            </w:r>
            <w:r w:rsidRPr="009B4975">
              <w:rPr>
                <w:rFonts w:cs="Times New Roman"/>
                <w:sz w:val="20"/>
                <w:szCs w:val="20"/>
              </w:rPr>
              <w:t>t Đê điều và Điều 3 Thông tư số 26/2009/TT-BNN đã được sửa đổi, bổ sung.</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Hạn chế lặp lại quy định của văn bản cấp trên; bảo đảm tự động cập nhật khi quy định chuyên ngành được sửa đổi và giữ văn bản địa phương ngắn gọn, ổn định.</w:t>
            </w:r>
          </w:p>
        </w:tc>
      </w:tr>
      <w:tr w:rsidR="00F075AB" w:rsidRPr="009B4975" w:rsidTr="009B4975">
        <w:trPr>
          <w:cantSplit/>
          <w:trHeight w:val="66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9</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Chế độ thông tin, báo </w:t>
            </w:r>
            <w:r w:rsidRPr="009B4975">
              <w:rPr>
                <w:rFonts w:cs="Times New Roman"/>
                <w:sz w:val="20"/>
                <w:szCs w:val="20"/>
              </w:rPr>
              <w:t>cáo</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7 Quyết định số 684/2011/QĐ-UBND quy định khá chi tiết chế độ báo cáo thường xuyên, báo cáo sự cố, vi phạm và nội dung báo cáo.</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7 dẫn chiếu Điều 4 Thông tư số 26/2009/TT-BNN đã được sửa đổi, bổ sung.</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Tránh trùng lặp, mâu thuẫn với văn bản cấp</w:t>
            </w:r>
            <w:r w:rsidRPr="009B4975">
              <w:rPr>
                <w:rFonts w:cs="Times New Roman"/>
                <w:sz w:val="20"/>
                <w:szCs w:val="20"/>
              </w:rPr>
              <w:t xml:space="preserve"> trên; tạo thuận lợi cập nhật chế độ báo cáo khi pháp luật chuyên ngành thay đổi.</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10</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Mức thù lao nhân viên quản lý đê nhân dân</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Điểm a khoản 2 Điều 8 Quyết định số 684/2011/QĐ-UBND: bằng 0,5 mức lương tối thiểu chung/người/tháng.</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2 Điều 8: bằng 01 lầ</w:t>
            </w:r>
            <w:r w:rsidRPr="009B4975">
              <w:rPr>
                <w:rFonts w:cs="Times New Roman"/>
                <w:sz w:val="20"/>
                <w:szCs w:val="20"/>
              </w:rPr>
              <w:t>n mức lương cơ sở/người/tháng.</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Tăng mức thù lao để phù hợp khối lượng, tính thường xuyên của nhiệm vụ và mặt bằng thu nhập; gắn với mức lương cơ sở để tự điều chỉnh khi chính sách tiền lương thay đổi.</w:t>
            </w:r>
          </w:p>
        </w:tc>
      </w:tr>
      <w:tr w:rsidR="00F075AB" w:rsidRPr="009B4975" w:rsidTr="009B4975">
        <w:trPr>
          <w:cantSplit/>
          <w:trHeight w:val="108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lastRenderedPageBreak/>
              <w:t>11</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Thù lao kiêm nhiệm</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Khoản 3 Điều 8 Quyết định số </w:t>
            </w:r>
            <w:r w:rsidRPr="009B4975">
              <w:rPr>
                <w:rFonts w:cs="Times New Roman"/>
                <w:sz w:val="20"/>
                <w:szCs w:val="20"/>
              </w:rPr>
              <w:t>684/2011/QĐ-UBND: cán bộ không chuyên trách cấp xã kiêm nhiệm được hưởng 50% mức thù lao.</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Khoản 3 Điều 8: người đang hưởng phụ cấp hoặc thù lao từ ngân sách do đảm nhiệm chức danh không chuyên trách ở cấp xã, thôn, tổ dân phố mà kiêm nhiệm quản lý đê nhân </w:t>
            </w:r>
            <w:r w:rsidRPr="009B4975">
              <w:rPr>
                <w:rFonts w:cs="Times New Roman"/>
                <w:sz w:val="20"/>
                <w:szCs w:val="20"/>
              </w:rPr>
              <w:t>dân được hưởng 50% mức thù lao.</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Kế thừa tỷ lệ 50%; cập nhật đối tượng, thuật ngữ và mô hình tổ chức hiện hành; hạn chế chi trùng nhưng vẫn khuyến khích người am hiểu địa bàn tham gia.</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12</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Chi trả theo kết quả thực hiện nhiệm vụ</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Quyết định số </w:t>
            </w:r>
            <w:r w:rsidRPr="009B4975">
              <w:rPr>
                <w:rFonts w:cs="Times New Roman"/>
                <w:sz w:val="20"/>
                <w:szCs w:val="20"/>
              </w:rPr>
              <w:t>684/2011/QĐ-UBND chủ yếu quy định xử lý kỷ luật theo hợp đồng lao động, chưa quy định rõ nguyên tắc giảm hoặc không chi trả khi nhiệm vụ không được thực hiện đầy đủ.</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4 Điều 8: cấp xã căn cứ thời gian, khối lượng và mức độ hoàn thành để chi trả; vi ph</w:t>
            </w:r>
            <w:r w:rsidRPr="009B4975">
              <w:rPr>
                <w:rFonts w:cs="Times New Roman"/>
                <w:sz w:val="20"/>
                <w:szCs w:val="20"/>
              </w:rPr>
              <w:t>ạm nghiêm trọng thì đề nghị thay thế, chấm dứt tham gia lực lượng.</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Gắn chi ngân sách với kết quả thực tế; tăng trách nhiệm, khắc phục hạn chế của cơ chế chi trả bình quân.</w:t>
            </w:r>
          </w:p>
        </w:tc>
      </w:tr>
      <w:tr w:rsidR="00F075AB" w:rsidRPr="009B4975" w:rsidTr="009B4975">
        <w:trPr>
          <w:cantSplit/>
          <w:trHeight w:val="1095"/>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13</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Nguồn kinh phí lực lượng quản lý đê nhân dân</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1 Điều 8 Quyết định số 684/20</w:t>
            </w:r>
            <w:r w:rsidRPr="009B4975">
              <w:rPr>
                <w:rFonts w:cs="Times New Roman"/>
                <w:sz w:val="20"/>
                <w:szCs w:val="20"/>
              </w:rPr>
              <w:t>11/QĐ-UBND quy định cấp huyện cân đối từ Quỹ phòng, chống lụt, bão và ngân sách cấp huyện, giao cấp xã chi trả.</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9: thực hiện theo quy định hiện hành của Thông tư số 26/2009/TT-BNN đã sửa đổi; cấp xã lập dự toán, gửi cấp có thẩm quyền tổng hợp, bố trí;</w:t>
            </w:r>
            <w:r w:rsidRPr="009B4975">
              <w:rPr>
                <w:rFonts w:cs="Times New Roman"/>
                <w:sz w:val="20"/>
                <w:szCs w:val="20"/>
              </w:rPr>
              <w:t xml:space="preserve"> quản lý, quyết toán theo pháp luật ngân sách, Quỹ phòng, chống thiên tai.</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Cập nhật tên quỹ, mô hình chính quyền hai cấp và quy định tài chính hiện hành; tránh giữ cơ chế ngân sách cấp huyện đã không còn phù hợp.</w:t>
            </w:r>
          </w:p>
        </w:tc>
      </w:tr>
      <w:tr w:rsidR="00F075AB" w:rsidRPr="009B4975" w:rsidTr="009B4975">
        <w:trPr>
          <w:cantSplit/>
          <w:trHeight w:val="108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14</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Đối tượng, điều kiện hưởng thù lao tuần</w:t>
            </w:r>
            <w:r w:rsidRPr="009B4975">
              <w:rPr>
                <w:rFonts w:cs="Times New Roman"/>
                <w:sz w:val="20"/>
                <w:szCs w:val="20"/>
              </w:rPr>
              <w:t xml:space="preserve"> tra, canh gác</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10/2019/QĐ-UBND: người lao động không hưởng lương từ ngân sách, được cấp xã thành lập, huy động khi có báo động lũ từ cấp I trở lên đối với tuyến sông có đê.</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10: người được tổ chức, huy động và thực hiện nhiệm vụ theo khoả</w:t>
            </w:r>
            <w:r w:rsidRPr="009B4975">
              <w:rPr>
                <w:rFonts w:cs="Times New Roman"/>
                <w:sz w:val="20"/>
                <w:szCs w:val="20"/>
              </w:rPr>
              <w:t>n 2 Điều 24 Luật Đê điều và Thông tư số 01/2009/TT-BNN đã sửa đổi; thời gian chi trả căn cứ bảng phân công, sổ trực, nhật ký, xác nhận của đội trưởng và cấp xã.</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Dẫn chiếu đúng điều kiện huy động theo luật; bổ sung hồ sơ chứng minh thời gian thực tế để bảo </w:t>
            </w:r>
            <w:r w:rsidRPr="009B4975">
              <w:rPr>
                <w:rFonts w:cs="Times New Roman"/>
                <w:sz w:val="20"/>
                <w:szCs w:val="20"/>
              </w:rPr>
              <w:t>đảm kiểm soát chi.</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15</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Mức thù lao ca ban ngày</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10/2019/QĐ-UBND: 126.000 đồng/người/ca 12 giờ.</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1 Điều 11: bằng 02 lần mức ngày công lao động trung bình; mức ngày công bằng mức lương cơ sở chia 26 ngày. Với mức lương cơ sở 2.530.000 đồng,</w:t>
            </w:r>
            <w:r w:rsidRPr="009B4975">
              <w:rPr>
                <w:rFonts w:cs="Times New Roman"/>
                <w:sz w:val="20"/>
                <w:szCs w:val="20"/>
              </w:rPr>
              <w:t xml:space="preserve"> tương đương khoảng 194.615 đồng/người/ca.</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chỉnh tăng phù hợp thời gian 12 giờ, điều kiện mưa lũ và mặt bằng thu nhập; công thức gắn mức lương cơ sở giúp chính sách ổn định, không phải sửa số tiền cố định.</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16</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Mức thù lao ca ban đêm</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Quyết định số </w:t>
            </w:r>
            <w:r w:rsidRPr="009B4975">
              <w:rPr>
                <w:rFonts w:cs="Times New Roman"/>
                <w:sz w:val="20"/>
                <w:szCs w:val="20"/>
              </w:rPr>
              <w:t>10/2019/QĐ-UBND: bằng 150% ca ban ngày, tương đương 189.000 đồng/người/ca 12 giờ (18 giờ đến 06 giờ).</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2 Điều 11: bằng 03 lần mức ngày công lao động trung bình; với mức lương cơ sở 2.530.000 đồng, tương đương khoảng 291.923 đồng/người/ca.</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Tiếp tục giữ</w:t>
            </w:r>
            <w:r w:rsidRPr="009B4975">
              <w:rPr>
                <w:rFonts w:cs="Times New Roman"/>
                <w:sz w:val="20"/>
                <w:szCs w:val="20"/>
              </w:rPr>
              <w:t xml:space="preserve"> tỷ lệ ca đêm bằng 150% ca ngày, đồng thời nâng mức nền và gắn với mức lương cơ sở; phản ánh điều kiện làm việc ban đêm, nguy hiểm và khó huy động.</w:t>
            </w:r>
          </w:p>
        </w:tc>
      </w:tr>
      <w:tr w:rsidR="00F075AB" w:rsidRPr="009B4975" w:rsidTr="009B4975">
        <w:trPr>
          <w:cantSplit/>
          <w:trHeight w:val="435"/>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17</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Ca làm việc dưới 12 giờ</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10/2019/QĐ-UBND chưa quy định cách tính khi thời gian thực tế ít h</w:t>
            </w:r>
            <w:r w:rsidRPr="009B4975">
              <w:rPr>
                <w:rFonts w:cs="Times New Roman"/>
                <w:sz w:val="20"/>
                <w:szCs w:val="20"/>
              </w:rPr>
              <w:t>ơn 12 giờ.</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4 Điều 11: tính tương ứng theo thời gian thực tế tham gia trên cơ sở mức ca ngày hoặc ca đêm.</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Bảo đảm chi đúng thời gian, tránh phải vận dụng hoặc thanh toán trọn ca khi không đủ 12 giờ.</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18</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Nguyên tắc không chi trùng</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Quyết định số </w:t>
            </w:r>
            <w:r w:rsidRPr="009B4975">
              <w:rPr>
                <w:rFonts w:cs="Times New Roman"/>
                <w:sz w:val="20"/>
                <w:szCs w:val="20"/>
              </w:rPr>
              <w:t>10/2019/QĐ-UBND chưa quy định trường hợp người tham gia đồng thời thuộc đối tượng hưởng chế độ khác trong ứng phó thiên tai, cứu hộ, cứu nạn.</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5 Điều 11: thực hiện theo pháp luật hiện hành, không chi trùng cho cùng thời gian, cùng nhiệm vụ.</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Bảo đảm kỷ</w:t>
            </w:r>
            <w:r w:rsidRPr="009B4975">
              <w:rPr>
                <w:rFonts w:cs="Times New Roman"/>
                <w:sz w:val="20"/>
                <w:szCs w:val="20"/>
              </w:rPr>
              <w:t xml:space="preserve"> luật ngân sách, thống nhất với các chế độ huy động lực lượng khác.</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lastRenderedPageBreak/>
              <w:t>19</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Nguồn kinh phí tuần tra, canh gác</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10/2019/QĐ-UBND: sử dụng nguồn sự nghiệp phòng, chống thiên tai của cấp huyện; thiếu thì đề nghị Quỹ phòng, chống thiên tai cấp tỉnh.</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w:t>
            </w:r>
            <w:r w:rsidRPr="009B4975">
              <w:rPr>
                <w:rFonts w:cs="Times New Roman"/>
                <w:sz w:val="20"/>
                <w:szCs w:val="20"/>
              </w:rPr>
              <w:t>ều 12: sử dụng nguồn sự nghiệp phòng, chống thiên tai hằng năm của xã, phường, đặc khu; thiếu thì đề nghị thành phố xem xét từ Quỹ phòng, chống thiên tai cấp tỉnh và nguồn hợp pháp khác.</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Cập nhật mô hình chính quyền hai cấp, phân cấp ngân sách và cơ chế qu</w:t>
            </w:r>
            <w:r w:rsidRPr="009B4975">
              <w:rPr>
                <w:rFonts w:cs="Times New Roman"/>
                <w:sz w:val="20"/>
                <w:szCs w:val="20"/>
              </w:rPr>
              <w:t>ản lý Quỹ phòng, chống thiên tai hiện hành.</w:t>
            </w:r>
          </w:p>
        </w:tc>
      </w:tr>
      <w:tr w:rsidR="00F075AB" w:rsidRPr="009B4975" w:rsidTr="009B4975">
        <w:trPr>
          <w:cantSplit/>
          <w:trHeight w:val="645"/>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20</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Hồ sơ, thanh toán, quyết toán kinh phí tuần tra</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10/2019/QĐ-UBND giao cấp xã quản lý kinh phí, chi trả; chưa quy định đầy đủ thành phần hồ sơ và thời gian thực tế làm căn cứ chi.</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2 Điều 12:</w:t>
            </w:r>
            <w:r w:rsidRPr="009B4975">
              <w:rPr>
                <w:rFonts w:cs="Times New Roman"/>
                <w:sz w:val="20"/>
                <w:szCs w:val="20"/>
              </w:rPr>
              <w:t xml:space="preserve"> cấp xã lập dự toán, quản lý bảng chấm công, danh sách người tham gia, thời gian thực tế, mức chi; thanh toán, quyết toán theo quy định.</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Chuẩn hóa hồ sơ, tăng tính minh bạch và trách nhiệm của đơn vị sử dụng kinh phí.</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21</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Trách nhiệm của Sở Nông nghiệp và </w:t>
            </w:r>
            <w:r w:rsidRPr="009B4975">
              <w:rPr>
                <w:rFonts w:cs="Times New Roman"/>
                <w:sz w:val="20"/>
                <w:szCs w:val="20"/>
              </w:rPr>
              <w:t>Môi trường</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684/2011/QĐ-UBND và Quyết định số 10/2019/QĐ-UBND giao hướng dẫn, tập huấn, kiểm tra, tổng hợp nhưng theo tên cơ quan, mô hình cũ.</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Điều 13: chủ trì hướng dẫn, kiểm tra; tham mưu thành lập, kiện toàn; chỉ đạo Chi cục, các Hạt phối </w:t>
            </w:r>
            <w:r w:rsidRPr="009B4975">
              <w:rPr>
                <w:rFonts w:cs="Times New Roman"/>
                <w:sz w:val="20"/>
                <w:szCs w:val="20"/>
              </w:rPr>
              <w:t>hợp tập huấn; hướng dẫn mẫu sổ sách, phù hiệu, biểu mẫu; tổng hợp vướng mắc.</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Cập nhật tên cơ quan và cụ thể hóa đầu mối, sản phẩm thực hiện; tăng tính thống nhất trong toàn thành phố.</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22</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Trách nhiệm của Sở Tài chính</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10/2019/QĐ-UBND giao hướn</w:t>
            </w:r>
            <w:r w:rsidRPr="009B4975">
              <w:rPr>
                <w:rFonts w:cs="Times New Roman"/>
                <w:sz w:val="20"/>
                <w:szCs w:val="20"/>
              </w:rPr>
              <w:t>g dẫn chi trả, thanh quyết toán; Quyết định số 684/2011/QĐ-UBND quy định trách nhiệm tài chính chủ yếu qua cấp huyện.</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14: hướng dẫn bố trí, quản lý, sử dụng, thanh toán, quyết toán; tham mưu bảo đảm nguồn theo phân cấp và khả năng cân đối ngân sách.</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L</w:t>
            </w:r>
            <w:r w:rsidRPr="009B4975">
              <w:rPr>
                <w:rFonts w:cs="Times New Roman"/>
                <w:sz w:val="20"/>
                <w:szCs w:val="20"/>
              </w:rPr>
              <w:t>àm rõ trách nhiệm cơ quan tài chính trong cả hai nhóm lực lượng và phù hợp cơ chế ngân sách hiện hành.</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23</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Trách nhiệm của Ủy ban nhân dân cấp xã</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Hai Quyết định cũ giao cấp xã tổ chức, quản lý lực lượng và chi trả nhưng còn gắn với chỉ đạo, cấp kinh phí </w:t>
            </w:r>
            <w:r w:rsidRPr="009B4975">
              <w:rPr>
                <w:rFonts w:cs="Times New Roman"/>
                <w:sz w:val="20"/>
                <w:szCs w:val="20"/>
              </w:rPr>
              <w:t>của cấp huyện.</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15: trực tiếp quản lý cả hai lực lượng; rà soát danh sách; thành lập đội tuần tra; lập và lưu hồ sơ; phối hợp tập huấn, kiểm tra; chịu trách nhiệm nếu không tổ chức, quản lý đúng quy định.</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Cụ thể hóa vai trò trung tâm của cấp xã trong m</w:t>
            </w:r>
            <w:r w:rsidRPr="009B4975">
              <w:rPr>
                <w:rFonts w:cs="Times New Roman"/>
                <w:sz w:val="20"/>
                <w:szCs w:val="20"/>
              </w:rPr>
              <w:t>ô hình hai cấp và tăng trách nhiệm người đứng đầu đối với an toàn đê điều trên địa bàn.</w:t>
            </w:r>
          </w:p>
        </w:tc>
      </w:tr>
      <w:tr w:rsidR="00F075AB" w:rsidRPr="009B4975" w:rsidTr="009B4975">
        <w:trPr>
          <w:cantSplit/>
          <w:trHeight w:val="66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24</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khoản chuyển tiếp</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Hai Quyết định cũ không có quy định xử lý khoản thù lao, kinh phí phát sinh trước thời điểm văn bản mới có hiệu lực.</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Khoản 1 Điều 16: khoản t</w:t>
            </w:r>
            <w:r w:rsidRPr="009B4975">
              <w:rPr>
                <w:rFonts w:cs="Times New Roman"/>
                <w:sz w:val="20"/>
                <w:szCs w:val="20"/>
              </w:rPr>
              <w:t>hù lao, kinh phí phát sinh trước ngày hiệu lực thực hiện theo văn bản áp dụng tại thời điểm phát sinh.</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Bảo đảm liên tục, tránh hồi tố và vướng mắc trong thanh toán, quyết toán chuyển tiếp.</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25</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Hiệu lực và xử lý văn bản cũ</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 xml:space="preserve">Hiện đang tồn tại song song Quyết </w:t>
            </w:r>
            <w:r w:rsidRPr="009B4975">
              <w:rPr>
                <w:rFonts w:cs="Times New Roman"/>
                <w:sz w:val="20"/>
                <w:szCs w:val="20"/>
              </w:rPr>
              <w:t>định số 684/2011/QĐ-UBND và Quyết định số 10/2019/QĐ-UBND trong phạm vi địa bàn trước sắp xếp.</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Điều 2 của dự thảo Quyết định quy định hiệu lực và thay thế hai Quyết định; đồng thời xử lý các quy định khác trước đây trái với Quyết định mới.</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Chấm dứt tình tr</w:t>
            </w:r>
            <w:r w:rsidRPr="009B4975">
              <w:rPr>
                <w:rFonts w:cs="Times New Roman"/>
                <w:sz w:val="20"/>
                <w:szCs w:val="20"/>
              </w:rPr>
              <w:t>ạng nhiều cơ chế, bảo đảm một văn bản thống nhất trên toàn thành phố. Khi hoàn thiện cần xác định rõ danh mục văn bản bị bãi bỏ, tránh quy định chung khó kiểm soát.</w:t>
            </w:r>
          </w:p>
        </w:tc>
      </w:tr>
      <w:tr w:rsidR="00F075AB" w:rsidRPr="009B4975" w:rsidTr="009B4975">
        <w:trPr>
          <w:cantSplit/>
          <w:trHeight w:val="870"/>
          <w:jc w:val="center"/>
        </w:trPr>
        <w:tc>
          <w:tcPr>
            <w:tcW w:w="581" w:type="dxa"/>
            <w:tcMar>
              <w:top w:w="60" w:type="dxa"/>
              <w:left w:w="70" w:type="dxa"/>
              <w:bottom w:w="60" w:type="dxa"/>
              <w:right w:w="70" w:type="dxa"/>
            </w:tcMar>
            <w:vAlign w:val="center"/>
          </w:tcPr>
          <w:p w:rsidR="00F075AB" w:rsidRPr="009B4975" w:rsidRDefault="00ED0BD1">
            <w:pPr>
              <w:spacing w:line="252" w:lineRule="auto"/>
              <w:jc w:val="center"/>
              <w:rPr>
                <w:rFonts w:cs="Times New Roman"/>
                <w:sz w:val="20"/>
                <w:szCs w:val="20"/>
              </w:rPr>
            </w:pPr>
            <w:r w:rsidRPr="009B4975">
              <w:rPr>
                <w:rFonts w:cs="Times New Roman"/>
                <w:sz w:val="20"/>
                <w:szCs w:val="20"/>
              </w:rPr>
              <w:t>26</w:t>
            </w:r>
          </w:p>
        </w:tc>
        <w:tc>
          <w:tcPr>
            <w:tcW w:w="2217"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Bố cục, kỹ thuật quy định</w:t>
            </w:r>
          </w:p>
        </w:tc>
        <w:tc>
          <w:tcPr>
            <w:tcW w:w="3748"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Quyết định số 684/2011/QĐ-UBND gồm 12 điều trong 4 chương; Qu</w:t>
            </w:r>
            <w:r w:rsidRPr="009B4975">
              <w:rPr>
                <w:rFonts w:cs="Times New Roman"/>
                <w:sz w:val="20"/>
                <w:szCs w:val="20"/>
              </w:rPr>
              <w:t>yết định số 10/2019/QĐ-UBND gồm 3 điều, nhiều nội dung gộp trong từng điều.</w:t>
            </w:r>
          </w:p>
        </w:tc>
        <w:tc>
          <w:tcPr>
            <w:tcW w:w="3801"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Dự thảo Quyết định có 03 điều; Quy định kèm theo có 04 chương, 16 điều, tách rõ quy định chung, lực lượng quản lý đê nhân dân, tuần tra canh gác và trách nhiệm tổ chức thực hiện.</w:t>
            </w:r>
          </w:p>
        </w:tc>
        <w:tc>
          <w:tcPr>
            <w:tcW w:w="3696" w:type="dxa"/>
            <w:tcMar>
              <w:top w:w="60" w:type="dxa"/>
              <w:left w:w="70" w:type="dxa"/>
              <w:bottom w:w="60" w:type="dxa"/>
              <w:right w:w="70" w:type="dxa"/>
            </w:tcMar>
            <w:vAlign w:val="center"/>
          </w:tcPr>
          <w:p w:rsidR="00F075AB" w:rsidRPr="009B4975" w:rsidRDefault="00ED0BD1">
            <w:pPr>
              <w:spacing w:line="252" w:lineRule="auto"/>
              <w:jc w:val="both"/>
              <w:rPr>
                <w:rFonts w:cs="Times New Roman"/>
                <w:sz w:val="20"/>
                <w:szCs w:val="20"/>
              </w:rPr>
            </w:pPr>
            <w:r w:rsidRPr="009B4975">
              <w:rPr>
                <w:rFonts w:cs="Times New Roman"/>
                <w:sz w:val="20"/>
                <w:szCs w:val="20"/>
              </w:rPr>
              <w:t>B</w:t>
            </w:r>
            <w:r w:rsidRPr="009B4975">
              <w:rPr>
                <w:rFonts w:cs="Times New Roman"/>
                <w:sz w:val="20"/>
                <w:szCs w:val="20"/>
              </w:rPr>
              <w:t>ố cục rõ ràng, dễ tra cứu, phân định đầy đủ nội dung và trách nhiệm; phù hợp yêu cầu quản lý thống nhất.</w:t>
            </w:r>
          </w:p>
        </w:tc>
      </w:tr>
    </w:tbl>
    <w:p w:rsidR="00F075AB" w:rsidRPr="009B4975" w:rsidRDefault="00F075AB" w:rsidP="00186B04">
      <w:pPr>
        <w:keepNext/>
        <w:spacing w:before="200" w:after="60"/>
        <w:ind w:firstLine="720"/>
        <w:rPr>
          <w:sz w:val="26"/>
          <w:szCs w:val="26"/>
        </w:rPr>
      </w:pPr>
    </w:p>
    <w:sectPr w:rsidR="00F075AB" w:rsidRPr="009B4975" w:rsidSect="009B4975">
      <w:headerReference w:type="default" r:id="rId8"/>
      <w:pgSz w:w="15840" w:h="12240" w:orient="landscape"/>
      <w:pgMar w:top="964" w:right="850" w:bottom="850" w:left="964"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BD1" w:rsidRDefault="00ED0BD1">
      <w:pPr>
        <w:spacing w:line="240" w:lineRule="auto"/>
      </w:pPr>
      <w:r>
        <w:separator/>
      </w:r>
    </w:p>
  </w:endnote>
  <w:endnote w:type="continuationSeparator" w:id="0">
    <w:p w:rsidR="00ED0BD1" w:rsidRDefault="00ED0B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BD1" w:rsidRDefault="00ED0BD1">
      <w:pPr>
        <w:spacing w:line="240" w:lineRule="auto"/>
      </w:pPr>
      <w:r>
        <w:separator/>
      </w:r>
    </w:p>
  </w:footnote>
  <w:footnote w:type="continuationSeparator" w:id="0">
    <w:p w:rsidR="00ED0BD1" w:rsidRDefault="00ED0B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982731"/>
      <w:docPartObj>
        <w:docPartGallery w:val="Page Numbers (Top of Page)"/>
        <w:docPartUnique/>
      </w:docPartObj>
    </w:sdtPr>
    <w:sdtEndPr>
      <w:rPr>
        <w:noProof/>
      </w:rPr>
    </w:sdtEndPr>
    <w:sdtContent>
      <w:p w:rsidR="009B4975" w:rsidRDefault="009B4975">
        <w:pPr>
          <w:pStyle w:val="Header"/>
          <w:jc w:val="center"/>
        </w:pPr>
        <w:r>
          <w:fldChar w:fldCharType="begin"/>
        </w:r>
        <w:r>
          <w:instrText xml:space="preserve"> PAGE   \* MERGEFORMAT </w:instrText>
        </w:r>
        <w:r>
          <w:fldChar w:fldCharType="separate"/>
        </w:r>
        <w:r w:rsidR="0005370C">
          <w:rPr>
            <w:noProof/>
          </w:rPr>
          <w:t>2</w:t>
        </w:r>
        <w:r>
          <w:rPr>
            <w:noProof/>
          </w:rPr>
          <w:fldChar w:fldCharType="end"/>
        </w:r>
      </w:p>
    </w:sdtContent>
  </w:sdt>
  <w:p w:rsidR="009B4975" w:rsidRDefault="009B49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370C"/>
    <w:rsid w:val="0006063C"/>
    <w:rsid w:val="0015074B"/>
    <w:rsid w:val="00186B04"/>
    <w:rsid w:val="0029639D"/>
    <w:rsid w:val="00326F90"/>
    <w:rsid w:val="009B4975"/>
    <w:rsid w:val="00AA1D8D"/>
    <w:rsid w:val="00B47730"/>
    <w:rsid w:val="00CB0664"/>
    <w:rsid w:val="00E9566B"/>
    <w:rsid w:val="00ED0BD1"/>
    <w:rsid w:val="00F075A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AD1332"/>
  <w14:defaultImageDpi w14:val="300"/>
  <w15:docId w15:val="{A175C8C6-E0AA-44E4-911C-9A93F623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B2518-5700-4BEC-81D1-24D7B4A43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2000</Words>
  <Characters>11405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4</cp:revision>
  <dcterms:created xsi:type="dcterms:W3CDTF">2013-12-23T23:15:00Z</dcterms:created>
  <dcterms:modified xsi:type="dcterms:W3CDTF">2026-08-06T04:04:00Z</dcterms:modified>
  <cp:category/>
</cp:coreProperties>
</file>