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jc w:val="center"/>
        <w:tblLayout w:type="fixed"/>
        <w:tblLook w:val="04A0" w:firstRow="1" w:lastRow="0" w:firstColumn="1" w:lastColumn="0" w:noHBand="0" w:noVBand="1"/>
      </w:tblPr>
      <w:tblGrid>
        <w:gridCol w:w="4253"/>
        <w:gridCol w:w="5670"/>
      </w:tblGrid>
      <w:tr>
        <w:trPr>
          <w:jc w:val="center"/>
        </w:trPr>
        <w:tc>
          <w:tcPr>
            <w:tcW w:w="4253" w:type="dxa"/>
            <w:tcBorders>
              <w:top w:val="nil"/>
              <w:left w:val="nil"/>
              <w:bottom w:val="nil"/>
              <w:right w:val="nil"/>
            </w:tcBorders>
          </w:tcPr>
          <w:p>
            <w:pPr>
              <w:spacing w:after="0" w:line="240" w:lineRule="auto"/>
              <w:jc w:val="center"/>
            </w:pPr>
            <w:r>
              <w:t>UBND THÀNH PHỐ HẢI PHÒNG</w:t>
            </w:r>
          </w:p>
          <w:p>
            <w:pPr>
              <w:spacing w:after="0" w:line="240" w:lineRule="auto"/>
              <w:jc w:val="center"/>
            </w:pPr>
            <w:r>
              <w:rPr>
                <w:b/>
                <w:noProof/>
              </w:rPr>
              <mc:AlternateContent>
                <mc:Choice Requires="wps">
                  <w:drawing>
                    <wp:anchor distT="0" distB="0" distL="114300" distR="114300" simplePos="0" relativeHeight="251654656" behindDoc="0" locked="0" layoutInCell="1" allowOverlap="1">
                      <wp:simplePos x="0" y="0"/>
                      <wp:positionH relativeFrom="column">
                        <wp:posOffset>911225</wp:posOffset>
                      </wp:positionH>
                      <wp:positionV relativeFrom="paragraph">
                        <wp:posOffset>242570</wp:posOffset>
                      </wp:positionV>
                      <wp:extent cx="752475" cy="0"/>
                      <wp:effectExtent l="0" t="0" r="28575" b="19050"/>
                      <wp:wrapNone/>
                      <wp:docPr id="1353307559"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id="Straight Connector 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71.75pt,19.1pt" to="13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" strokecolor="black [3040]"/>
                  </w:pict>
                </mc:Fallback>
              </mc:AlternateContent>
            </w:r>
            <w:r>
              <w:rPr>
                <w:b/>
              </w:rPr>
              <w:t>SỞ NỘI VỤ</w:t>
            </w:r>
            <w:r>
              <w:br/>
            </w:r>
          </w:p>
          <w:p>
            <w:pPr>
              <w:spacing w:after="0" w:line="240" w:lineRule="auto"/>
              <w:jc w:val="center"/>
              <w:rPr>
                <w:b/>
              </w:rPr>
            </w:pPr>
            <w:r>
              <w:rPr>
                <w:noProof/>
              </w:rPr>
              <mc:AlternateContent>
                <mc:Choice Requires="wps">
                  <w:drawing>
                    <wp:anchor distT="0" distB="0" distL="114300" distR="114300" simplePos="0" relativeHeight="251659776" behindDoc="0" locked="0" layoutInCell="1" allowOverlap="1">
                      <wp:simplePos x="0" y="0"/>
                      <wp:positionH relativeFrom="column">
                        <wp:posOffset>101876</wp:posOffset>
                      </wp:positionH>
                      <wp:positionV relativeFrom="paragraph">
                        <wp:posOffset>260819</wp:posOffset>
                      </wp:positionV>
                      <wp:extent cx="1614115" cy="294199"/>
                      <wp:effectExtent l="0" t="0" r="24765" b="10795"/>
                      <wp:wrapNone/>
                      <wp:docPr id="442994486" name="Text Box 4"/>
                      <wp:cNvGraphicFramePr/>
                      <a:graphic xmlns:a="http://schemas.openxmlformats.org/drawingml/2006/main">
                        <a:graphicData uri="http://schemas.microsoft.com/office/word/2010/wordprocessingShape">
                          <wps:wsp>
                            <wps:cNvSpPr txBox="1"/>
                            <wps:spPr>
                              <a:xfrm>
                                <a:off x="0" y="0"/>
                                <a:ext cx="1614115" cy="294199"/>
                              </a:xfrm>
                              <a:prstGeom prst="rect">
                                <a:avLst/>
                              </a:prstGeom>
                              <a:solidFill>
                                <a:schemeClr val="lt1"/>
                              </a:solidFill>
                              <a:ln w="6350">
                                <a:solidFill>
                                  <a:prstClr val="black"/>
                                </a:solidFill>
                              </a:ln>
                            </wps:spPr>
                            <wps:txbx>
                              <w:txbxContent>
                                <w:p>
                                  <w:pPr>
                                    <w:jc w:val="center"/>
                                    <w:rPr>
                                      <w:b/>
                                      <w:bCs/>
                                    </w:rPr>
                                  </w:pPr>
                                  <w:r>
                                    <w:rPr>
                                      <w:b/>
                                      <w:bCs/>
                                    </w:rPr>
                                    <w:t>DỰ THẢO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76435405" id="_x0000_t202" coordsize="21600,21600" o:spt="202" path="m,l,21600r21600,l21600,xe">
                      <v:stroke joinstyle="miter"/>
                      <v:path gradientshapeok="t" o:connecttype="rect"/>
                    </v:shapetype>
                    <v:shape id="Text Box 4" o:spid="_x0000_s1026" type="#_x0000_t202" style="position:absolute;left:0;text-align:left;margin-left:8pt;margin-top:20.55pt;width:127.1pt;height:23.1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" fillcolor="white [3201]" strokeweight=".5pt">
                      <v:textbox>
                        <w:txbxContent>
                          <w:p w14:paraId="35CE6323" w14:textId="07E07953" w:rsidR="00281A42" w:rsidRPr="00281A42" w:rsidRDefault="00281A42" w:rsidP="00281A42">
                            <w:pPr>
                              <w:jc w:val="center"/>
                              <w:rPr>
                                <w:b/>
                                <w:bCs/>
                              </w:rPr>
                            </w:pPr>
                            <w:r w:rsidRPr="00281A42">
                              <w:rPr>
                                <w:b/>
                                <w:bCs/>
                              </w:rPr>
                              <w:t>DỰ THẢO LẦN 1</w:t>
                            </w:r>
                          </w:p>
                        </w:txbxContent>
                      </v:textbox>
                    </v:shape>
                  </w:pict>
                </mc:Fallback>
              </mc:AlternateContent>
            </w:r>
            <w:r>
              <w:t xml:space="preserve">Số:         /TTr-SNV                                 </w:t>
            </w:r>
          </w:p>
        </w:tc>
        <w:tc>
          <w:tcPr>
            <w:tcW w:w="5670" w:type="dxa"/>
            <w:tcBorders>
              <w:top w:val="nil"/>
              <w:left w:val="nil"/>
              <w:bottom w:val="nil"/>
              <w:right w:val="nil"/>
            </w:tcBorders>
          </w:tcPr>
          <w:p>
            <w:pPr>
              <w:spacing w:after="0" w:line="240" w:lineRule="auto"/>
              <w:jc w:val="center"/>
            </w:pPr>
            <w:r>
              <w:rPr>
                <w:b/>
                <w:noProof/>
              </w:rPr>
              <mc:AlternateContent>
                <mc:Choice Requires="wps">
                  <w:drawing>
                    <wp:anchor distT="0" distB="0" distL="114300" distR="114300" simplePos="0" relativeHeight="251658752" behindDoc="0" locked="0" layoutInCell="1" allowOverlap="1">
                      <wp:simplePos x="0" y="0"/>
                      <wp:positionH relativeFrom="column">
                        <wp:posOffset>909320</wp:posOffset>
                      </wp:positionH>
                      <wp:positionV relativeFrom="paragraph">
                        <wp:posOffset>432435</wp:posOffset>
                      </wp:positionV>
                      <wp:extent cx="1971675" cy="0"/>
                      <wp:effectExtent l="0" t="0" r="0" b="0"/>
                      <wp:wrapNone/>
                      <wp:docPr id="1282955337"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1.6pt,34.05pt" to="226.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" strokecolor="black [3040]"/>
                  </w:pict>
                </mc:Fallback>
              </mc:AlternateContent>
            </w:r>
            <w:r>
              <w:rPr>
                <w:b/>
              </w:rPr>
              <w:t>CỘNG HÒA XÃ HỘI CHỦ NGHĨA VIỆT NAM</w:t>
            </w:r>
            <w:r>
              <w:br/>
            </w:r>
            <w:r>
              <w:rPr>
                <w:b/>
              </w:rPr>
              <w:t>Độc lập - Tự do - Hạnh phúc</w:t>
            </w:r>
            <w:r>
              <w:br/>
            </w:r>
          </w:p>
          <w:p>
            <w:pPr>
              <w:spacing w:after="0" w:line="240" w:lineRule="auto"/>
              <w:jc w:val="center"/>
            </w:pPr>
            <w:r>
              <w:rPr>
                <w:i/>
              </w:rPr>
              <w:t>Hải Phòng, ngày      tháng      năm 2026</w:t>
            </w:r>
          </w:p>
          <w:p>
            <w:pPr>
              <w:spacing w:after="0" w:line="240" w:lineRule="auto"/>
              <w:jc w:val="center"/>
              <w:rPr>
                <w:bCs/>
                <w:i/>
                <w:iCs/>
              </w:rPr>
            </w:pPr>
          </w:p>
        </w:tc>
      </w:tr>
    </w:tbl>
    <w:p>
      <w:pPr>
        <w:spacing w:after="0"/>
        <w:jc w:val="center"/>
        <w:rPr>
          <w:b/>
          <w:sz w:val="28"/>
        </w:rPr>
      </w:pPr>
    </w:p>
    <w:p>
      <w:pPr>
        <w:spacing w:after="0"/>
        <w:jc w:val="center"/>
      </w:pPr>
      <w:r>
        <w:rPr>
          <w:b/>
          <w:sz w:val="28"/>
        </w:rPr>
        <w:t>TỜ TRÌNH</w:t>
      </w:r>
    </w:p>
    <w:p>
      <w:pPr>
        <w:spacing w:after="0" w:line="240" w:lineRule="auto"/>
        <w:jc w:val="center"/>
        <w:rPr>
          <w:b/>
          <w:sz w:val="28"/>
          <w:szCs w:val="28"/>
        </w:rPr>
      </w:pPr>
      <w:r>
        <w:rPr>
          <w:b/>
          <w:sz w:val="28"/>
          <w:szCs w:val="28"/>
        </w:rPr>
        <w:t xml:space="preserve">Đề nghị ban hành Quyết định của Ủy ban nhân dân thành phố </w:t>
      </w:r>
    </w:p>
    <w:p>
      <w:pPr>
        <w:spacing w:after="0" w:line="240" w:lineRule="auto"/>
        <w:jc w:val="center"/>
        <w:rPr>
          <w:b/>
          <w:sz w:val="28"/>
          <w:szCs w:val="28"/>
        </w:rPr>
      </w:pPr>
      <w:r>
        <w:rPr>
          <w:b/>
          <w:sz w:val="28"/>
          <w:szCs w:val="28"/>
        </w:rPr>
        <w:t xml:space="preserve">ban hành Quy chế tổ chức và hoạt động của thôn, tổ dân phố </w:t>
      </w:r>
    </w:p>
    <w:p>
      <w:pPr>
        <w:spacing w:after="0" w:line="240" w:lineRule="auto"/>
        <w:jc w:val="center"/>
        <w:rPr>
          <w:b/>
          <w:sz w:val="28"/>
          <w:szCs w:val="28"/>
        </w:rPr>
      </w:pPr>
      <w:r>
        <w:rPr>
          <w:b/>
          <w:sz w:val="28"/>
          <w:szCs w:val="28"/>
        </w:rPr>
        <w:t xml:space="preserve">trên địa bàn thành phố Hải Phòng </w:t>
      </w:r>
    </w:p>
    <w:p>
      <w:pPr>
        <w:spacing w:after="0"/>
        <w:rPr>
          <w:b/>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1948815</wp:posOffset>
                </wp:positionH>
                <wp:positionV relativeFrom="paragraph">
                  <wp:posOffset>45085</wp:posOffset>
                </wp:positionV>
                <wp:extent cx="19304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3.45pt,3.55pt" to="305.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" strokecolor="black [3040]"/>
            </w:pict>
          </mc:Fallback>
        </mc:AlternateContent>
      </w:r>
    </w:p>
    <w:p>
      <w:pPr>
        <w:spacing w:before="80" w:after="80" w:line="360" w:lineRule="exact"/>
        <w:jc w:val="center"/>
        <w:rPr>
          <w:sz w:val="28"/>
          <w:szCs w:val="28"/>
        </w:rPr>
      </w:pPr>
      <w:r>
        <w:rPr>
          <w:bCs/>
          <w:sz w:val="28"/>
          <w:szCs w:val="28"/>
        </w:rPr>
        <w:t>Kính gửi:</w:t>
      </w:r>
      <w:r>
        <w:rPr>
          <w:b/>
          <w:sz w:val="28"/>
          <w:szCs w:val="28"/>
        </w:rPr>
        <w:t xml:space="preserve"> </w:t>
      </w:r>
      <w:r>
        <w:rPr>
          <w:sz w:val="28"/>
          <w:szCs w:val="28"/>
        </w:rPr>
        <w:t>Ủy ban nhân dân thành phố Hải Phòng</w:t>
      </w:r>
    </w:p>
    <w:p>
      <w:pPr>
        <w:spacing w:before="80" w:after="80" w:line="360" w:lineRule="exact"/>
        <w:ind w:firstLine="720"/>
        <w:jc w:val="both"/>
        <w:rPr>
          <w:rFonts w:cs="Times New Roman"/>
          <w:sz w:val="28"/>
          <w:szCs w:val="28"/>
        </w:rPr>
      </w:pPr>
    </w:p>
    <w:p>
      <w:pPr>
        <w:spacing w:before="120" w:after="120"/>
        <w:ind w:firstLine="720"/>
        <w:jc w:val="both"/>
        <w:rPr>
          <w:rFonts w:cs="Times New Roman"/>
          <w:iCs/>
          <w:spacing w:val="-4"/>
          <w:sz w:val="28"/>
          <w:szCs w:val="28"/>
          <w:lang w:val="nl-NL"/>
        </w:rPr>
      </w:pPr>
      <w:r>
        <w:rPr>
          <w:rFonts w:cs="Times New Roman"/>
          <w:iCs/>
          <w:spacing w:val="-4"/>
          <w:sz w:val="28"/>
          <w:szCs w:val="28"/>
          <w:lang w:val="nl-NL"/>
        </w:rPr>
        <w:t xml:space="preserve">Thực hiện quy định của </w:t>
      </w:r>
      <w:r>
        <w:rPr>
          <w:rFonts w:cs="Times New Roman"/>
          <w:iCs/>
          <w:sz w:val="28"/>
          <w:szCs w:val="28"/>
          <w:lang w:val="nl-NL"/>
        </w:rPr>
        <w:t>Luật Ban h</w:t>
      </w:r>
      <w:bookmarkStart w:id="0" w:name="_GoBack"/>
      <w:bookmarkEnd w:id="0"/>
      <w:r>
        <w:rPr>
          <w:rFonts w:cs="Times New Roman"/>
          <w:iCs/>
          <w:sz w:val="28"/>
          <w:szCs w:val="28"/>
          <w:lang w:val="nl-NL"/>
        </w:rPr>
        <w:t xml:space="preserve">ành văn bản quy phạm pháp luật </w:t>
      </w:r>
      <w:r>
        <w:rPr>
          <w:rFonts w:cs="Times New Roman"/>
          <w:iCs/>
          <w:sz w:val="28"/>
          <w:szCs w:val="28"/>
          <w:lang w:val="vi-VN"/>
        </w:rPr>
        <w:t>ngày 19/02/2025 (sửa đổi, bổ sung bởi Luật</w:t>
      </w:r>
      <w:r>
        <w:rPr>
          <w:rFonts w:cs="Times New Roman"/>
          <w:sz w:val="28"/>
          <w:szCs w:val="28"/>
          <w:lang w:val="vi-VN"/>
        </w:rPr>
        <w:t xml:space="preserve"> </w:t>
      </w:r>
      <w:r>
        <w:rPr>
          <w:rFonts w:cs="Times New Roman"/>
          <w:iCs/>
          <w:sz w:val="28"/>
          <w:szCs w:val="28"/>
          <w:lang w:val="vi-VN"/>
        </w:rPr>
        <w:t xml:space="preserve">sửa đổi, bổ sung một số điều của Luật Ban hành văn bản quy phạm pháp luật ngày 25/6/2025) và các </w:t>
      </w:r>
      <w:r>
        <w:rPr>
          <w:rFonts w:cs="Times New Roman"/>
          <w:noProof/>
          <w:sz w:val="28"/>
          <w:szCs w:val="28"/>
          <w:lang w:val="vi-VN"/>
        </w:rPr>
        <w:t>văn bản hướng dẫn thi hành</w:t>
      </w:r>
      <w:r>
        <w:rPr>
          <w:rFonts w:cs="Times New Roman"/>
          <w:iCs/>
          <w:spacing w:val="-4"/>
          <w:sz w:val="28"/>
          <w:szCs w:val="28"/>
          <w:lang w:val="nl-NL"/>
        </w:rPr>
        <w:t xml:space="preserve">, </w:t>
      </w:r>
      <w:r>
        <w:rPr>
          <w:rFonts w:cs="Times New Roman"/>
          <w:bCs/>
          <w:sz w:val="28"/>
          <w:szCs w:val="28"/>
          <w:lang w:val="vi-VN"/>
        </w:rPr>
        <w:t>Quyết định số 192/2025/QĐ-UBND ngày 17/10/2025 của Ủy ban nhân dân (UBND) thành phố ban hành Quy chế xây dựng và ban hành văn bản quy phạm pháp luật của thành phố Hải Phòng</w:t>
      </w:r>
      <w:r>
        <w:rPr>
          <w:rFonts w:cs="Times New Roman"/>
          <w:noProof/>
          <w:sz w:val="28"/>
          <w:szCs w:val="28"/>
          <w:lang w:val="vi-VN"/>
        </w:rPr>
        <w:t>;</w:t>
      </w:r>
    </w:p>
    <w:p>
      <w:pPr>
        <w:spacing w:before="80" w:after="80" w:line="360" w:lineRule="exact"/>
        <w:ind w:firstLine="720"/>
        <w:jc w:val="both"/>
        <w:rPr>
          <w:rFonts w:cs="Times New Roman"/>
          <w:sz w:val="28"/>
          <w:szCs w:val="28"/>
        </w:rPr>
      </w:pPr>
      <w:r>
        <w:rPr>
          <w:rFonts w:cs="Times New Roman"/>
          <w:iCs/>
          <w:spacing w:val="-2"/>
          <w:sz w:val="28"/>
          <w:szCs w:val="28"/>
          <w:lang w:val="nl-NL"/>
        </w:rPr>
        <w:t>Sở Nội vụ kính trình UBND thành phố dự thảo</w:t>
      </w:r>
      <w:r>
        <w:rPr>
          <w:rFonts w:cs="Times New Roman"/>
          <w:b/>
          <w:bCs/>
          <w:spacing w:val="-2"/>
          <w:sz w:val="28"/>
          <w:szCs w:val="28"/>
          <w:lang w:val="vi-VN"/>
        </w:rPr>
        <w:t xml:space="preserve"> </w:t>
      </w:r>
      <w:r>
        <w:rPr>
          <w:rFonts w:cs="Times New Roman"/>
          <w:bCs/>
          <w:spacing w:val="-2"/>
          <w:sz w:val="28"/>
          <w:szCs w:val="28"/>
          <w:lang w:val="vi-VN"/>
        </w:rPr>
        <w:t xml:space="preserve">Quyết định ban hành </w:t>
      </w:r>
      <w:r>
        <w:rPr>
          <w:rFonts w:cs="Times New Roman"/>
          <w:sz w:val="28"/>
          <w:szCs w:val="28"/>
        </w:rPr>
        <w:t>Quy chế tổ chức và hoạt động của thôn, tổ dân phố trên địa bàn thành phố Hải Phòng với các nội dung sau:</w:t>
      </w:r>
    </w:p>
    <w:p>
      <w:pPr>
        <w:spacing w:before="80" w:after="80" w:line="360" w:lineRule="exact"/>
        <w:ind w:firstLine="720"/>
        <w:jc w:val="both"/>
        <w:rPr>
          <w:rFonts w:cs="Times New Roman"/>
          <w:sz w:val="28"/>
          <w:szCs w:val="28"/>
        </w:rPr>
      </w:pPr>
      <w:r>
        <w:rPr>
          <w:rFonts w:cs="Times New Roman"/>
          <w:b/>
          <w:sz w:val="28"/>
          <w:szCs w:val="28"/>
        </w:rPr>
        <w:t>I. SỰ CẦN THIẾT BAN HÀNH VĂN BẢN</w:t>
      </w:r>
    </w:p>
    <w:p>
      <w:pPr>
        <w:spacing w:before="80" w:after="80" w:line="360" w:lineRule="exact"/>
        <w:ind w:firstLine="720"/>
        <w:jc w:val="both"/>
        <w:rPr>
          <w:rFonts w:cs="Times New Roman"/>
          <w:b/>
          <w:sz w:val="28"/>
          <w:szCs w:val="28"/>
        </w:rPr>
      </w:pPr>
      <w:r>
        <w:rPr>
          <w:rFonts w:cs="Times New Roman"/>
          <w:b/>
          <w:sz w:val="28"/>
          <w:szCs w:val="28"/>
        </w:rPr>
        <w:t>1. Cơ sở chính trị, pháp lý</w:t>
      </w:r>
    </w:p>
    <w:p>
      <w:pPr>
        <w:pStyle w:val="NormalWeb"/>
        <w:shd w:val="clear" w:color="auto" w:fill="FFFFFF"/>
        <w:spacing w:before="80" w:beforeAutospacing="0" w:after="80" w:afterAutospacing="0" w:line="360" w:lineRule="exact"/>
        <w:jc w:val="both"/>
        <w:rPr>
          <w:sz w:val="28"/>
          <w:szCs w:val="28"/>
        </w:rPr>
      </w:pPr>
      <w:r>
        <w:rPr>
          <w:sz w:val="28"/>
          <w:szCs w:val="28"/>
        </w:rPr>
        <w:tab/>
        <w:t>- Tại Khoản 10 Điều 16 Luật Tổ chức chính quyền địa phương ngày 16/6/2025 quy định nhiệm vụ quyền hạn của Ủy ban nhân dân thành phố: “</w:t>
      </w:r>
      <w:bookmarkStart w:id="1" w:name="khoan_10_16"/>
      <w:r>
        <w:rPr>
          <w:i/>
          <w:sz w:val="28"/>
          <w:szCs w:val="28"/>
          <w:shd w:val="clear" w:color="auto" w:fill="FFFFFF"/>
        </w:rPr>
        <w:t>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bookmarkEnd w:id="1"/>
      <w:r>
        <w:rPr>
          <w:sz w:val="28"/>
          <w:szCs w:val="28"/>
        </w:rPr>
        <w:t>”.</w:t>
      </w:r>
    </w:p>
    <w:p>
      <w:pPr>
        <w:spacing w:before="80" w:after="80" w:line="360" w:lineRule="exact"/>
        <w:ind w:firstLine="709"/>
        <w:jc w:val="both"/>
        <w:rPr>
          <w:rFonts w:cs="Times New Roman"/>
          <w:sz w:val="28"/>
          <w:szCs w:val="28"/>
        </w:rPr>
      </w:pPr>
      <w:r>
        <w:rPr>
          <w:rFonts w:cs="Times New Roman"/>
          <w:sz w:val="28"/>
          <w:szCs w:val="28"/>
        </w:rPr>
        <w:t>- Tại Khoản 1 Điều 8 Luật Ban hành văn bản quy phạm pháp luật ngày 19/02/2025 được sửa đổi, bổ sung ngày 25/6/2025 quy định: “</w:t>
      </w:r>
      <w:r>
        <w:rPr>
          <w:rFonts w:cs="Times New Roman"/>
          <w:i/>
          <w:iCs/>
          <w:sz w:val="28"/>
          <w:szCs w:val="28"/>
        </w:rPr>
        <w:t>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r>
        <w:rPr>
          <w:rFonts w:cs="Times New Roman"/>
          <w:sz w:val="28"/>
          <w:szCs w:val="28"/>
        </w:rPr>
        <w:t>”</w:t>
      </w:r>
    </w:p>
    <w:p>
      <w:pPr>
        <w:spacing w:before="80" w:after="80" w:line="360" w:lineRule="exact"/>
        <w:ind w:firstLine="709"/>
        <w:jc w:val="both"/>
        <w:rPr>
          <w:rFonts w:cs="Times New Roman"/>
          <w:sz w:val="28"/>
          <w:szCs w:val="28"/>
        </w:rPr>
      </w:pPr>
      <w:r>
        <w:rPr>
          <w:rFonts w:cs="Times New Roman"/>
          <w:sz w:val="28"/>
          <w:szCs w:val="28"/>
        </w:rPr>
        <w:t>- Tại Khoản 2 Điều 21 Luật Ban hành văn bản quy phạm pháp luật ngày 19/02/2025 được sửa đổi, bổ sung ngày 25/6/2025 quy định: “</w:t>
      </w:r>
      <w:r>
        <w:rPr>
          <w:rFonts w:cs="Times New Roman"/>
          <w:i/>
          <w:sz w:val="28"/>
          <w:szCs w:val="28"/>
        </w:rPr>
        <w:t>Ủy ban nhân dân cấp tỉnh ban hành quyết định để quy định:</w:t>
      </w:r>
      <w:r>
        <w:rPr>
          <w:rFonts w:cs="Times New Roman"/>
          <w:sz w:val="28"/>
          <w:szCs w:val="28"/>
        </w:rPr>
        <w:t xml:space="preserve"> </w:t>
      </w:r>
      <w:r>
        <w:rPr>
          <w:rFonts w:cs="Times New Roman"/>
          <w:i/>
          <w:iCs/>
          <w:sz w:val="28"/>
          <w:szCs w:val="28"/>
        </w:rPr>
        <w:t xml:space="preserve">a) Chi tiết điều, khoản, điểm và các nội dung </w:t>
      </w:r>
      <w:r>
        <w:rPr>
          <w:rFonts w:cs="Times New Roman"/>
          <w:i/>
          <w:iCs/>
          <w:sz w:val="28"/>
          <w:szCs w:val="28"/>
        </w:rPr>
        <w:lastRenderedPageBreak/>
        <w:t>khác được giao trong văn bản quy phạm pháp luật của cơ quan nhà nước cấp trên; b) Biện pháp thi hành Hiến pháp, luật, văn bản quy phạm pháp luật của cơ quan nhà nước cấp trên, nghị quyết của Hội đồng nhân dân cùng cấp về phát triển kinh tế - xã hội, ngân sách, quốc phòng, an ninh ở địa phương; c) Biện pháp thực hiện chức năng quản lý nhà nước ở địa phương; phân cấp và thực hiện nhiệm vụ, quyền hạn được phân cấp.”</w:t>
      </w:r>
    </w:p>
    <w:p>
      <w:pPr>
        <w:pStyle w:val="NormalWeb"/>
        <w:shd w:val="clear" w:color="auto" w:fill="FFFFFF"/>
        <w:spacing w:before="80" w:beforeAutospacing="0" w:after="80" w:afterAutospacing="0" w:line="360" w:lineRule="exact"/>
        <w:jc w:val="both"/>
        <w:rPr>
          <w:i/>
          <w:sz w:val="28"/>
          <w:szCs w:val="28"/>
        </w:rPr>
      </w:pPr>
      <w:r>
        <w:rPr>
          <w:sz w:val="28"/>
          <w:szCs w:val="28"/>
        </w:rPr>
        <w:tab/>
        <w:t>- Tại Điểm a khoản 2 Điều 18 Nghị định số 185/2026/NĐ-CP quy định Ủy ban nhân dân cấp tỉnh “</w:t>
      </w:r>
      <w:r>
        <w:rPr>
          <w:i/>
          <w:sz w:val="28"/>
          <w:szCs w:val="28"/>
        </w:rPr>
        <w:t>a) Ban hành Quy chế tổ chức và hoạt động của thôn, tổ dân phố phù hợp với tình hình thực tế ở địa phương”.</w:t>
      </w:r>
    </w:p>
    <w:p>
      <w:pPr>
        <w:spacing w:before="80" w:after="80" w:line="360" w:lineRule="exact"/>
        <w:ind w:firstLine="720"/>
        <w:jc w:val="both"/>
        <w:rPr>
          <w:rFonts w:cs="Times New Roman"/>
          <w:sz w:val="28"/>
          <w:szCs w:val="28"/>
        </w:rPr>
      </w:pPr>
      <w:r>
        <w:rPr>
          <w:rFonts w:cs="Times New Roman"/>
          <w:sz w:val="28"/>
          <w:szCs w:val="28"/>
        </w:rPr>
        <w:t>- Tại Luật Thực hiện dân chủ ở cơ sở ngày 10/11/2022 quy định các nguyên tắc, nội dung, hình thức thực hiện dân chủ ở cộng đồng dân cư, trong đó có việc Nhân dân bàn, quyết định, tham gia ý kiến và giám sát những vấn đề ở thôn, tổ dân phố. Do đó, Quy chế tổ chức và hoạt động của thôn, tổ dân phố cần được ban hành để cụ thể hóa cách thức tổ chức hoạt động phù hợp với quy định của pháp luật về dân chủ ở cơ sở, đồng thời bảo đảm không trái, không chồng chéo với quy định của luật.</w:t>
      </w:r>
    </w:p>
    <w:p>
      <w:pPr>
        <w:spacing w:before="80" w:after="80" w:line="360" w:lineRule="exact"/>
        <w:ind w:firstLine="720"/>
        <w:jc w:val="both"/>
        <w:rPr>
          <w:rFonts w:cs="Times New Roman"/>
          <w:sz w:val="28"/>
          <w:szCs w:val="28"/>
        </w:rPr>
      </w:pPr>
      <w:r>
        <w:rPr>
          <w:rFonts w:cs="Times New Roman"/>
          <w:sz w:val="28"/>
          <w:szCs w:val="28"/>
        </w:rPr>
        <w:t>Trong bối cảnh thành phố Hải Phòng vừa triển khai thực hiện việc sắp xếp, tổ chức lại thôn, tổ dân phố trên địa bàn 112/114 xã, phường, đặc khu thì việc ban hành Quy chế tổ chức và hoạt động của thôn, tổ dân phố là cần thiết để cụ thể hóa chỉ đạo của Trung ương, Thủ tướng Chính phủ và Ủy ban nhân dân thành phố; việc ban hành quy chế thống nhất sẽ góp phần nâng cao chất lượng hoạt động tự quản của cộng đồng dân cư, gắn kết với hoạt động quản lý, điều hành của chính quyền cấp xã, thực hiện dân chủ ở cơ sở, giữ ổn định tình hình Nhân dân và nâng cao hiệu quả quản lý địa bàn.</w:t>
      </w:r>
    </w:p>
    <w:p>
      <w:pPr>
        <w:spacing w:before="80" w:after="80" w:line="360" w:lineRule="exact"/>
        <w:ind w:firstLine="720"/>
        <w:jc w:val="both"/>
        <w:rPr>
          <w:sz w:val="28"/>
          <w:szCs w:val="28"/>
        </w:rPr>
      </w:pPr>
      <w:r>
        <w:rPr>
          <w:rFonts w:cs="Times New Roman"/>
          <w:sz w:val="28"/>
          <w:szCs w:val="28"/>
        </w:rPr>
        <w:t xml:space="preserve">Việc xây dựng Quyết định được thực hiện theo </w:t>
      </w:r>
      <w:r>
        <w:rPr>
          <w:sz w:val="28"/>
          <w:szCs w:val="28"/>
        </w:rPr>
        <w:t>Luật Ban hành văn bản quy phạm pháp luật ngày 19/02/2025 của Quốc hội (được sửa đổi, bổ sung bởi Luật sửa đổi, bổ sung một số điều của Luật ban hành văn bản quy pháp luật ngày 25/6/2025);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Quyết định số 192/2025/QĐ-UBND ngày 17/10/2025 của UBND thành phố Hải Phòng ban hành Quy chế về xây dựng và ban hành văn bản quy phạm pháp luật của thành phố Hải Phòng.</w:t>
      </w:r>
    </w:p>
    <w:p>
      <w:pPr>
        <w:spacing w:before="80" w:after="80" w:line="360" w:lineRule="exact"/>
        <w:ind w:firstLine="720"/>
        <w:jc w:val="both"/>
        <w:rPr>
          <w:rFonts w:cs="Times New Roman"/>
          <w:b/>
          <w:sz w:val="28"/>
          <w:szCs w:val="28"/>
        </w:rPr>
      </w:pPr>
      <w:r>
        <w:rPr>
          <w:rFonts w:cs="Times New Roman"/>
          <w:b/>
          <w:sz w:val="28"/>
          <w:szCs w:val="28"/>
        </w:rPr>
        <w:t>2. Cơ sở thực tiễn</w:t>
      </w:r>
    </w:p>
    <w:p>
      <w:pPr>
        <w:spacing w:before="80" w:after="80" w:line="360" w:lineRule="exact"/>
        <w:ind w:firstLine="720"/>
        <w:jc w:val="both"/>
        <w:rPr>
          <w:rFonts w:cs="Times New Roman"/>
          <w:b/>
          <w:sz w:val="28"/>
          <w:szCs w:val="28"/>
        </w:rPr>
      </w:pPr>
      <w:r>
        <w:rPr>
          <w:bCs/>
          <w:sz w:val="28"/>
          <w:szCs w:val="28"/>
        </w:rPr>
        <w:t>Căn cứ Thông tư số 04/2012/TT-BNV ngày 31/8/2012 của Bộ Nội vụ hướng dẫn về tổ chức và hoạt động của thôn, tổ dân phố; Thông tư số 14/2018/TT-BNV ngày 03/12/2018 và Thông tư số 05/2022/TT-BNV ngày 23/5/2022 của Bộ trưởng Bộ Nội vụ quy định về tổ chức, hoạt động của thôn, tổ dân phố</w:t>
      </w:r>
      <w:r>
        <w:rPr>
          <w:rFonts w:cs="Times New Roman"/>
          <w:bCs/>
          <w:sz w:val="28"/>
          <w:szCs w:val="28"/>
        </w:rPr>
        <w:t xml:space="preserve">; </w:t>
      </w:r>
      <w:r>
        <w:rPr>
          <w:rFonts w:cs="Times New Roman"/>
          <w:sz w:val="28"/>
          <w:szCs w:val="28"/>
        </w:rPr>
        <w:t xml:space="preserve">UBND tỉnh Hải </w:t>
      </w:r>
      <w:r>
        <w:rPr>
          <w:rFonts w:cs="Times New Roman"/>
          <w:sz w:val="28"/>
          <w:szCs w:val="28"/>
        </w:rPr>
        <w:lastRenderedPageBreak/>
        <w:t xml:space="preserve">Dương và UBND thành phố Hải Phòng trước hợp nhất đã ban hành các Quyết định </w:t>
      </w:r>
      <w:bookmarkStart w:id="2" w:name="loai_1_name"/>
      <w:r>
        <w:rPr>
          <w:rFonts w:cs="Times New Roman"/>
          <w:sz w:val="28"/>
          <w:szCs w:val="28"/>
          <w:shd w:val="clear" w:color="auto" w:fill="FFFFFF"/>
        </w:rPr>
        <w:t>ban hành quy chế tổ chức và hoạt động của thôn, tổ dân phố</w:t>
      </w:r>
      <w:bookmarkEnd w:id="2"/>
      <w:r>
        <w:rPr>
          <w:rFonts w:cs="Times New Roman"/>
          <w:sz w:val="28"/>
          <w:szCs w:val="28"/>
        </w:rPr>
        <w:t xml:space="preserve"> ở địa phương, gồm:</w:t>
      </w:r>
    </w:p>
    <w:p>
      <w:pPr>
        <w:spacing w:after="0"/>
        <w:rPr>
          <w:sz w:val="28"/>
          <w:szCs w:val="28"/>
        </w:rPr>
      </w:pPr>
      <w:r>
        <w:tab/>
      </w:r>
      <w:r>
        <w:rPr>
          <w:sz w:val="28"/>
          <w:szCs w:val="28"/>
        </w:rPr>
        <w:t>- Đối với thành phố Hải Phòng trước hợp nhất:</w:t>
      </w:r>
    </w:p>
    <w:p>
      <w:pPr>
        <w:spacing w:after="0"/>
        <w:ind w:firstLine="720"/>
        <w:rPr>
          <w:rStyle w:val="Strong"/>
          <w:b w:val="0"/>
          <w:bCs w:val="0"/>
          <w:sz w:val="28"/>
          <w:szCs w:val="28"/>
        </w:rPr>
      </w:pPr>
      <w:r>
        <w:rPr>
          <w:rFonts w:cs="Times New Roman"/>
          <w:sz w:val="28"/>
          <w:szCs w:val="28"/>
        </w:rPr>
        <w:t>+ Quyết định số 21/2018/QĐ-UBND ngày 10/8/2018 của UBND thành phố Hải Phòng</w:t>
      </w:r>
      <w:r>
        <w:rPr>
          <w:rFonts w:cs="Times New Roman"/>
          <w:b/>
          <w:bCs/>
          <w:sz w:val="28"/>
          <w:szCs w:val="28"/>
        </w:rPr>
        <w:t xml:space="preserve"> </w:t>
      </w:r>
      <w:r>
        <w:rPr>
          <w:rStyle w:val="Strong"/>
          <w:rFonts w:cs="Times New Roman"/>
          <w:b w:val="0"/>
          <w:bCs w:val="0"/>
          <w:sz w:val="28"/>
          <w:szCs w:val="28"/>
        </w:rPr>
        <w:t>Ban hành Quy chế tổ chức và hoạt động của thôn, tổ dân phố trên địa bàn thành phố Hải Phòng;</w:t>
      </w:r>
    </w:p>
    <w:p>
      <w:pPr>
        <w:spacing w:before="80" w:after="80" w:line="360" w:lineRule="exact"/>
        <w:ind w:firstLine="720"/>
        <w:jc w:val="both"/>
        <w:rPr>
          <w:rStyle w:val="Strong"/>
          <w:rFonts w:cs="Times New Roman"/>
          <w:b w:val="0"/>
          <w:sz w:val="28"/>
          <w:szCs w:val="28"/>
        </w:rPr>
      </w:pPr>
      <w:r>
        <w:rPr>
          <w:rFonts w:cs="Times New Roman"/>
          <w:sz w:val="28"/>
          <w:szCs w:val="28"/>
        </w:rPr>
        <w:t xml:space="preserve">+ Quyết định số 14/2019/QĐ-UBND ngày 10/5/2019 của UBND thành phố Hải Phòng </w:t>
      </w:r>
      <w:r>
        <w:rPr>
          <w:rStyle w:val="Strong"/>
          <w:rFonts w:cs="Times New Roman"/>
          <w:b w:val="0"/>
          <w:sz w:val="28"/>
          <w:szCs w:val="28"/>
        </w:rPr>
        <w:t>sửa đổi, bổ sung một số điều của Quy chế ban hành kèm theo Quyết định số </w:t>
      </w:r>
      <w:hyperlink r:id="rId8" w:tgtFrame="_blank" w:history="1">
        <w:r>
          <w:rPr>
            <w:rStyle w:val="Hyperlink"/>
            <w:rFonts w:cs="Times New Roman"/>
            <w:bCs/>
            <w:color w:val="auto"/>
            <w:sz w:val="28"/>
            <w:szCs w:val="28"/>
            <w:u w:val="none"/>
          </w:rPr>
          <w:t>21/2018/QĐ-UBND</w:t>
        </w:r>
      </w:hyperlink>
      <w:r>
        <w:rPr>
          <w:rStyle w:val="Strong"/>
          <w:rFonts w:cs="Times New Roman"/>
          <w:b w:val="0"/>
          <w:sz w:val="28"/>
          <w:szCs w:val="28"/>
        </w:rPr>
        <w:t> ngày 10/8/2018 của UBND thành phố;</w:t>
      </w:r>
    </w:p>
    <w:p>
      <w:pPr>
        <w:spacing w:before="80" w:after="80" w:line="360" w:lineRule="exact"/>
        <w:ind w:firstLine="720"/>
        <w:jc w:val="both"/>
        <w:rPr>
          <w:rFonts w:cs="Times New Roman"/>
          <w:sz w:val="28"/>
          <w:szCs w:val="28"/>
        </w:rPr>
      </w:pPr>
      <w:r>
        <w:rPr>
          <w:rFonts w:cs="Times New Roman"/>
          <w:sz w:val="28"/>
          <w:szCs w:val="28"/>
        </w:rPr>
        <w:t>+ Quyết định số 57/2022/QĐ-UBND ngày 10/10/2022 của UBND thành phố Hải Phòng sửa đổi, bổ sung một số điều của Quy chế ban hành kèm theo Quyết định số 21/2018/QĐ-UBND ngày 10/8/2018 và Quyết định số 14/2019/QĐ-UBND ngày 10/5/2019 của UBND thành phố.</w:t>
      </w:r>
    </w:p>
    <w:p>
      <w:pPr>
        <w:spacing w:before="80" w:after="80" w:line="360" w:lineRule="exact"/>
        <w:ind w:firstLine="720"/>
        <w:jc w:val="both"/>
        <w:rPr>
          <w:rFonts w:cs="Times New Roman"/>
          <w:bCs/>
          <w:sz w:val="28"/>
          <w:szCs w:val="28"/>
        </w:rPr>
      </w:pPr>
      <w:r>
        <w:rPr>
          <w:rFonts w:cs="Times New Roman"/>
          <w:sz w:val="28"/>
          <w:szCs w:val="28"/>
        </w:rPr>
        <w:t>- Đối với tỉnh Hải Dương trước hợp nhất:</w:t>
      </w:r>
    </w:p>
    <w:p>
      <w:pPr>
        <w:spacing w:before="80" w:after="80" w:line="360" w:lineRule="exact"/>
        <w:ind w:firstLine="720"/>
        <w:jc w:val="both"/>
        <w:rPr>
          <w:rFonts w:cs="Times New Roman"/>
          <w:sz w:val="28"/>
          <w:szCs w:val="28"/>
        </w:rPr>
      </w:pPr>
      <w:r>
        <w:rPr>
          <w:rStyle w:val="Strong"/>
          <w:rFonts w:cs="Times New Roman"/>
          <w:b w:val="0"/>
          <w:sz w:val="28"/>
          <w:szCs w:val="28"/>
        </w:rPr>
        <w:t>+ Quyết định số 16/2013/QĐ-UBND</w:t>
      </w:r>
      <w:r>
        <w:rPr>
          <w:rFonts w:cs="Times New Roman"/>
          <w:sz w:val="28"/>
          <w:szCs w:val="28"/>
        </w:rPr>
        <w:t xml:space="preserve"> ngày 07/8/2013 của UBND tỉnh Hải Dương quy định về </w:t>
      </w:r>
      <w:r>
        <w:rPr>
          <w:rStyle w:val="Strong"/>
          <w:rFonts w:cs="Times New Roman"/>
          <w:b w:val="0"/>
          <w:sz w:val="28"/>
          <w:szCs w:val="28"/>
        </w:rPr>
        <w:t>Quy chế tổ chức và hoạt động của thôn, khu dân cư;</w:t>
      </w:r>
    </w:p>
    <w:p>
      <w:pPr>
        <w:spacing w:before="80" w:after="80" w:line="360" w:lineRule="exact"/>
        <w:ind w:firstLine="720"/>
        <w:jc w:val="both"/>
        <w:rPr>
          <w:rFonts w:cs="Times New Roman"/>
          <w:sz w:val="28"/>
          <w:szCs w:val="28"/>
          <w:shd w:val="clear" w:color="auto" w:fill="FFFFFF"/>
        </w:rPr>
      </w:pPr>
      <w:r>
        <w:rPr>
          <w:rFonts w:cs="Times New Roman"/>
          <w:sz w:val="28"/>
          <w:szCs w:val="28"/>
        </w:rPr>
        <w:t xml:space="preserve">+ Quyết định số 18/2019/QĐ-UBND ngày 30/5/2019 của UBND tỉnh Hải Dương </w:t>
      </w:r>
      <w:r>
        <w:rPr>
          <w:rFonts w:cs="Times New Roman"/>
          <w:sz w:val="28"/>
          <w:szCs w:val="28"/>
          <w:shd w:val="clear" w:color="auto" w:fill="FFFFFF"/>
        </w:rPr>
        <w:t>sửa đổi, bổ sung một số điều của quy chế tổ chức và hoạt động của thôn, khu dân cư ban hành kèm theo quyết định số 16/2013/QĐ-UBND ngày 07/8/2013 của UBND tỉnh.</w:t>
      </w:r>
    </w:p>
    <w:p>
      <w:pPr>
        <w:spacing w:before="80" w:after="80" w:line="360" w:lineRule="exact"/>
        <w:ind w:firstLine="720"/>
        <w:jc w:val="both"/>
        <w:rPr>
          <w:rFonts w:cs="Times New Roman"/>
          <w:sz w:val="28"/>
          <w:szCs w:val="28"/>
          <w:shd w:val="clear" w:color="auto" w:fill="FFFFFF"/>
        </w:rPr>
      </w:pPr>
      <w:r>
        <w:rPr>
          <w:rFonts w:cs="Times New Roman"/>
          <w:sz w:val="28"/>
          <w:szCs w:val="28"/>
          <w:shd w:val="clear" w:color="auto" w:fill="FFFFFF"/>
        </w:rPr>
        <w:t>+ Quyết định số 35/2018/QĐ-UBND ngày 14/12/2018 của UBND tỉnh Hải Dương s</w:t>
      </w:r>
      <w:r>
        <w:rPr>
          <w:rFonts w:cs="Times New Roman"/>
          <w:sz w:val="28"/>
          <w:szCs w:val="28"/>
          <w:shd w:val="clear" w:color="auto" w:fill="FFFFFF"/>
          <w:lang w:val="vi-VN"/>
        </w:rPr>
        <w:t>ửa đổi và bãi bỏ một số điều của quyết định số 16/20</w:t>
      </w:r>
      <w:r>
        <w:rPr>
          <w:rFonts w:cs="Times New Roman"/>
          <w:sz w:val="28"/>
          <w:szCs w:val="28"/>
          <w:shd w:val="clear" w:color="auto" w:fill="FFFFFF"/>
        </w:rPr>
        <w:t>1</w:t>
      </w:r>
      <w:r>
        <w:rPr>
          <w:rFonts w:cs="Times New Roman"/>
          <w:sz w:val="28"/>
          <w:szCs w:val="28"/>
          <w:shd w:val="clear" w:color="auto" w:fill="FFFFFF"/>
          <w:lang w:val="vi-VN"/>
        </w:rPr>
        <w:t>3/QĐ-UBND ngày 07</w:t>
      </w:r>
      <w:r>
        <w:rPr>
          <w:rFonts w:cs="Times New Roman"/>
          <w:sz w:val="28"/>
          <w:szCs w:val="28"/>
          <w:shd w:val="clear" w:color="auto" w:fill="FFFFFF"/>
        </w:rPr>
        <w:t xml:space="preserve">/8/2013 </w:t>
      </w:r>
      <w:r>
        <w:rPr>
          <w:rFonts w:cs="Times New Roman"/>
          <w:sz w:val="28"/>
          <w:szCs w:val="28"/>
          <w:shd w:val="clear" w:color="auto" w:fill="FFFFFF"/>
          <w:lang w:val="vi-VN"/>
        </w:rPr>
        <w:t xml:space="preserve">của </w:t>
      </w:r>
      <w:r>
        <w:rPr>
          <w:rFonts w:cs="Times New Roman"/>
          <w:sz w:val="28"/>
          <w:szCs w:val="28"/>
          <w:shd w:val="clear" w:color="auto" w:fill="FFFFFF"/>
        </w:rPr>
        <w:t>UBND</w:t>
      </w:r>
      <w:r>
        <w:rPr>
          <w:rFonts w:cs="Times New Roman"/>
          <w:sz w:val="28"/>
          <w:szCs w:val="28"/>
          <w:shd w:val="clear" w:color="auto" w:fill="FFFFFF"/>
          <w:lang w:val="vi-VN"/>
        </w:rPr>
        <w:t xml:space="preserve"> tỉnh </w:t>
      </w:r>
      <w:r>
        <w:rPr>
          <w:rFonts w:cs="Times New Roman"/>
          <w:sz w:val="28"/>
          <w:szCs w:val="28"/>
          <w:shd w:val="clear" w:color="auto" w:fill="FFFFFF"/>
        </w:rPr>
        <w:t>H</w:t>
      </w:r>
      <w:r>
        <w:rPr>
          <w:rFonts w:cs="Times New Roman"/>
          <w:sz w:val="28"/>
          <w:szCs w:val="28"/>
          <w:shd w:val="clear" w:color="auto" w:fill="FFFFFF"/>
          <w:lang w:val="vi-VN"/>
        </w:rPr>
        <w:t xml:space="preserve">ải </w:t>
      </w:r>
      <w:r>
        <w:rPr>
          <w:rFonts w:cs="Times New Roman"/>
          <w:sz w:val="28"/>
          <w:szCs w:val="28"/>
          <w:shd w:val="clear" w:color="auto" w:fill="FFFFFF"/>
        </w:rPr>
        <w:t>D</w:t>
      </w:r>
      <w:r>
        <w:rPr>
          <w:rFonts w:cs="Times New Roman"/>
          <w:sz w:val="28"/>
          <w:szCs w:val="28"/>
          <w:shd w:val="clear" w:color="auto" w:fill="FFFFFF"/>
          <w:lang w:val="vi-VN"/>
        </w:rPr>
        <w:t>ương</w:t>
      </w:r>
      <w:r>
        <w:rPr>
          <w:rFonts w:cs="Times New Roman"/>
          <w:sz w:val="28"/>
          <w:szCs w:val="28"/>
          <w:shd w:val="clear" w:color="auto" w:fill="FFFFFF"/>
        </w:rPr>
        <w:t>.</w:t>
      </w:r>
    </w:p>
    <w:p>
      <w:pPr>
        <w:spacing w:before="80" w:after="80" w:line="360" w:lineRule="exact"/>
        <w:ind w:firstLine="720"/>
        <w:jc w:val="both"/>
        <w:rPr>
          <w:rFonts w:cs="Times New Roman"/>
          <w:sz w:val="28"/>
          <w:szCs w:val="28"/>
        </w:rPr>
      </w:pPr>
      <w:r>
        <w:rPr>
          <w:rFonts w:cs="Times New Roman"/>
          <w:sz w:val="28"/>
          <w:szCs w:val="28"/>
          <w:shd w:val="clear" w:color="auto" w:fill="FFFFFF"/>
        </w:rPr>
        <w:t xml:space="preserve">Ngày 30/8/2025, UBND thành phố Hải phòng đã ban hành Quyết định số 3574/QĐ-UBND về việc áp dụng các văn bản quy phạm pháp luật do UBND thành phố Hải Phòng (cũ) và tỉnh Hải Dương ban hành trên địa bàn thành phố Hải Phòng (mới). Theo đó, trên địa bàn thành phố Hải Phòng sau hợp nhất áp dụng các Quyết định đã ban hành của thành phố Hải Phòng cũ gồm: </w:t>
      </w:r>
      <w:r>
        <w:rPr>
          <w:rFonts w:cs="Times New Roman"/>
          <w:sz w:val="28"/>
          <w:szCs w:val="28"/>
        </w:rPr>
        <w:t>Quyết định số 21/2018/QĐ-UBND, Quyết định số 14/2019/QĐ-UBND và Quyết định số 57/2022/QĐ-UBND.</w:t>
      </w:r>
    </w:p>
    <w:p>
      <w:pPr>
        <w:spacing w:before="80" w:after="80" w:line="360" w:lineRule="exact"/>
        <w:ind w:firstLine="720"/>
        <w:jc w:val="both"/>
        <w:rPr>
          <w:rFonts w:cs="Times New Roman"/>
          <w:sz w:val="28"/>
          <w:szCs w:val="28"/>
        </w:rPr>
      </w:pPr>
      <w:r>
        <w:rPr>
          <w:rFonts w:cs="Times New Roman"/>
          <w:sz w:val="28"/>
          <w:szCs w:val="28"/>
        </w:rPr>
        <w:t>Sau khi thực hiện sắp xếp đơn vị hành chính các cấp năm 2025 và tổ chức chính quyền địa phương 02 cấp, chính quyền cấp xã trực tiếp quản lý địa bàn với diện tích rộng hơn, số lượng thôn, tổ dân phố, quy mô số hộ, số dân lớn hơn, khối lượng công việc ở thôn, tổ dân phố thay đổi đáng kể. Thôn, tổ dân phố là địa bàn quan trọng để tổ chức hoạt động tự quản của cộng đồng dân cư, tuyên truyền, vận động Nhân dân, phản ánh tình hình và phối hợp thực hiện nhiệm vụ phát triển kinh tế - xã hội, quốc phòng, an ninh ở cơ sở.</w:t>
      </w:r>
    </w:p>
    <w:p>
      <w:pPr>
        <w:spacing w:before="80" w:after="80" w:line="360" w:lineRule="exact"/>
        <w:ind w:firstLine="720"/>
        <w:jc w:val="both"/>
        <w:rPr>
          <w:rFonts w:cs="Times New Roman"/>
          <w:sz w:val="28"/>
          <w:szCs w:val="28"/>
        </w:rPr>
      </w:pPr>
      <w:r>
        <w:rPr>
          <w:rFonts w:cs="Times New Roman"/>
          <w:sz w:val="28"/>
          <w:szCs w:val="28"/>
        </w:rPr>
        <w:lastRenderedPageBreak/>
        <w:t>Tại Kế hoạch số 192/KH-UBND ngày 27/5/2026, UBND thành phố giao Sở Nội vụ chủ trì, tham mưu xây dựng Quyết định ban hành Quy chế tổ chức, hoạt động của thôn, tổ dân phố trên địa bàn thành phố.</w:t>
      </w:r>
    </w:p>
    <w:p>
      <w:pPr>
        <w:pStyle w:val="NormalWeb"/>
        <w:shd w:val="clear" w:color="auto" w:fill="FFFFFF"/>
        <w:spacing w:before="80" w:beforeAutospacing="0" w:after="80" w:afterAutospacing="0" w:line="360" w:lineRule="exact"/>
        <w:jc w:val="both"/>
        <w:rPr>
          <w:i/>
          <w:sz w:val="28"/>
          <w:szCs w:val="28"/>
        </w:rPr>
      </w:pPr>
      <w:r>
        <w:rPr>
          <w:sz w:val="28"/>
          <w:szCs w:val="28"/>
        </w:rPr>
        <w:tab/>
        <w:t>Ngày 26/5/2026 Chính phủ đã ban hành Nghị định số 185/2026/NĐ-CP quy định về tổ chức, hoạt động của thôn, tổ dân phố và chế độ, chính sách đối với người hoạt động không chuyên trách ở thôn, tổ dân phố quy định trách nhiệm của Ủy ban nhân dân cấp tỉnh: “</w:t>
      </w:r>
      <w:r>
        <w:rPr>
          <w:i/>
          <w:sz w:val="28"/>
          <w:szCs w:val="28"/>
        </w:rPr>
        <w:t>a) Ban hành Quy chế tổ chức và hoạt động của thôn, tổ dân phố phù hợp với tình hình thực tế ở địa phương; …”.</w:t>
      </w:r>
    </w:p>
    <w:p>
      <w:pPr>
        <w:spacing w:before="80" w:after="80" w:line="360" w:lineRule="exact"/>
        <w:ind w:firstLine="720"/>
        <w:jc w:val="both"/>
        <w:rPr>
          <w:rFonts w:cs="Times New Roman"/>
          <w:b/>
          <w:i/>
          <w:sz w:val="28"/>
          <w:szCs w:val="28"/>
        </w:rPr>
      </w:pPr>
      <w:r>
        <w:rPr>
          <w:rFonts w:cs="Times New Roman"/>
          <w:sz w:val="28"/>
          <w:szCs w:val="28"/>
        </w:rPr>
        <w:t xml:space="preserve">Bên cạnh đó, nội dung quy định về </w:t>
      </w:r>
      <w:r>
        <w:rPr>
          <w:rStyle w:val="Strong"/>
          <w:rFonts w:cs="Times New Roman"/>
          <w:b w:val="0"/>
          <w:sz w:val="28"/>
          <w:szCs w:val="28"/>
        </w:rPr>
        <w:t xml:space="preserve">Quy chế tổ chức và hoạt động của thôn, tổ dân phố tại </w:t>
      </w:r>
      <w:r>
        <w:rPr>
          <w:rFonts w:cs="Times New Roman"/>
          <w:sz w:val="28"/>
          <w:szCs w:val="28"/>
        </w:rPr>
        <w:t>Thông tư số 04/2012/TT-BNV, Thông tư số 14/2018/TT-BNV của Bộ Nội vụ hướng dẫn về tổ chức và hoạt động của thôn, tổ dân phố đã được quy định tại Chương I, Chương II Nghị định</w:t>
      </w:r>
      <w:r>
        <w:rPr>
          <w:rFonts w:cs="Times New Roman"/>
          <w:b/>
          <w:i/>
          <w:sz w:val="28"/>
          <w:szCs w:val="28"/>
        </w:rPr>
        <w:t xml:space="preserve"> </w:t>
      </w:r>
      <w:r>
        <w:rPr>
          <w:rFonts w:cs="Times New Roman"/>
          <w:sz w:val="28"/>
          <w:szCs w:val="28"/>
        </w:rPr>
        <w:t>số 185/2026/NĐ-CP.</w:t>
      </w:r>
    </w:p>
    <w:p>
      <w:pPr>
        <w:spacing w:before="80" w:after="80" w:line="360" w:lineRule="exact"/>
        <w:ind w:firstLine="720"/>
        <w:jc w:val="both"/>
        <w:rPr>
          <w:rFonts w:cs="Times New Roman"/>
          <w:sz w:val="28"/>
          <w:szCs w:val="28"/>
        </w:rPr>
      </w:pPr>
      <w:r>
        <w:rPr>
          <w:rFonts w:cs="Times New Roman"/>
          <w:sz w:val="28"/>
          <w:szCs w:val="28"/>
        </w:rPr>
        <w:t xml:space="preserve">Vì vậy các quy định, quy chế cũ về tổ chức và hoạt động của thôn, tổ dân phố được ban hành căn cứ Thông tư số 04/2012/TT-BNV, Thông tư số 14/2018/TT-BNV và </w:t>
      </w:r>
      <w:r>
        <w:rPr>
          <w:bCs/>
          <w:sz w:val="28"/>
          <w:szCs w:val="28"/>
        </w:rPr>
        <w:t>Thông tư số 05/2022/TT-BNV ngày 23/5/2022</w:t>
      </w:r>
      <w:r>
        <w:rPr>
          <w:bCs/>
        </w:rPr>
        <w:t xml:space="preserve"> </w:t>
      </w:r>
      <w:r>
        <w:rPr>
          <w:rFonts w:cs="Times New Roman"/>
          <w:sz w:val="28"/>
          <w:szCs w:val="28"/>
        </w:rPr>
        <w:t>của Bộ trưởng Bộ Nội vụ không còn phù hợp, cần được rà soát, thay thế, cập nhật để phù hợp với Nghị định số 185/2026/NĐ-CP của Chính phủ, Luật Tổ chức chính quyền địa phương năm 2025, Luật Ban hành văn bản quy phạm pháp luật năm 2025, Luật Thực hiện dân chủ ở cơ sở và mô hình chính quyền địa phương 02 cấp.</w:t>
      </w:r>
    </w:p>
    <w:p>
      <w:pPr>
        <w:spacing w:before="80" w:after="80" w:line="360" w:lineRule="exact"/>
        <w:ind w:firstLine="720"/>
        <w:jc w:val="both"/>
        <w:rPr>
          <w:rFonts w:cs="Times New Roman"/>
          <w:sz w:val="28"/>
          <w:szCs w:val="28"/>
        </w:rPr>
      </w:pPr>
      <w:r>
        <w:rPr>
          <w:rFonts w:cs="Times New Roman"/>
          <w:sz w:val="28"/>
          <w:szCs w:val="28"/>
        </w:rPr>
        <w:t>Do đó, việc ban hành Quyết định ban hành Quy chế tổ chức và hoạt động của thôn, tổ dân phố trên địa bàn thành phố Hải Phòng là cần thiết, tạo cơ sở pháp lý thống nhất để các xã, phường, đặc khu trên địa bàn thành phố tổ chức thực hiện; bảo đảm hoạt động của thôn, tổ dân phố sau sắp xếp ổn định, liên tục, dân chủ, công khai, hiệu quả và phù hợp điều kiện thực tế của thành phố.</w:t>
      </w:r>
    </w:p>
    <w:p>
      <w:pPr>
        <w:spacing w:before="80" w:after="80" w:line="360" w:lineRule="exact"/>
        <w:ind w:firstLine="720"/>
        <w:jc w:val="both"/>
        <w:rPr>
          <w:rFonts w:cs="Times New Roman"/>
          <w:b/>
          <w:sz w:val="28"/>
          <w:szCs w:val="28"/>
        </w:rPr>
      </w:pPr>
      <w:r>
        <w:rPr>
          <w:rFonts w:cs="Times New Roman"/>
          <w:b/>
          <w:sz w:val="28"/>
          <w:szCs w:val="28"/>
        </w:rPr>
        <w:t>II. MỤC ĐÍCH BAN HÀNH, QUAN ĐIỂM XÂY DỰNG DỰ THẢO QUYẾT ĐỊNH</w:t>
      </w:r>
    </w:p>
    <w:p>
      <w:pPr>
        <w:spacing w:before="80" w:after="80" w:line="360" w:lineRule="exact"/>
        <w:ind w:firstLine="720"/>
        <w:jc w:val="both"/>
        <w:rPr>
          <w:rFonts w:cs="Times New Roman"/>
          <w:b/>
          <w:sz w:val="28"/>
          <w:szCs w:val="28"/>
        </w:rPr>
      </w:pPr>
      <w:r>
        <w:rPr>
          <w:rFonts w:cs="Times New Roman"/>
          <w:b/>
          <w:sz w:val="28"/>
          <w:szCs w:val="28"/>
        </w:rPr>
        <w:t>1. Mục đích ban hành văn bản</w:t>
      </w:r>
    </w:p>
    <w:p>
      <w:pPr>
        <w:spacing w:before="80" w:after="80" w:line="360" w:lineRule="exact"/>
        <w:ind w:firstLine="720"/>
        <w:jc w:val="both"/>
        <w:rPr>
          <w:rFonts w:cs="Times New Roman"/>
          <w:sz w:val="28"/>
          <w:szCs w:val="28"/>
        </w:rPr>
      </w:pPr>
      <w:r>
        <w:rPr>
          <w:rFonts w:cs="Times New Roman"/>
          <w:sz w:val="28"/>
          <w:szCs w:val="28"/>
        </w:rPr>
        <w:t>Cụ thể hóa nhiệm vụ được giao tại Nghị định số 185/2026/NĐ-CP; tạo khuôn khổ thống nhất cho tổ chức và hoạt động của thôn, tổ dân phố sau sắp xếp, tổ chức lại; phát huy dân chủ ở cơ sở, vai trò tự quản của cộng đồng dân cư; xác định rõ trách nhiệm phối hợp giữa thôn, tổ dân phố với Ủy ban nhân dân cấp xã, cấp ủy, Ban Công tác Mặt trận và các tổ chức chính trị - xã hội; nâng cao hiệu quả quản lý địa bàn, phục vụ Nhân dân.</w:t>
      </w:r>
    </w:p>
    <w:p>
      <w:pPr>
        <w:spacing w:before="80" w:after="80" w:line="360" w:lineRule="exact"/>
        <w:ind w:firstLine="720"/>
        <w:jc w:val="both"/>
        <w:rPr>
          <w:rFonts w:cs="Times New Roman"/>
          <w:b/>
          <w:sz w:val="28"/>
          <w:szCs w:val="28"/>
        </w:rPr>
      </w:pPr>
      <w:r>
        <w:rPr>
          <w:rFonts w:cs="Times New Roman"/>
          <w:b/>
          <w:sz w:val="28"/>
          <w:szCs w:val="28"/>
        </w:rPr>
        <w:t>2. Quan điểm xây dựng dự thảo Quyết định</w:t>
      </w:r>
    </w:p>
    <w:p>
      <w:pPr>
        <w:spacing w:before="80" w:after="80" w:line="360" w:lineRule="exact"/>
        <w:ind w:firstLine="720"/>
        <w:jc w:val="both"/>
        <w:rPr>
          <w:rFonts w:cs="Times New Roman"/>
          <w:sz w:val="28"/>
          <w:szCs w:val="28"/>
        </w:rPr>
      </w:pPr>
      <w:r>
        <w:rPr>
          <w:rFonts w:cs="Times New Roman"/>
          <w:sz w:val="28"/>
          <w:szCs w:val="28"/>
        </w:rPr>
        <w:t xml:space="preserve">Bảo đảm đúng thẩm quyền, đúng hình thức văn bản, đúng trình tự, thủ tục xây dựng, ban hành văn bản quy phạm pháp luật; bám sát Nghị định số 185/2026/NĐ-CP, Luật Thực hiện dân chủ ở cơ sở và quy định pháp luật có liên quan; phù hợp với mô hình chính quyền địa phương 02 cấp, điều kiện thực tế sau sắp xếp đơn vị hành </w:t>
      </w:r>
      <w:r>
        <w:rPr>
          <w:rFonts w:cs="Times New Roman"/>
          <w:sz w:val="28"/>
          <w:szCs w:val="28"/>
        </w:rPr>
        <w:lastRenderedPageBreak/>
        <w:t>chính, sắp xếp thôn, tổ dân phố; bảo đảm công khai, dân chủ, minh bạch, dễ thực hiện, không làm phát sinh thủ tục hành chính không cần thiết, không làm tăng tổ chức bộ máy và kinh phí ngoài quy định.</w:t>
      </w:r>
    </w:p>
    <w:p>
      <w:pPr>
        <w:spacing w:before="80" w:after="80" w:line="360" w:lineRule="exact"/>
        <w:ind w:firstLine="720"/>
        <w:jc w:val="both"/>
        <w:rPr>
          <w:rFonts w:cs="Times New Roman"/>
          <w:b/>
          <w:sz w:val="28"/>
          <w:szCs w:val="28"/>
        </w:rPr>
      </w:pPr>
      <w:r>
        <w:rPr>
          <w:rFonts w:cs="Times New Roman"/>
          <w:b/>
          <w:sz w:val="28"/>
          <w:szCs w:val="28"/>
        </w:rPr>
        <w:t>III. QUÁ TRÌNH XÂY DỰNG DỰ THẢO QUYẾT ĐỊNH</w:t>
      </w:r>
    </w:p>
    <w:p>
      <w:pPr>
        <w:widowControl w:val="0"/>
        <w:spacing w:before="120" w:after="120"/>
        <w:ind w:firstLine="720"/>
        <w:jc w:val="both"/>
        <w:rPr>
          <w:rFonts w:cs="Times New Roman"/>
          <w:b/>
          <w:bCs/>
          <w:sz w:val="28"/>
          <w:szCs w:val="28"/>
          <w:lang w:val="vi-VN" w:eastAsia="vi-VN"/>
        </w:rPr>
      </w:pPr>
      <w:r>
        <w:rPr>
          <w:rFonts w:cs="Times New Roman"/>
          <w:b/>
          <w:bCs/>
          <w:sz w:val="28"/>
          <w:szCs w:val="28"/>
          <w:lang w:val="vi-VN" w:eastAsia="vi-VN"/>
        </w:rPr>
        <w:t>1. Về việc đăng ký xây dựng văn bản quy phạm pháp luật</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Thực hiện chỉ đạo của UBND thành phố tại </w:t>
      </w:r>
      <w:r>
        <w:rPr>
          <w:rFonts w:cs="Times New Roman"/>
          <w:sz w:val="28"/>
          <w:szCs w:val="28"/>
        </w:rPr>
        <w:t>Kế hoạch số 192/KH-UBND ngày 27/5/2026, theo đó: giao Sở Nội vụ chủ trì, tham mưu xây dựng Quyết định ban hành Quy chế tổ chức, hoạt động của thôn, tổ dân phố trên địa bàn thành phố.</w:t>
      </w:r>
      <w:r>
        <w:rPr>
          <w:rFonts w:cs="Times New Roman"/>
          <w:bCs/>
          <w:sz w:val="28"/>
          <w:szCs w:val="28"/>
          <w:lang w:val="vi-VN" w:eastAsia="vi-VN"/>
        </w:rPr>
        <w:t xml:space="preserve"> Sở Nội vụ đã xây dựng dự thảo Tờ trình của Sở Nội vụ, dự thảo Quyết định của Chủ tịch UBND thành phố về việc phê duyệt đăng ký xây dựng văn bản quy phạm pháp luật và có Công văn số </w:t>
      </w:r>
      <w:r>
        <w:rPr>
          <w:rFonts w:cs="Times New Roman"/>
          <w:bCs/>
          <w:sz w:val="28"/>
          <w:szCs w:val="28"/>
          <w:lang w:eastAsia="vi-VN"/>
        </w:rPr>
        <w:t>4055</w:t>
      </w:r>
      <w:r>
        <w:rPr>
          <w:rFonts w:cs="Times New Roman"/>
          <w:bCs/>
          <w:sz w:val="28"/>
          <w:szCs w:val="28"/>
          <w:lang w:val="vi-VN" w:eastAsia="vi-VN"/>
        </w:rPr>
        <w:t>/SNV-</w:t>
      </w:r>
      <w:r>
        <w:rPr>
          <w:rFonts w:cs="Times New Roman"/>
          <w:bCs/>
          <w:sz w:val="28"/>
          <w:szCs w:val="28"/>
          <w:lang w:eastAsia="vi-VN"/>
        </w:rPr>
        <w:t xml:space="preserve"> XDCQ&amp;CTTN</w:t>
      </w:r>
      <w:r>
        <w:rPr>
          <w:rFonts w:cs="Times New Roman"/>
          <w:bCs/>
          <w:sz w:val="28"/>
          <w:szCs w:val="28"/>
          <w:lang w:val="vi-VN" w:eastAsia="vi-VN"/>
        </w:rPr>
        <w:t xml:space="preserve"> ngày </w:t>
      </w:r>
      <w:r>
        <w:rPr>
          <w:rFonts w:cs="Times New Roman"/>
          <w:bCs/>
          <w:sz w:val="28"/>
          <w:szCs w:val="28"/>
          <w:lang w:eastAsia="vi-VN"/>
        </w:rPr>
        <w:t>15/7</w:t>
      </w:r>
      <w:r>
        <w:rPr>
          <w:rFonts w:cs="Times New Roman"/>
          <w:bCs/>
          <w:sz w:val="28"/>
          <w:szCs w:val="28"/>
          <w:lang w:val="vi-VN" w:eastAsia="vi-VN"/>
        </w:rPr>
        <w:t>/2026 xin ý kiến Sở Tư pháp đối với dự thảo các văn bản nêu trên.</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Ngày </w:t>
      </w:r>
      <w:r>
        <w:rPr>
          <w:rFonts w:cs="Times New Roman"/>
          <w:bCs/>
          <w:sz w:val="28"/>
          <w:szCs w:val="28"/>
          <w:lang w:eastAsia="vi-VN"/>
        </w:rPr>
        <w:t>17/7</w:t>
      </w:r>
      <w:r>
        <w:rPr>
          <w:rFonts w:cs="Times New Roman"/>
          <w:bCs/>
          <w:sz w:val="28"/>
          <w:szCs w:val="28"/>
          <w:lang w:val="vi-VN" w:eastAsia="vi-VN"/>
        </w:rPr>
        <w:t xml:space="preserve">/2026, Sở Tư pháp có Công văn số </w:t>
      </w:r>
      <w:r>
        <w:rPr>
          <w:rFonts w:cs="Times New Roman"/>
          <w:bCs/>
          <w:sz w:val="28"/>
          <w:szCs w:val="28"/>
          <w:lang w:eastAsia="vi-VN"/>
        </w:rPr>
        <w:t>3440</w:t>
      </w:r>
      <w:r>
        <w:rPr>
          <w:rFonts w:cs="Times New Roman"/>
          <w:bCs/>
          <w:sz w:val="28"/>
          <w:szCs w:val="28"/>
          <w:lang w:val="vi-VN" w:eastAsia="vi-VN"/>
        </w:rPr>
        <w:t>/STP-XDVB tham gia ý kiến dự thảo Tờ trình đăng</w:t>
      </w:r>
      <w:r>
        <w:rPr>
          <w:rFonts w:cs="Times New Roman"/>
          <w:bCs/>
          <w:sz w:val="28"/>
          <w:szCs w:val="28"/>
          <w:lang w:eastAsia="vi-VN"/>
        </w:rPr>
        <w:t xml:space="preserve"> </w:t>
      </w:r>
      <w:r>
        <w:rPr>
          <w:rFonts w:cs="Times New Roman"/>
          <w:bCs/>
          <w:sz w:val="28"/>
          <w:szCs w:val="28"/>
          <w:lang w:val="vi-VN" w:eastAsia="vi-VN"/>
        </w:rPr>
        <w:t>ký xây dựng Quyết định của Ủy ban nhân</w:t>
      </w:r>
      <w:r>
        <w:rPr>
          <w:rFonts w:cs="Times New Roman"/>
          <w:bCs/>
          <w:sz w:val="28"/>
          <w:szCs w:val="28"/>
          <w:lang w:eastAsia="vi-VN"/>
        </w:rPr>
        <w:t xml:space="preserve"> </w:t>
      </w:r>
      <w:r>
        <w:rPr>
          <w:rFonts w:cs="Times New Roman"/>
          <w:bCs/>
          <w:sz w:val="28"/>
          <w:szCs w:val="28"/>
          <w:lang w:val="vi-VN" w:eastAsia="vi-VN"/>
        </w:rPr>
        <w:t>dân thành phố ban hành Quy chế tổ chức</w:t>
      </w:r>
      <w:r>
        <w:rPr>
          <w:rFonts w:cs="Times New Roman"/>
          <w:bCs/>
          <w:sz w:val="28"/>
          <w:szCs w:val="28"/>
          <w:lang w:eastAsia="vi-VN"/>
        </w:rPr>
        <w:t xml:space="preserve"> </w:t>
      </w:r>
      <w:r>
        <w:rPr>
          <w:rFonts w:cs="Times New Roman"/>
          <w:bCs/>
          <w:sz w:val="28"/>
          <w:szCs w:val="28"/>
          <w:lang w:val="vi-VN" w:eastAsia="vi-VN"/>
        </w:rPr>
        <w:t>và hoạt động của thôn, tổ dân phố trên</w:t>
      </w:r>
      <w:r>
        <w:rPr>
          <w:rFonts w:cs="Times New Roman"/>
          <w:bCs/>
          <w:sz w:val="28"/>
          <w:szCs w:val="28"/>
          <w:lang w:eastAsia="vi-VN"/>
        </w:rPr>
        <w:t xml:space="preserve"> </w:t>
      </w:r>
      <w:r>
        <w:rPr>
          <w:rFonts w:cs="Times New Roman"/>
          <w:bCs/>
          <w:sz w:val="28"/>
          <w:szCs w:val="28"/>
          <w:lang w:val="vi-VN" w:eastAsia="vi-VN"/>
        </w:rPr>
        <w:t>địa bàn thành phố Hải Phòng, theo đó: Sở Tư pháp thống nhất với Sở Nội vụ về việc đăng ký xây dựng Quyết định.</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Ngày </w:t>
      </w:r>
      <w:r>
        <w:rPr>
          <w:rFonts w:cs="Times New Roman"/>
          <w:bCs/>
          <w:sz w:val="28"/>
          <w:szCs w:val="28"/>
          <w:lang w:eastAsia="vi-VN"/>
        </w:rPr>
        <w:t>18/7</w:t>
      </w:r>
      <w:r>
        <w:rPr>
          <w:rFonts w:cs="Times New Roman"/>
          <w:bCs/>
          <w:sz w:val="28"/>
          <w:szCs w:val="28"/>
          <w:lang w:val="vi-VN" w:eastAsia="vi-VN"/>
        </w:rPr>
        <w:t xml:space="preserve">/2026, Sở Nội vụ có Tờ trình số </w:t>
      </w:r>
      <w:r>
        <w:rPr>
          <w:rFonts w:cs="Times New Roman"/>
          <w:bCs/>
          <w:sz w:val="28"/>
          <w:szCs w:val="28"/>
          <w:lang w:eastAsia="vi-VN"/>
        </w:rPr>
        <w:t>522</w:t>
      </w:r>
      <w:r>
        <w:rPr>
          <w:rFonts w:cs="Times New Roman"/>
          <w:bCs/>
          <w:sz w:val="28"/>
          <w:szCs w:val="28"/>
          <w:lang w:val="vi-VN" w:eastAsia="vi-VN"/>
        </w:rPr>
        <w:t>/TTr-SNV trình UBND thành phố về việc phê duyệt đăng ký xây dựng Quyết định của Ủy ban nhân dân</w:t>
      </w:r>
      <w:r>
        <w:rPr>
          <w:rFonts w:cs="Times New Roman"/>
          <w:bCs/>
          <w:sz w:val="28"/>
          <w:szCs w:val="28"/>
          <w:lang w:eastAsia="vi-VN"/>
        </w:rPr>
        <w:t xml:space="preserve"> </w:t>
      </w:r>
      <w:r>
        <w:rPr>
          <w:rFonts w:cs="Times New Roman"/>
          <w:bCs/>
          <w:sz w:val="28"/>
          <w:szCs w:val="28"/>
          <w:lang w:val="vi-VN" w:eastAsia="vi-VN"/>
        </w:rPr>
        <w:t>thành phố ban hành Quy chế tổ chức và hoạt động của thôn, tổ dân phố</w:t>
      </w:r>
      <w:r>
        <w:rPr>
          <w:rFonts w:cs="Times New Roman"/>
          <w:bCs/>
          <w:sz w:val="28"/>
          <w:szCs w:val="28"/>
          <w:lang w:eastAsia="vi-VN"/>
        </w:rPr>
        <w:t xml:space="preserve"> </w:t>
      </w:r>
      <w:r>
        <w:rPr>
          <w:rFonts w:cs="Times New Roman"/>
          <w:bCs/>
          <w:sz w:val="28"/>
          <w:szCs w:val="28"/>
          <w:lang w:val="vi-VN" w:eastAsia="vi-VN"/>
        </w:rPr>
        <w:t>trên địa bàn thành phố Hải Phòng.</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Ngày </w:t>
      </w:r>
      <w:r>
        <w:rPr>
          <w:rFonts w:cs="Times New Roman"/>
          <w:bCs/>
          <w:sz w:val="28"/>
          <w:szCs w:val="28"/>
          <w:lang w:eastAsia="vi-VN"/>
        </w:rPr>
        <w:t>21/7</w:t>
      </w:r>
      <w:r>
        <w:rPr>
          <w:rFonts w:cs="Times New Roman"/>
          <w:bCs/>
          <w:sz w:val="28"/>
          <w:szCs w:val="28"/>
          <w:lang w:val="vi-VN" w:eastAsia="vi-VN"/>
        </w:rPr>
        <w:t xml:space="preserve">/2026, Chủ tịch UBND thành phố đã ban hành Quyết định số </w:t>
      </w:r>
      <w:r>
        <w:rPr>
          <w:rFonts w:cs="Times New Roman"/>
          <w:bCs/>
          <w:sz w:val="28"/>
          <w:szCs w:val="28"/>
          <w:lang w:eastAsia="vi-VN"/>
        </w:rPr>
        <w:t>2817</w:t>
      </w:r>
      <w:r>
        <w:rPr>
          <w:rFonts w:cs="Times New Roman"/>
          <w:bCs/>
          <w:spacing w:val="-2"/>
          <w:sz w:val="28"/>
          <w:szCs w:val="28"/>
          <w:lang w:val="vi-VN" w:eastAsia="vi-VN"/>
        </w:rPr>
        <w:t>/QĐ-UBND về việc phê duyệt đăng ký xây dựng văn bản quy phạm pháp luật.</w:t>
      </w:r>
    </w:p>
    <w:p>
      <w:pPr>
        <w:widowControl w:val="0"/>
        <w:spacing w:before="120" w:after="120"/>
        <w:ind w:firstLine="720"/>
        <w:jc w:val="both"/>
        <w:rPr>
          <w:rFonts w:cs="Times New Roman"/>
          <w:b/>
          <w:bCs/>
          <w:sz w:val="28"/>
          <w:szCs w:val="28"/>
          <w:lang w:val="vi-VN" w:eastAsia="vi-VN"/>
        </w:rPr>
      </w:pPr>
      <w:r>
        <w:rPr>
          <w:rFonts w:cs="Times New Roman"/>
          <w:b/>
          <w:bCs/>
          <w:sz w:val="28"/>
          <w:szCs w:val="28"/>
          <w:lang w:val="vi-VN" w:eastAsia="vi-VN"/>
        </w:rPr>
        <w:t>2. Về việc dự thảo văn bản và xin ý kiến các cơ quan, đơn vị liên quan</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Căn cứ các quy định có liên quan nêu trên; Sở Nội vụ đã xây dựng dự thảo hồ sơ Quyết định ban hành </w:t>
      </w:r>
      <w:r>
        <w:rPr>
          <w:rFonts w:cs="Times New Roman"/>
          <w:sz w:val="28"/>
          <w:szCs w:val="28"/>
        </w:rPr>
        <w:t>Quy chế tổ chức và hoạt động của thôn, tổ dân phố trên địa bàn thành phố Hải Phòng</w:t>
      </w:r>
      <w:r>
        <w:rPr>
          <w:rFonts w:cs="Times New Roman"/>
          <w:bCs/>
          <w:sz w:val="28"/>
          <w:szCs w:val="28"/>
          <w:lang w:val="vi-VN" w:eastAsia="vi-VN"/>
        </w:rPr>
        <w:t>.</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 Ngày </w:t>
      </w:r>
      <w:r>
        <w:rPr>
          <w:rFonts w:cs="Times New Roman"/>
          <w:bCs/>
          <w:sz w:val="28"/>
          <w:szCs w:val="28"/>
          <w:lang w:eastAsia="vi-VN"/>
        </w:rPr>
        <w:t>30</w:t>
      </w:r>
      <w:r>
        <w:rPr>
          <w:rFonts w:cs="Times New Roman"/>
          <w:bCs/>
          <w:sz w:val="28"/>
          <w:szCs w:val="28"/>
          <w:lang w:val="vi-VN" w:eastAsia="vi-VN"/>
        </w:rPr>
        <w:t>/</w:t>
      </w:r>
      <w:r>
        <w:rPr>
          <w:rFonts w:cs="Times New Roman"/>
          <w:bCs/>
          <w:sz w:val="28"/>
          <w:szCs w:val="28"/>
          <w:lang w:eastAsia="vi-VN"/>
        </w:rPr>
        <w:t>7</w:t>
      </w:r>
      <w:r>
        <w:rPr>
          <w:rFonts w:cs="Times New Roman"/>
          <w:bCs/>
          <w:sz w:val="28"/>
          <w:szCs w:val="28"/>
          <w:lang w:val="vi-VN" w:eastAsia="vi-VN"/>
        </w:rPr>
        <w:t xml:space="preserve">/2026, Sở Nội vụ có Công văn số </w:t>
      </w:r>
      <w:r>
        <w:rPr>
          <w:rFonts w:cs="Times New Roman"/>
          <w:bCs/>
          <w:sz w:val="28"/>
          <w:szCs w:val="28"/>
          <w:lang w:eastAsia="vi-VN"/>
        </w:rPr>
        <w:t>4432</w:t>
      </w:r>
      <w:r>
        <w:rPr>
          <w:rFonts w:cs="Times New Roman"/>
          <w:bCs/>
          <w:sz w:val="28"/>
          <w:szCs w:val="28"/>
          <w:lang w:val="vi-VN" w:eastAsia="vi-VN"/>
        </w:rPr>
        <w:t>/SNV-</w:t>
      </w:r>
      <w:r>
        <w:rPr>
          <w:rFonts w:cs="Times New Roman"/>
          <w:bCs/>
          <w:sz w:val="28"/>
          <w:szCs w:val="28"/>
          <w:lang w:eastAsia="vi-VN"/>
        </w:rPr>
        <w:t>XDCQ&amp;CTTN</w:t>
      </w:r>
      <w:r>
        <w:rPr>
          <w:rFonts w:cs="Times New Roman"/>
          <w:bCs/>
          <w:sz w:val="28"/>
          <w:szCs w:val="28"/>
          <w:lang w:val="vi-VN" w:eastAsia="vi-VN"/>
        </w:rPr>
        <w:t xml:space="preserve"> gửi xin ý kiến </w:t>
      </w:r>
      <w:r>
        <w:rPr>
          <w:rFonts w:cs="Times New Roman"/>
          <w:bCs/>
          <w:sz w:val="28"/>
          <w:szCs w:val="28"/>
          <w:lang w:eastAsia="vi-VN"/>
        </w:rPr>
        <w:t xml:space="preserve">các Ban Xây dựng Đảng; </w:t>
      </w:r>
      <w:r>
        <w:rPr>
          <w:rFonts w:cs="Times New Roman"/>
          <w:bCs/>
          <w:sz w:val="28"/>
          <w:szCs w:val="28"/>
          <w:lang w:val="vi-VN" w:eastAsia="vi-VN"/>
        </w:rPr>
        <w:t>Ủy ban Mặt trận tổ quốc Việt Nam thành phố; các sở, ban, ngành</w:t>
      </w:r>
      <w:r>
        <w:rPr>
          <w:rFonts w:cs="Times New Roman"/>
          <w:bCs/>
          <w:sz w:val="28"/>
          <w:szCs w:val="28"/>
          <w:lang w:eastAsia="vi-VN"/>
        </w:rPr>
        <w:t xml:space="preserve"> có liên quan </w:t>
      </w:r>
      <w:r>
        <w:rPr>
          <w:rFonts w:cs="Times New Roman"/>
          <w:bCs/>
          <w:sz w:val="28"/>
          <w:szCs w:val="28"/>
          <w:lang w:val="vi-VN" w:eastAsia="vi-VN"/>
        </w:rPr>
        <w:t xml:space="preserve">và UBND các xã, phường, đặc khu đối với dự thảo hồ sơ nêu trên và Công văn số </w:t>
      </w:r>
      <w:r>
        <w:rPr>
          <w:rFonts w:cs="Times New Roman"/>
          <w:bCs/>
          <w:sz w:val="28"/>
          <w:szCs w:val="28"/>
          <w:lang w:eastAsia="vi-VN"/>
        </w:rPr>
        <w:t>4433</w:t>
      </w:r>
      <w:r>
        <w:rPr>
          <w:rFonts w:cs="Times New Roman"/>
          <w:bCs/>
          <w:sz w:val="28"/>
          <w:szCs w:val="28"/>
          <w:lang w:val="vi-VN" w:eastAsia="vi-VN"/>
        </w:rPr>
        <w:t>/SNV-</w:t>
      </w:r>
      <w:r>
        <w:rPr>
          <w:rFonts w:cs="Times New Roman"/>
          <w:bCs/>
          <w:sz w:val="28"/>
          <w:szCs w:val="28"/>
          <w:lang w:eastAsia="vi-VN"/>
        </w:rPr>
        <w:t>XDCQ&amp;CTTN</w:t>
      </w:r>
      <w:r>
        <w:rPr>
          <w:rFonts w:cs="Times New Roman"/>
          <w:bCs/>
          <w:sz w:val="28"/>
          <w:szCs w:val="28"/>
          <w:lang w:val="vi-VN" w:eastAsia="vi-VN"/>
        </w:rPr>
        <w:t>, đề nghị đăng tải hồ sơ dự thảo văn bản lên Cổng Thông tin điện tử của thành phố; thời gian xin ý kiến tham gia và đăng tải kể từ ngày</w:t>
      </w:r>
      <w:r>
        <w:rPr>
          <w:rFonts w:cs="Times New Roman"/>
          <w:bCs/>
          <w:sz w:val="28"/>
          <w:szCs w:val="28"/>
          <w:lang w:eastAsia="vi-VN"/>
        </w:rPr>
        <w:t xml:space="preserve"> 01/8</w:t>
      </w:r>
      <w:r>
        <w:rPr>
          <w:rFonts w:cs="Times New Roman"/>
          <w:bCs/>
          <w:sz w:val="28"/>
          <w:szCs w:val="28"/>
          <w:lang w:val="vi-VN" w:eastAsia="vi-VN"/>
        </w:rPr>
        <w:t xml:space="preserve">/2026 đến hết ngày </w:t>
      </w:r>
      <w:r>
        <w:rPr>
          <w:rFonts w:cs="Times New Roman"/>
          <w:bCs/>
          <w:sz w:val="28"/>
          <w:szCs w:val="28"/>
          <w:lang w:eastAsia="vi-VN"/>
        </w:rPr>
        <w:t>10/8</w:t>
      </w:r>
      <w:r>
        <w:rPr>
          <w:rFonts w:cs="Times New Roman"/>
          <w:bCs/>
          <w:sz w:val="28"/>
          <w:szCs w:val="28"/>
          <w:lang w:val="vi-VN" w:eastAsia="vi-VN"/>
        </w:rPr>
        <w:t xml:space="preserve">/2026; đồng thời đăng tải dự thảo trên cổng thông tin điện tử của Sở Nội vụ. </w:t>
      </w:r>
    </w:p>
    <w:p>
      <w:pPr>
        <w:widowControl w:val="0"/>
        <w:spacing w:before="120" w:after="120"/>
        <w:ind w:firstLine="720"/>
        <w:jc w:val="both"/>
        <w:rPr>
          <w:rFonts w:cs="Times New Roman"/>
          <w:bCs/>
          <w:i/>
          <w:sz w:val="28"/>
          <w:szCs w:val="28"/>
          <w:lang w:val="vi-VN" w:eastAsia="vi-VN"/>
        </w:rPr>
      </w:pPr>
      <w:r>
        <w:rPr>
          <w:rFonts w:cs="Times New Roman"/>
          <w:bCs/>
          <w:sz w:val="28"/>
          <w:szCs w:val="28"/>
          <w:lang w:val="vi-VN" w:eastAsia="vi-VN"/>
        </w:rPr>
        <w:t xml:space="preserve">- Trên cơ sở ý kiến tham gia của các cơ quan, đơn vị có liên quan, Sở Nội vụ đã tổng hợp, tiếp thu, giải trình và hoàn thiện dự thảo hồ sơ Quyết định ban hành </w:t>
      </w:r>
      <w:r>
        <w:rPr>
          <w:rFonts w:cs="Times New Roman"/>
          <w:sz w:val="28"/>
          <w:szCs w:val="28"/>
        </w:rPr>
        <w:lastRenderedPageBreak/>
        <w:t>Quy chế tổ chức và hoạt động của thôn, tổ dân phố trên địa bàn thành phố Hải Phòng</w:t>
      </w:r>
      <w:r>
        <w:rPr>
          <w:rFonts w:cs="Times New Roman"/>
          <w:bCs/>
          <w:i/>
          <w:sz w:val="28"/>
          <w:szCs w:val="28"/>
          <w:lang w:val="vi-VN" w:eastAsia="vi-VN"/>
        </w:rPr>
        <w:t xml:space="preserve"> (Có Bản tổng hợp, tiếp thu ý kiến gửi kèm theo).</w:t>
      </w:r>
    </w:p>
    <w:p>
      <w:pPr>
        <w:widowControl w:val="0"/>
        <w:spacing w:before="120" w:after="120"/>
        <w:ind w:firstLine="720"/>
        <w:jc w:val="both"/>
        <w:rPr>
          <w:rFonts w:cs="Times New Roman"/>
          <w:b/>
          <w:bCs/>
          <w:sz w:val="28"/>
          <w:szCs w:val="28"/>
          <w:lang w:val="vi-VN" w:eastAsia="vi-VN"/>
        </w:rPr>
      </w:pPr>
      <w:r>
        <w:rPr>
          <w:rFonts w:cs="Times New Roman"/>
          <w:b/>
          <w:bCs/>
          <w:sz w:val="28"/>
          <w:szCs w:val="28"/>
          <w:lang w:val="vi-VN" w:eastAsia="vi-VN"/>
        </w:rPr>
        <w:t>3. Về việc thẩm định dự thảo văn bản</w:t>
      </w:r>
    </w:p>
    <w:p>
      <w:pPr>
        <w:widowControl w:val="0"/>
        <w:spacing w:before="120" w:after="120"/>
        <w:ind w:firstLine="720"/>
        <w:jc w:val="both"/>
        <w:rPr>
          <w:rFonts w:cs="Times New Roman"/>
          <w:bCs/>
          <w:i/>
          <w:iCs/>
          <w:sz w:val="28"/>
          <w:szCs w:val="28"/>
          <w:lang w:val="vi-VN" w:eastAsia="vi-VN"/>
        </w:rPr>
      </w:pPr>
      <w:r>
        <w:rPr>
          <w:rFonts w:cs="Times New Roman"/>
          <w:bCs/>
          <w:sz w:val="28"/>
          <w:szCs w:val="28"/>
          <w:lang w:val="vi-VN" w:eastAsia="vi-VN"/>
        </w:rPr>
        <w:t>Ngày .../</w:t>
      </w:r>
      <w:r>
        <w:rPr>
          <w:rFonts w:cs="Times New Roman"/>
          <w:bCs/>
          <w:sz w:val="28"/>
          <w:szCs w:val="28"/>
          <w:lang w:eastAsia="vi-VN"/>
        </w:rPr>
        <w:t>8</w:t>
      </w:r>
      <w:r>
        <w:rPr>
          <w:rFonts w:cs="Times New Roman"/>
          <w:bCs/>
          <w:sz w:val="28"/>
          <w:szCs w:val="28"/>
          <w:lang w:val="vi-VN" w:eastAsia="vi-VN"/>
        </w:rPr>
        <w:t>/2026, Sở Nội vụ có Công văn số .../SNV-</w:t>
      </w:r>
      <w:r>
        <w:rPr>
          <w:rFonts w:cs="Times New Roman"/>
          <w:bCs/>
          <w:sz w:val="28"/>
          <w:szCs w:val="28"/>
          <w:lang w:eastAsia="vi-VN"/>
        </w:rPr>
        <w:t>XDCQ&amp;CTTN</w:t>
      </w:r>
      <w:r>
        <w:rPr>
          <w:rFonts w:cs="Times New Roman"/>
          <w:bCs/>
          <w:sz w:val="28"/>
          <w:szCs w:val="28"/>
          <w:lang w:val="vi-VN" w:eastAsia="vi-VN"/>
        </w:rPr>
        <w:t xml:space="preserve"> gửi Sở Tư pháp về việc đề nghị thẩm định hồ sơ trình UBND thành phố Quyết định ban hành </w:t>
      </w:r>
      <w:r>
        <w:rPr>
          <w:rFonts w:cs="Times New Roman"/>
          <w:sz w:val="28"/>
          <w:szCs w:val="28"/>
        </w:rPr>
        <w:t>Quy chế tổ chức và hoạt động của thôn, tổ dân phố trên địa bàn thành phố Hải Phòng</w:t>
      </w:r>
      <w:r>
        <w:rPr>
          <w:rFonts w:cs="Times New Roman"/>
          <w:bCs/>
          <w:spacing w:val="-2"/>
          <w:sz w:val="28"/>
          <w:szCs w:val="28"/>
          <w:lang w:val="vi-VN" w:eastAsia="vi-VN"/>
        </w:rPr>
        <w:t xml:space="preserve">. Về việc này, Sở Tư pháp đã có Báo cáo thẩm định </w:t>
      </w:r>
      <w:r>
        <w:rPr>
          <w:rFonts w:cs="Times New Roman"/>
          <w:bCs/>
          <w:i/>
          <w:iCs/>
          <w:spacing w:val="-2"/>
          <w:sz w:val="28"/>
          <w:szCs w:val="28"/>
          <w:lang w:val="vi-VN" w:eastAsia="vi-VN"/>
        </w:rPr>
        <w:t>(gửi kèm theo).</w:t>
      </w:r>
    </w:p>
    <w:p>
      <w:pPr>
        <w:spacing w:before="80" w:after="80" w:line="360" w:lineRule="exact"/>
        <w:ind w:firstLine="720"/>
        <w:jc w:val="both"/>
        <w:rPr>
          <w:rFonts w:cs="Times New Roman"/>
          <w:b/>
          <w:sz w:val="28"/>
          <w:szCs w:val="28"/>
        </w:rPr>
      </w:pPr>
      <w:r>
        <w:rPr>
          <w:rFonts w:cs="Times New Roman"/>
          <w:b/>
          <w:sz w:val="28"/>
          <w:szCs w:val="28"/>
        </w:rPr>
        <w:t>IV. BỐ CỤC VÀ NỘI DUNG CƠ BẢN CỦA DỰ THẢO QUYẾT ĐỊNH</w:t>
      </w:r>
    </w:p>
    <w:p>
      <w:pPr>
        <w:widowControl w:val="0"/>
        <w:spacing w:before="120" w:after="120"/>
        <w:ind w:firstLine="720"/>
        <w:jc w:val="both"/>
        <w:rPr>
          <w:rFonts w:cs="Times New Roman"/>
          <w:b/>
          <w:sz w:val="28"/>
          <w:szCs w:val="28"/>
          <w:lang w:val="vi-VN" w:eastAsia="vi-VN"/>
        </w:rPr>
      </w:pPr>
      <w:r>
        <w:rPr>
          <w:rFonts w:cs="Times New Roman"/>
          <w:b/>
          <w:sz w:val="28"/>
          <w:szCs w:val="28"/>
          <w:lang w:val="vi-VN" w:eastAsia="vi-VN"/>
        </w:rPr>
        <w:t>1. Phạm vi điều chỉnh, đối tượng áp dụng</w:t>
      </w:r>
    </w:p>
    <w:p>
      <w:pPr>
        <w:tabs>
          <w:tab w:val="left" w:pos="567"/>
        </w:tabs>
        <w:spacing w:before="120" w:after="120"/>
        <w:ind w:firstLine="720"/>
        <w:jc w:val="both"/>
        <w:rPr>
          <w:rFonts w:cs="Times New Roman"/>
          <w:b/>
          <w:bCs/>
          <w:i/>
          <w:sz w:val="28"/>
          <w:szCs w:val="28"/>
          <w:lang w:val="nl-NL"/>
        </w:rPr>
      </w:pPr>
      <w:r>
        <w:rPr>
          <w:rFonts w:cs="Times New Roman"/>
          <w:b/>
          <w:bCs/>
          <w:i/>
          <w:sz w:val="28"/>
          <w:szCs w:val="28"/>
          <w:lang w:val="nl-NL"/>
        </w:rPr>
        <w:t>a) Phạm vi điều chỉnh</w:t>
      </w:r>
    </w:p>
    <w:p>
      <w:pPr>
        <w:tabs>
          <w:tab w:val="left" w:pos="567"/>
        </w:tabs>
        <w:spacing w:before="120" w:after="120"/>
        <w:ind w:firstLine="720"/>
        <w:jc w:val="both"/>
        <w:rPr>
          <w:sz w:val="28"/>
          <w:szCs w:val="28"/>
        </w:rPr>
      </w:pPr>
      <w:r>
        <w:rPr>
          <w:sz w:val="28"/>
          <w:szCs w:val="28"/>
        </w:rPr>
        <w:t>Quy chế này quy định tổ chức, hoạt động của thôn, tổ dân phố; việc thành lập, sắp xếp, tổ chức lại, giải thể, đặt tên, đổi tên thôn, tổ dân phố trên địa bàn thành phố Hải Phòng.</w:t>
      </w:r>
    </w:p>
    <w:p>
      <w:pPr>
        <w:tabs>
          <w:tab w:val="left" w:pos="567"/>
        </w:tabs>
        <w:spacing w:before="120" w:after="120"/>
        <w:ind w:firstLine="720"/>
        <w:jc w:val="both"/>
        <w:rPr>
          <w:rFonts w:cs="Times New Roman"/>
          <w:b/>
          <w:bCs/>
          <w:i/>
          <w:sz w:val="28"/>
          <w:szCs w:val="28"/>
          <w:lang w:val="nl-NL"/>
        </w:rPr>
      </w:pPr>
      <w:r>
        <w:rPr>
          <w:rFonts w:cs="Times New Roman"/>
          <w:b/>
          <w:bCs/>
          <w:i/>
          <w:sz w:val="28"/>
          <w:szCs w:val="28"/>
          <w:lang w:val="nl-NL"/>
        </w:rPr>
        <w:t>b) Đối tượng áp dụng</w:t>
      </w:r>
    </w:p>
    <w:p>
      <w:pPr>
        <w:widowControl w:val="0"/>
        <w:spacing w:before="120" w:after="120"/>
        <w:ind w:firstLine="720"/>
        <w:jc w:val="both"/>
        <w:rPr>
          <w:rFonts w:cs="Times New Roman"/>
          <w:bCs/>
          <w:sz w:val="28"/>
          <w:szCs w:val="28"/>
          <w:lang w:val="nl-NL"/>
        </w:rPr>
      </w:pPr>
      <w:r>
        <w:rPr>
          <w:rFonts w:cs="Times New Roman"/>
          <w:bCs/>
          <w:sz w:val="28"/>
          <w:szCs w:val="28"/>
          <w:lang w:val="nl-NL"/>
        </w:rPr>
        <w:t xml:space="preserve">- </w:t>
      </w:r>
      <w:r>
        <w:rPr>
          <w:sz w:val="28"/>
          <w:szCs w:val="28"/>
        </w:rPr>
        <w:t>Thôn, tổ dân phố trên địa bàn thành phố Hải Phòng;</w:t>
      </w:r>
    </w:p>
    <w:p>
      <w:pPr>
        <w:widowControl w:val="0"/>
        <w:spacing w:before="120" w:after="120"/>
        <w:ind w:firstLine="720"/>
        <w:jc w:val="both"/>
        <w:rPr>
          <w:rFonts w:cs="Times New Roman"/>
          <w:bCs/>
          <w:sz w:val="28"/>
          <w:szCs w:val="28"/>
          <w:lang w:val="nl-NL"/>
        </w:rPr>
      </w:pPr>
      <w:r>
        <w:rPr>
          <w:rFonts w:cs="Times New Roman"/>
          <w:bCs/>
          <w:sz w:val="28"/>
          <w:szCs w:val="28"/>
          <w:lang w:val="nl-NL"/>
        </w:rPr>
        <w:t xml:space="preserve">- </w:t>
      </w:r>
      <w:r>
        <w:rPr>
          <w:sz w:val="28"/>
          <w:szCs w:val="28"/>
        </w:rPr>
        <w:t>Người hoạt động không chuyên trách ở thôn, tổ dân phố; người tham gia hoạt động ở thôn, tổ dân phố theo quy định của Hội đồng nhân dân thành phố;</w:t>
      </w:r>
    </w:p>
    <w:p>
      <w:pPr>
        <w:widowControl w:val="0"/>
        <w:spacing w:before="120" w:after="120"/>
        <w:ind w:firstLine="720"/>
        <w:jc w:val="both"/>
        <w:rPr>
          <w:sz w:val="28"/>
          <w:szCs w:val="28"/>
        </w:rPr>
      </w:pPr>
      <w:r>
        <w:rPr>
          <w:rFonts w:cs="Times New Roman"/>
          <w:bCs/>
          <w:sz w:val="28"/>
          <w:szCs w:val="28"/>
          <w:lang w:val="nl-NL"/>
        </w:rPr>
        <w:t xml:space="preserve">- </w:t>
      </w:r>
      <w:r>
        <w:rPr>
          <w:sz w:val="28"/>
          <w:szCs w:val="28"/>
        </w:rPr>
        <w:t>Cộng đồng dân cư tại thôn, tổ dân phố;</w:t>
      </w:r>
    </w:p>
    <w:p>
      <w:pPr>
        <w:widowControl w:val="0"/>
        <w:spacing w:before="120" w:after="120"/>
        <w:ind w:firstLine="720"/>
        <w:jc w:val="both"/>
        <w:rPr>
          <w:rFonts w:cs="Times New Roman"/>
          <w:bCs/>
          <w:sz w:val="28"/>
          <w:szCs w:val="28"/>
          <w:lang w:val="nl-NL"/>
        </w:rPr>
      </w:pPr>
      <w:r>
        <w:rPr>
          <w:rFonts w:cs="Times New Roman"/>
          <w:bCs/>
          <w:sz w:val="28"/>
          <w:szCs w:val="28"/>
          <w:lang w:val="nl-NL"/>
        </w:rPr>
        <w:t xml:space="preserve">- </w:t>
      </w:r>
      <w:r>
        <w:rPr>
          <w:sz w:val="28"/>
          <w:szCs w:val="28"/>
        </w:rPr>
        <w:t>Ủy ban nhân dân cấp xã và cơ quan, tổ chức, cá nhân có liên quan.</w:t>
      </w:r>
    </w:p>
    <w:p>
      <w:pPr>
        <w:widowControl w:val="0"/>
        <w:spacing w:before="120" w:after="120"/>
        <w:ind w:firstLine="720"/>
        <w:jc w:val="both"/>
        <w:rPr>
          <w:rFonts w:cs="Times New Roman"/>
          <w:b/>
          <w:sz w:val="28"/>
          <w:szCs w:val="28"/>
          <w:lang w:val="vi-VN" w:eastAsia="vi-VN"/>
        </w:rPr>
      </w:pPr>
      <w:r>
        <w:rPr>
          <w:rFonts w:cs="Times New Roman"/>
          <w:b/>
          <w:sz w:val="28"/>
          <w:szCs w:val="28"/>
          <w:lang w:val="vi-VN" w:eastAsia="vi-VN"/>
        </w:rPr>
        <w:t>2. Bố cục của dự thảo văn bản</w:t>
      </w:r>
    </w:p>
    <w:p>
      <w:pPr>
        <w:spacing w:before="120" w:after="120"/>
        <w:ind w:firstLine="720"/>
        <w:jc w:val="both"/>
        <w:rPr>
          <w:rFonts w:eastAsia="Aptos" w:cs="Times New Roman"/>
          <w:b/>
          <w:i/>
          <w:sz w:val="28"/>
          <w:szCs w:val="28"/>
          <w:lang w:val="vi-VN"/>
        </w:rPr>
      </w:pPr>
      <w:r>
        <w:rPr>
          <w:rFonts w:eastAsia="Aptos" w:cs="Times New Roman"/>
          <w:b/>
          <w:i/>
          <w:sz w:val="28"/>
          <w:szCs w:val="28"/>
          <w:lang w:val="vi-VN"/>
        </w:rPr>
        <w:t>2.1. Tại dự thảo Quyết định</w:t>
      </w:r>
    </w:p>
    <w:p>
      <w:pPr>
        <w:spacing w:before="120" w:after="120"/>
        <w:ind w:firstLine="720"/>
        <w:jc w:val="both"/>
        <w:rPr>
          <w:rFonts w:eastAsia="Aptos" w:cs="Times New Roman"/>
          <w:sz w:val="28"/>
          <w:szCs w:val="28"/>
          <w:lang w:val="vi-VN"/>
        </w:rPr>
      </w:pPr>
      <w:r>
        <w:rPr>
          <w:rFonts w:eastAsia="Aptos" w:cs="Times New Roman"/>
          <w:sz w:val="28"/>
          <w:szCs w:val="28"/>
          <w:lang w:val="vi-VN"/>
        </w:rPr>
        <w:t>Điều 1. Ban hành Quy định</w:t>
      </w:r>
    </w:p>
    <w:p>
      <w:pPr>
        <w:spacing w:before="120" w:after="120"/>
        <w:ind w:firstLine="720"/>
        <w:jc w:val="both"/>
        <w:rPr>
          <w:rFonts w:eastAsia="Aptos" w:cs="Times New Roman"/>
          <w:sz w:val="28"/>
          <w:szCs w:val="28"/>
          <w:lang w:val="vi-VN"/>
        </w:rPr>
      </w:pPr>
      <w:r>
        <w:rPr>
          <w:rFonts w:eastAsia="Aptos" w:cs="Times New Roman"/>
          <w:sz w:val="28"/>
          <w:szCs w:val="28"/>
          <w:lang w:val="vi-VN"/>
        </w:rPr>
        <w:t>Điều 2. Hiệu lực thi hành</w:t>
      </w:r>
    </w:p>
    <w:p>
      <w:pPr>
        <w:spacing w:before="120" w:after="120"/>
        <w:ind w:firstLine="720"/>
        <w:jc w:val="both"/>
        <w:rPr>
          <w:rFonts w:eastAsia="Aptos" w:cs="Times New Roman"/>
          <w:sz w:val="28"/>
          <w:szCs w:val="28"/>
        </w:rPr>
      </w:pPr>
      <w:r>
        <w:rPr>
          <w:rFonts w:eastAsia="Aptos" w:cs="Times New Roman"/>
          <w:sz w:val="28"/>
          <w:szCs w:val="28"/>
          <w:lang w:val="vi-VN"/>
        </w:rPr>
        <w:t xml:space="preserve">Điều 3. </w:t>
      </w:r>
      <w:r>
        <w:rPr>
          <w:rFonts w:eastAsia="Aptos" w:cs="Times New Roman"/>
          <w:sz w:val="28"/>
          <w:szCs w:val="28"/>
        </w:rPr>
        <w:t>Trách nhiệm thi hành</w:t>
      </w:r>
    </w:p>
    <w:p>
      <w:pPr>
        <w:spacing w:before="120" w:after="120"/>
        <w:ind w:firstLine="720"/>
        <w:jc w:val="both"/>
        <w:rPr>
          <w:rFonts w:eastAsia="Aptos" w:cs="Times New Roman"/>
          <w:b/>
          <w:i/>
          <w:sz w:val="28"/>
          <w:szCs w:val="28"/>
          <w:lang w:val="vi-VN"/>
        </w:rPr>
      </w:pPr>
      <w:r>
        <w:rPr>
          <w:rFonts w:eastAsia="Aptos" w:cs="Times New Roman"/>
          <w:b/>
          <w:i/>
          <w:sz w:val="28"/>
          <w:szCs w:val="28"/>
          <w:lang w:val="vi-VN"/>
        </w:rPr>
        <w:t>2.2. Tại dự thảo Quy định</w:t>
      </w:r>
    </w:p>
    <w:p>
      <w:pPr>
        <w:spacing w:before="120" w:after="120"/>
        <w:ind w:firstLine="720"/>
        <w:jc w:val="both"/>
        <w:rPr>
          <w:rFonts w:eastAsia="Aptos" w:cs="Times New Roman"/>
          <w:i/>
          <w:sz w:val="28"/>
          <w:szCs w:val="28"/>
        </w:rPr>
      </w:pPr>
      <w:r>
        <w:rPr>
          <w:rFonts w:eastAsia="Aptos" w:cs="Times New Roman"/>
          <w:i/>
          <w:sz w:val="28"/>
          <w:szCs w:val="28"/>
        </w:rPr>
        <w:t>Chương I: Quy định chung</w:t>
      </w:r>
    </w:p>
    <w:p>
      <w:pPr>
        <w:spacing w:before="120" w:after="120"/>
        <w:ind w:firstLine="720"/>
        <w:jc w:val="both"/>
        <w:rPr>
          <w:rFonts w:eastAsia="Aptos" w:cs="Times New Roman"/>
          <w:sz w:val="28"/>
          <w:szCs w:val="28"/>
        </w:rPr>
      </w:pPr>
      <w:r>
        <w:rPr>
          <w:rFonts w:eastAsia="Aptos" w:cs="Times New Roman"/>
          <w:sz w:val="28"/>
          <w:szCs w:val="28"/>
        </w:rPr>
        <w:t>Điều 1. Phạm vi điều chỉnh và đối tượng áp dụng</w:t>
      </w:r>
    </w:p>
    <w:p>
      <w:pPr>
        <w:spacing w:before="120" w:after="120"/>
        <w:ind w:firstLine="720"/>
        <w:jc w:val="both"/>
        <w:rPr>
          <w:rFonts w:eastAsia="Aptos" w:cs="Times New Roman"/>
          <w:sz w:val="28"/>
          <w:szCs w:val="28"/>
        </w:rPr>
      </w:pPr>
      <w:r>
        <w:rPr>
          <w:rFonts w:eastAsia="Aptos" w:cs="Times New Roman"/>
          <w:sz w:val="28"/>
          <w:szCs w:val="28"/>
        </w:rPr>
        <w:t>Điều 2. Thôn, tổ dân phố</w:t>
      </w:r>
    </w:p>
    <w:p>
      <w:pPr>
        <w:spacing w:before="120" w:after="120"/>
        <w:ind w:firstLine="720"/>
        <w:jc w:val="both"/>
        <w:rPr>
          <w:rFonts w:eastAsia="Aptos" w:cs="Times New Roman"/>
          <w:sz w:val="28"/>
          <w:szCs w:val="28"/>
        </w:rPr>
      </w:pPr>
      <w:r>
        <w:rPr>
          <w:rFonts w:eastAsia="Aptos" w:cs="Times New Roman"/>
          <w:sz w:val="28"/>
          <w:szCs w:val="28"/>
        </w:rPr>
        <w:t>Điều 3. Nguyên tắc tổ chức, hoạt động của thôn, tổ dân phố</w:t>
      </w:r>
    </w:p>
    <w:p>
      <w:pPr>
        <w:spacing w:before="120" w:after="120"/>
        <w:ind w:firstLine="720"/>
        <w:jc w:val="both"/>
        <w:rPr>
          <w:rFonts w:eastAsia="Aptos" w:cs="Times New Roman"/>
          <w:i/>
          <w:sz w:val="28"/>
          <w:szCs w:val="28"/>
        </w:rPr>
      </w:pPr>
      <w:r>
        <w:rPr>
          <w:rFonts w:eastAsia="Aptos" w:cs="Times New Roman"/>
          <w:i/>
          <w:sz w:val="28"/>
          <w:szCs w:val="28"/>
        </w:rPr>
        <w:t>Chương II: Tổ chức và hoạt động của thôn, tổ dân phố</w:t>
      </w:r>
    </w:p>
    <w:p>
      <w:pPr>
        <w:spacing w:before="120" w:after="120"/>
        <w:ind w:firstLine="720"/>
        <w:jc w:val="both"/>
        <w:rPr>
          <w:rFonts w:eastAsia="Aptos" w:cs="Times New Roman"/>
          <w:sz w:val="28"/>
          <w:szCs w:val="28"/>
        </w:rPr>
      </w:pPr>
      <w:r>
        <w:rPr>
          <w:rFonts w:eastAsia="Aptos" w:cs="Times New Roman"/>
          <w:sz w:val="28"/>
          <w:szCs w:val="28"/>
        </w:rPr>
        <w:t>Điều 4. Tổ chức của thôn, tổ dân phố</w:t>
      </w:r>
    </w:p>
    <w:p>
      <w:pPr>
        <w:spacing w:before="120" w:after="120"/>
        <w:ind w:firstLine="720"/>
        <w:jc w:val="both"/>
        <w:rPr>
          <w:rFonts w:eastAsia="Aptos" w:cs="Times New Roman"/>
          <w:sz w:val="28"/>
          <w:szCs w:val="28"/>
        </w:rPr>
      </w:pPr>
      <w:r>
        <w:rPr>
          <w:rFonts w:eastAsia="Aptos" w:cs="Times New Roman"/>
          <w:sz w:val="28"/>
          <w:szCs w:val="28"/>
        </w:rPr>
        <w:lastRenderedPageBreak/>
        <w:t>Điều 5. Nội dung hoạt động của thôn, tổ dân phố</w:t>
      </w:r>
    </w:p>
    <w:p>
      <w:pPr>
        <w:spacing w:before="120" w:after="120"/>
        <w:ind w:firstLine="720"/>
        <w:jc w:val="both"/>
        <w:rPr>
          <w:rFonts w:eastAsia="Aptos" w:cs="Times New Roman"/>
          <w:sz w:val="28"/>
          <w:szCs w:val="28"/>
        </w:rPr>
      </w:pPr>
      <w:r>
        <w:rPr>
          <w:rFonts w:eastAsia="Aptos" w:cs="Times New Roman"/>
          <w:sz w:val="28"/>
          <w:szCs w:val="28"/>
        </w:rPr>
        <w:t>Điều 6. Nhiệm vụ, quyền hạn của Trưởng thôn, Tổ trưởng tổ dân phố</w:t>
      </w:r>
    </w:p>
    <w:p>
      <w:pPr>
        <w:spacing w:before="120" w:after="120"/>
        <w:ind w:firstLine="720"/>
        <w:jc w:val="both"/>
        <w:rPr>
          <w:rFonts w:eastAsia="Aptos" w:cs="Times New Roman"/>
          <w:sz w:val="28"/>
          <w:szCs w:val="28"/>
        </w:rPr>
      </w:pPr>
      <w:r>
        <w:rPr>
          <w:rFonts w:eastAsia="Aptos" w:cs="Times New Roman"/>
          <w:sz w:val="28"/>
          <w:szCs w:val="28"/>
        </w:rPr>
        <w:t>Điều 7. Hội nghị cộng đồng dân cư</w:t>
      </w:r>
    </w:p>
    <w:p>
      <w:pPr>
        <w:spacing w:before="120" w:after="120"/>
        <w:ind w:firstLine="720"/>
        <w:jc w:val="both"/>
        <w:rPr>
          <w:rFonts w:eastAsia="Aptos" w:cs="Times New Roman"/>
          <w:sz w:val="28"/>
          <w:szCs w:val="28"/>
        </w:rPr>
      </w:pPr>
      <w:r>
        <w:rPr>
          <w:rFonts w:eastAsia="Aptos" w:cs="Times New Roman"/>
          <w:sz w:val="28"/>
          <w:szCs w:val="28"/>
        </w:rPr>
        <w:t>Điều 8. Nơi sinh hoạt, hội họp của nhân dân trong thôn, tổ dân phố</w:t>
      </w:r>
    </w:p>
    <w:p>
      <w:pPr>
        <w:spacing w:before="120" w:after="120"/>
        <w:ind w:firstLine="720"/>
        <w:jc w:val="both"/>
        <w:rPr>
          <w:rFonts w:eastAsia="Aptos" w:cs="Times New Roman"/>
          <w:sz w:val="28"/>
          <w:szCs w:val="28"/>
        </w:rPr>
      </w:pPr>
      <w:r>
        <w:rPr>
          <w:rFonts w:eastAsia="Aptos" w:cs="Times New Roman"/>
          <w:sz w:val="28"/>
          <w:szCs w:val="28"/>
        </w:rPr>
        <w:t>Điều 9. Ứng dụng công nghệ thông tin và chuyển đổi số</w:t>
      </w:r>
    </w:p>
    <w:p>
      <w:pPr>
        <w:spacing w:before="120" w:after="120"/>
        <w:ind w:firstLine="720"/>
        <w:jc w:val="both"/>
        <w:rPr>
          <w:rFonts w:eastAsia="Aptos" w:cs="Times New Roman"/>
          <w:i/>
          <w:sz w:val="28"/>
          <w:szCs w:val="28"/>
        </w:rPr>
      </w:pPr>
      <w:r>
        <w:rPr>
          <w:rFonts w:eastAsia="Aptos" w:cs="Times New Roman"/>
          <w:i/>
          <w:sz w:val="28"/>
          <w:szCs w:val="28"/>
        </w:rPr>
        <w:t>Chương III: Quy trình bầu, cho thôi làm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10. Nguyên tắc bầu, cho thôi làm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11. Trách nhiệm của Ủy ban nhân dân cấp xã trong công tác bầu, cho thôi làm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12. Công nhận kết quả bầu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13. Cho thôi làm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14. Trường hợp khuyết Trưởng thôn, Tổ trưởng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15. Nhiệm kỳ của Trưởng thôn, Tổ trưởng tổ dân phố</w:t>
      </w:r>
    </w:p>
    <w:p>
      <w:pPr>
        <w:spacing w:before="120" w:after="120"/>
        <w:ind w:firstLine="720"/>
        <w:jc w:val="both"/>
        <w:rPr>
          <w:rFonts w:eastAsia="Aptos" w:cs="Times New Roman"/>
          <w:i/>
          <w:sz w:val="28"/>
          <w:szCs w:val="28"/>
        </w:rPr>
      </w:pPr>
      <w:r>
        <w:rPr>
          <w:rFonts w:eastAsia="Aptos" w:cs="Times New Roman"/>
          <w:i/>
          <w:sz w:val="28"/>
          <w:szCs w:val="28"/>
        </w:rPr>
        <w:t>Chương IV: Thành lập, sắp xếp, tổ chức lại, giải thể, đối tên thôn, tổ dân phố</w:t>
      </w:r>
    </w:p>
    <w:p>
      <w:pPr>
        <w:tabs>
          <w:tab w:val="left" w:pos="567"/>
        </w:tabs>
        <w:spacing w:before="120" w:after="120"/>
        <w:ind w:firstLine="720"/>
        <w:jc w:val="both"/>
        <w:rPr>
          <w:rFonts w:cs="Times New Roman"/>
          <w:bCs/>
          <w:sz w:val="28"/>
          <w:szCs w:val="28"/>
          <w:lang w:val="vi-VN"/>
        </w:rPr>
      </w:pPr>
      <w:r>
        <w:rPr>
          <w:rFonts w:cs="Times New Roman"/>
          <w:bCs/>
          <w:sz w:val="28"/>
          <w:szCs w:val="28"/>
          <w:lang w:val="vi-VN"/>
        </w:rPr>
        <w:t>Điều 16. Nguyên tắc thành lập, sắp xếp, tổ chức lại, giải thể, đặt tên, đổi tên thôn, tổ dân phố</w:t>
      </w:r>
    </w:p>
    <w:p>
      <w:pPr>
        <w:widowControl w:val="0"/>
        <w:spacing w:before="120" w:after="120"/>
        <w:ind w:firstLine="720"/>
        <w:jc w:val="both"/>
        <w:rPr>
          <w:rFonts w:cs="Times New Roman"/>
          <w:bCs/>
          <w:sz w:val="28"/>
          <w:szCs w:val="28"/>
          <w:lang w:val="vi-VN"/>
        </w:rPr>
      </w:pPr>
      <w:r>
        <w:rPr>
          <w:rFonts w:cs="Times New Roman"/>
          <w:bCs/>
          <w:sz w:val="28"/>
          <w:szCs w:val="28"/>
          <w:lang w:val="vi-VN"/>
        </w:rPr>
        <w:t>Điều 17. Thẩm quyền thành lập, sắp xếp, tổ chức lại, giải thể, đặt tên, đổi tên thôn, tổ dân phố; ghép cụm dân cư vào thôn, tổ dân phố hiện có</w:t>
      </w:r>
    </w:p>
    <w:p>
      <w:pPr>
        <w:widowControl w:val="0"/>
        <w:spacing w:before="120" w:after="120"/>
        <w:ind w:firstLine="720"/>
        <w:jc w:val="both"/>
        <w:rPr>
          <w:rFonts w:cs="Times New Roman"/>
          <w:bCs/>
          <w:sz w:val="28"/>
          <w:szCs w:val="28"/>
          <w:lang w:val="vi-VN"/>
        </w:rPr>
      </w:pPr>
      <w:r>
        <w:rPr>
          <w:rFonts w:cs="Times New Roman"/>
          <w:bCs/>
          <w:sz w:val="28"/>
          <w:szCs w:val="28"/>
          <w:lang w:val="vi-VN"/>
        </w:rPr>
        <w:t>Điều 18. Tiêu chí của thôn, tổ dân phố</w:t>
      </w:r>
    </w:p>
    <w:p>
      <w:pPr>
        <w:widowControl w:val="0"/>
        <w:spacing w:before="120" w:after="120"/>
        <w:ind w:firstLine="720"/>
        <w:jc w:val="both"/>
        <w:rPr>
          <w:rFonts w:cs="Times New Roman"/>
          <w:bCs/>
          <w:sz w:val="28"/>
          <w:szCs w:val="28"/>
          <w:lang w:val="vi-VN"/>
        </w:rPr>
      </w:pPr>
      <w:r>
        <w:rPr>
          <w:rFonts w:cs="Times New Roman"/>
          <w:bCs/>
          <w:sz w:val="28"/>
          <w:szCs w:val="28"/>
          <w:lang w:val="vi-VN"/>
        </w:rPr>
        <w:t>Điều 19. Thôn, tổ dân phố trong các trường hợp đặc thù</w:t>
      </w:r>
    </w:p>
    <w:p>
      <w:pPr>
        <w:widowControl w:val="0"/>
        <w:spacing w:before="120" w:after="120"/>
        <w:ind w:firstLine="720"/>
        <w:jc w:val="both"/>
        <w:rPr>
          <w:rFonts w:cs="Times New Roman"/>
          <w:bCs/>
          <w:sz w:val="28"/>
          <w:szCs w:val="28"/>
          <w:lang w:val="vi-VN"/>
        </w:rPr>
      </w:pPr>
      <w:r>
        <w:rPr>
          <w:rFonts w:cs="Times New Roman"/>
          <w:bCs/>
          <w:sz w:val="28"/>
          <w:szCs w:val="28"/>
          <w:lang w:val="vi-VN"/>
        </w:rPr>
        <w:t>Điều 20. Trình tự, thủ tục, hồ sơ thành lập, sắp xếp, tổ chức lại thôn, tổ dân phố</w:t>
      </w:r>
    </w:p>
    <w:p>
      <w:pPr>
        <w:widowControl w:val="0"/>
        <w:spacing w:before="120" w:after="120"/>
        <w:ind w:firstLine="720"/>
        <w:jc w:val="both"/>
        <w:rPr>
          <w:rFonts w:cs="Times New Roman"/>
          <w:bCs/>
          <w:sz w:val="28"/>
          <w:szCs w:val="28"/>
          <w:lang w:val="vi-VN"/>
        </w:rPr>
      </w:pPr>
      <w:r>
        <w:rPr>
          <w:rFonts w:cs="Times New Roman"/>
          <w:bCs/>
          <w:sz w:val="28"/>
          <w:szCs w:val="28"/>
          <w:lang w:val="vi-VN"/>
        </w:rPr>
        <w:t>Điều 21. Trình tự, thủ tục, hồ sơ giải thể, đổi tên thôn, tổ dân phố; ghép cụm dân cư vào thôn, tổ dân phố hiện có</w:t>
      </w:r>
    </w:p>
    <w:p>
      <w:pPr>
        <w:widowControl w:val="0"/>
        <w:spacing w:before="120" w:after="120"/>
        <w:ind w:firstLine="720"/>
        <w:jc w:val="both"/>
        <w:rPr>
          <w:rFonts w:cs="Times New Roman"/>
          <w:bCs/>
          <w:i/>
          <w:sz w:val="28"/>
          <w:szCs w:val="28"/>
        </w:rPr>
      </w:pPr>
      <w:r>
        <w:rPr>
          <w:rFonts w:cs="Times New Roman"/>
          <w:bCs/>
          <w:i/>
          <w:sz w:val="28"/>
          <w:szCs w:val="28"/>
        </w:rPr>
        <w:t>Chương V: Tổ chức thực hiện</w:t>
      </w:r>
    </w:p>
    <w:p>
      <w:pPr>
        <w:widowControl w:val="0"/>
        <w:spacing w:before="120" w:after="120"/>
        <w:ind w:firstLine="720"/>
        <w:jc w:val="both"/>
        <w:rPr>
          <w:rFonts w:cs="Times New Roman"/>
          <w:bCs/>
          <w:sz w:val="28"/>
          <w:szCs w:val="28"/>
        </w:rPr>
      </w:pPr>
      <w:r>
        <w:rPr>
          <w:rFonts w:cs="Times New Roman"/>
          <w:bCs/>
          <w:sz w:val="28"/>
          <w:szCs w:val="28"/>
        </w:rPr>
        <w:t>Điều 22. Trách nhiệm của Ủy ban nhân dân thành phố</w:t>
      </w:r>
    </w:p>
    <w:p>
      <w:pPr>
        <w:widowControl w:val="0"/>
        <w:spacing w:before="120" w:after="120"/>
        <w:ind w:firstLine="720"/>
        <w:jc w:val="both"/>
        <w:rPr>
          <w:rFonts w:cs="Times New Roman"/>
          <w:bCs/>
          <w:sz w:val="28"/>
          <w:szCs w:val="28"/>
        </w:rPr>
      </w:pPr>
      <w:r>
        <w:rPr>
          <w:rFonts w:cs="Times New Roman"/>
          <w:bCs/>
          <w:sz w:val="28"/>
          <w:szCs w:val="28"/>
        </w:rPr>
        <w:t>Điều 23. Trách nhiệm của Sở Nội vụ</w:t>
      </w:r>
    </w:p>
    <w:p>
      <w:pPr>
        <w:widowControl w:val="0"/>
        <w:spacing w:before="120" w:after="120"/>
        <w:ind w:firstLine="720"/>
        <w:jc w:val="both"/>
        <w:rPr>
          <w:rFonts w:cs="Times New Roman"/>
          <w:bCs/>
          <w:sz w:val="28"/>
          <w:szCs w:val="28"/>
        </w:rPr>
      </w:pPr>
      <w:r>
        <w:rPr>
          <w:rFonts w:cs="Times New Roman"/>
          <w:bCs/>
          <w:sz w:val="28"/>
          <w:szCs w:val="28"/>
        </w:rPr>
        <w:t>Điều 24. Trách nhiệm của Sở Tài chính</w:t>
      </w:r>
    </w:p>
    <w:p>
      <w:pPr>
        <w:widowControl w:val="0"/>
        <w:spacing w:before="120" w:after="120"/>
        <w:ind w:firstLine="720"/>
        <w:jc w:val="both"/>
        <w:rPr>
          <w:rFonts w:cs="Times New Roman"/>
          <w:bCs/>
          <w:sz w:val="28"/>
          <w:szCs w:val="28"/>
        </w:rPr>
      </w:pPr>
      <w:r>
        <w:rPr>
          <w:rFonts w:cs="Times New Roman"/>
          <w:bCs/>
          <w:sz w:val="28"/>
          <w:szCs w:val="28"/>
        </w:rPr>
        <w:t>Điều 25. Trách nhiệm của các sở, ban, ngành thành phố</w:t>
      </w:r>
    </w:p>
    <w:p>
      <w:pPr>
        <w:widowControl w:val="0"/>
        <w:spacing w:before="120" w:after="120"/>
        <w:ind w:firstLine="720"/>
        <w:jc w:val="both"/>
        <w:rPr>
          <w:rFonts w:cs="Times New Roman"/>
          <w:bCs/>
          <w:sz w:val="28"/>
          <w:szCs w:val="28"/>
        </w:rPr>
      </w:pPr>
      <w:r>
        <w:rPr>
          <w:rFonts w:cs="Times New Roman"/>
          <w:bCs/>
          <w:sz w:val="28"/>
          <w:szCs w:val="28"/>
        </w:rPr>
        <w:t>Điều 26. Trách nhiệm của Ủy ban nhân dân cấp xã</w:t>
      </w:r>
    </w:p>
    <w:p>
      <w:pPr>
        <w:widowControl w:val="0"/>
        <w:spacing w:before="120" w:after="120"/>
        <w:ind w:firstLine="720"/>
        <w:jc w:val="both"/>
        <w:rPr>
          <w:rFonts w:cs="Times New Roman"/>
          <w:bCs/>
          <w:sz w:val="28"/>
          <w:szCs w:val="28"/>
        </w:rPr>
      </w:pPr>
      <w:r>
        <w:rPr>
          <w:rFonts w:cs="Times New Roman"/>
          <w:bCs/>
          <w:sz w:val="28"/>
          <w:szCs w:val="28"/>
        </w:rPr>
        <w:t xml:space="preserve">Điều 27. Đề nghị Ủy ban Mặt trận Tổ quốc Việt Nam và các tổ chức chính trị </w:t>
      </w:r>
      <w:r>
        <w:rPr>
          <w:rFonts w:cs="Times New Roman"/>
          <w:bCs/>
          <w:sz w:val="28"/>
          <w:szCs w:val="28"/>
        </w:rPr>
        <w:lastRenderedPageBreak/>
        <w:t>- xã hội các cấp</w:t>
      </w:r>
    </w:p>
    <w:p>
      <w:pPr>
        <w:widowControl w:val="0"/>
        <w:spacing w:before="120" w:after="120"/>
        <w:ind w:firstLine="720"/>
        <w:jc w:val="both"/>
        <w:rPr>
          <w:rFonts w:cs="Times New Roman"/>
          <w:bCs/>
          <w:sz w:val="28"/>
          <w:szCs w:val="28"/>
        </w:rPr>
      </w:pPr>
      <w:r>
        <w:rPr>
          <w:rFonts w:cs="Times New Roman"/>
          <w:bCs/>
          <w:sz w:val="28"/>
          <w:szCs w:val="28"/>
        </w:rPr>
        <w:t>Điều 28. Điều khoản chuyển tiếp</w:t>
      </w:r>
    </w:p>
    <w:p>
      <w:pPr>
        <w:widowControl w:val="0"/>
        <w:spacing w:before="120" w:after="120"/>
        <w:ind w:firstLine="720"/>
        <w:jc w:val="both"/>
        <w:rPr>
          <w:rFonts w:cs="Times New Roman"/>
          <w:b/>
          <w:sz w:val="28"/>
          <w:szCs w:val="28"/>
          <w:lang w:eastAsia="vi-VN"/>
        </w:rPr>
      </w:pPr>
      <w:r>
        <w:rPr>
          <w:rFonts w:cs="Times New Roman"/>
          <w:b/>
          <w:sz w:val="28"/>
          <w:szCs w:val="28"/>
          <w:lang w:val="vi-VN" w:eastAsia="vi-VN"/>
        </w:rPr>
        <w:t>3. Nội dung cơ bản</w:t>
      </w:r>
      <w:r>
        <w:rPr>
          <w:rFonts w:cs="Times New Roman"/>
          <w:b/>
          <w:sz w:val="28"/>
          <w:szCs w:val="28"/>
          <w:lang w:eastAsia="vi-VN"/>
        </w:rPr>
        <w:t xml:space="preserve"> của Quy chế</w:t>
      </w:r>
    </w:p>
    <w:p>
      <w:pPr>
        <w:spacing w:before="80" w:after="80" w:line="360" w:lineRule="exact"/>
        <w:ind w:firstLine="720"/>
        <w:jc w:val="both"/>
        <w:rPr>
          <w:sz w:val="28"/>
          <w:szCs w:val="28"/>
        </w:rPr>
      </w:pPr>
      <w:r>
        <w:rPr>
          <w:sz w:val="28"/>
          <w:szCs w:val="28"/>
        </w:rPr>
        <w:t>Về tổ chức, dự thảo xác định thôn, tổ dân phố là tổ chức tự quản của cộng đồng dân cư, hoạt động dưới sự lãnh đạo của cấp ủy Đảng và quản lý trực tiếp của UBND cấp xã.</w:t>
      </w:r>
    </w:p>
    <w:p>
      <w:pPr>
        <w:spacing w:before="80" w:after="80" w:line="360" w:lineRule="exact"/>
        <w:ind w:firstLine="720"/>
        <w:jc w:val="both"/>
        <w:rPr>
          <w:sz w:val="28"/>
          <w:szCs w:val="28"/>
        </w:rPr>
      </w:pPr>
      <w:r>
        <w:rPr>
          <w:sz w:val="28"/>
          <w:szCs w:val="28"/>
        </w:rPr>
        <w:t>Về hoạt động, nội dung được mở rộng theo hướng vừa tăng cường tính tự quản của cộng đồng, vừa nâng cao vai trò phối hợp với chính quyền. Người dân được quyết định các vấn đề liên quan đến xây dựng và quản lý công trình cộng đồng, các khoản đóng góp, xây dựng hương ước, quy ước, tổ chức các hoạt động bảo vệ môi trường, giữ gìn an ninh trật tự, phát triển đời sống văn hóa và an sinh xã hội. Thôn, tổ dân phố đồng thời có trách nhiệm tuyên truyền chính sách, phản ánh kiến nghị của Nhân dân, hỗ trợ thực hiện dịch vụ công, chuyển đổi số và các chương trình phát triển kinh tế - xã hội tại địa phương.</w:t>
      </w:r>
    </w:p>
    <w:p>
      <w:pPr>
        <w:spacing w:before="80" w:after="80" w:line="360" w:lineRule="exact"/>
        <w:ind w:firstLine="720"/>
        <w:jc w:val="both"/>
        <w:rPr>
          <w:sz w:val="28"/>
          <w:szCs w:val="28"/>
        </w:rPr>
      </w:pPr>
      <w:r>
        <w:rPr>
          <w:sz w:val="28"/>
          <w:szCs w:val="28"/>
        </w:rPr>
        <w:t>Một nội dung đáng chú ý là dự thảo đẩy mạnh ứng dụng công nghệ thông tin và chuyển đổi số trong hoạt động của thôn, tổ dân phố. Quy chế khuyến khích sử dụng nền tảng số để thông tin, lấy ý kiến người dân, số hóa hồ sơ, khai thác dữ liệu và hỗ trợ người dân tiếp cận dịch vụ công trực tuyến, qua đó hiện đại hóa phương thức quản lý cộng đồng.</w:t>
      </w:r>
    </w:p>
    <w:p>
      <w:pPr>
        <w:spacing w:before="80" w:after="80" w:line="360" w:lineRule="exact"/>
        <w:ind w:firstLine="720"/>
        <w:jc w:val="both"/>
        <w:rPr>
          <w:sz w:val="28"/>
          <w:szCs w:val="28"/>
        </w:rPr>
      </w:pPr>
      <w:r>
        <w:rPr>
          <w:sz w:val="28"/>
          <w:szCs w:val="28"/>
        </w:rPr>
        <w:t>Đối với đội ngũ Trưởng thôn, Tổ trưởng tổ dân phố, Quy chế quy định việc bầu, công nhận, cho thôi làm nhiệm vụ và xử lý trường hợp khuyết chức danh theo quy định của pháp luật hiện hành. Nhiệm kỳ được xác định là 05 năm, bảo đảm thống nhất trên toàn thành phố, đồng thời quy định cơ chế chỉ định người điều hành tạm thời khi chưa bầu được người mới để không làm gián đoạn hoạt động của địa bàn dân cư.</w:t>
      </w:r>
    </w:p>
    <w:p>
      <w:pPr>
        <w:spacing w:before="80" w:after="80" w:line="360" w:lineRule="exact"/>
        <w:ind w:firstLine="720"/>
        <w:jc w:val="both"/>
        <w:rPr>
          <w:sz w:val="28"/>
          <w:szCs w:val="28"/>
        </w:rPr>
      </w:pPr>
      <w:r>
        <w:rPr>
          <w:sz w:val="28"/>
          <w:szCs w:val="28"/>
        </w:rPr>
        <w:t>Quy chế cũng đưa ra tiêu chí quy mô đối với thôn và tổ dân phố: thôn phải có từ 400 hộ gia đình trở lên; Tổ dân phố phải có từ 550 hộ gia đình trở lên; bổ sung cơ chế xử lý linh hoạt đối với các địa bàn đặc thù như miền núi, hải đảo, khu vực biệt lập, vùng có điều kiện giao thông khó khăn, địa bàn quốc phòng, an ninh hoặc khu vực tái định cư. Những trường hợp này có thể được duy trì tổ chức hiện có dù chưa đáp ứng tiêu chuẩn về số hộ nếu việc sắp xếp không phù hợp với điều kiện thực tế và được cộng đồng dân cư đồng thuận. Bên cạnh đó, Quy chế còn quy định các trường hợp phát sinh trong quá trình đô thị hóa, như chuyển xã thành phường, hình thành khu dân cư mới hoặc chuyển giao cộng đồng dân cư giữa các địa bàn, nhằm tạo cơ sở pháp lý để sắp xếp tổ chức dân cư phù hợp với yêu cầu quản lý và điều kiện thực tế của từng địa phương.</w:t>
      </w:r>
    </w:p>
    <w:p>
      <w:pPr>
        <w:spacing w:before="80" w:after="80" w:line="360" w:lineRule="exact"/>
        <w:ind w:firstLine="720"/>
        <w:jc w:val="both"/>
        <w:rPr>
          <w:rFonts w:cs="Times New Roman"/>
          <w:b/>
          <w:sz w:val="28"/>
          <w:szCs w:val="28"/>
        </w:rPr>
      </w:pPr>
      <w:r>
        <w:rPr>
          <w:rFonts w:cs="Times New Roman"/>
          <w:b/>
          <w:sz w:val="28"/>
          <w:szCs w:val="28"/>
        </w:rPr>
        <w:t>V. DỰ KIẾN NGUỒN LỰC, ĐIỀU KIỆN BẢO ĐẢM CHO VIỆC THI HÀNH VĂN BẢN VÀ THỜI GIAN TRÌNH BAN HÀNH</w:t>
      </w:r>
    </w:p>
    <w:p>
      <w:pPr>
        <w:widowControl w:val="0"/>
        <w:spacing w:before="120" w:after="120"/>
        <w:ind w:firstLine="720"/>
        <w:jc w:val="both"/>
        <w:rPr>
          <w:rFonts w:cs="Times New Roman"/>
          <w:b/>
          <w:bCs/>
          <w:sz w:val="28"/>
          <w:szCs w:val="28"/>
          <w:lang w:val="vi-VN" w:eastAsia="vi-VN"/>
        </w:rPr>
      </w:pPr>
      <w:r>
        <w:rPr>
          <w:rFonts w:cs="Times New Roman"/>
          <w:b/>
          <w:bCs/>
          <w:sz w:val="28"/>
          <w:szCs w:val="28"/>
          <w:lang w:val="vi-VN" w:eastAsia="vi-VN"/>
        </w:rPr>
        <w:lastRenderedPageBreak/>
        <w:t>1. Dự kiến nguồn lực, điều kiện bảo đảm cho việc thi hành văn bản</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Việc ban hành và tổ chức thực hiện Quyết định không làm phát sinh thêm tổ chức bộ máy, biên chế</w:t>
      </w:r>
      <w:r>
        <w:rPr>
          <w:rFonts w:cs="Times New Roman"/>
          <w:bCs/>
          <w:sz w:val="28"/>
          <w:szCs w:val="28"/>
          <w:lang w:eastAsia="vi-VN"/>
        </w:rPr>
        <w:t xml:space="preserve"> và kinh phí</w:t>
      </w:r>
      <w:r>
        <w:rPr>
          <w:rFonts w:cs="Times New Roman"/>
          <w:bCs/>
          <w:sz w:val="28"/>
          <w:szCs w:val="28"/>
          <w:lang w:val="vi-VN" w:eastAsia="vi-VN"/>
        </w:rPr>
        <w:t>; sử dụng đội ngũ cán bộ, công chức hiện có của các cơ quan, đơn vị để triển khai thực hiện theo chức năng, nhiệm vụ được giao.</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Sở Nội vụ chủ trì, phối hợp với các cơ quan, đơn vị có liên quan theo dõi, hướng dẫn, kiểm tra việc triển khai thực hiện Quyết định; kịp thời tổng hợp, báo cáo UBND thành phố xem xét, chỉ đạo đối với các khó khăn, vướng mắc phát sinh (nếu có).</w:t>
      </w:r>
    </w:p>
    <w:p>
      <w:pPr>
        <w:widowControl w:val="0"/>
        <w:spacing w:before="120" w:after="120"/>
        <w:ind w:firstLine="720"/>
        <w:jc w:val="both"/>
        <w:rPr>
          <w:rFonts w:cs="Times New Roman"/>
          <w:b/>
          <w:bCs/>
          <w:sz w:val="28"/>
          <w:szCs w:val="28"/>
          <w:lang w:val="vi-VN" w:eastAsia="vi-VN"/>
        </w:rPr>
      </w:pPr>
      <w:r>
        <w:rPr>
          <w:rFonts w:cs="Times New Roman"/>
          <w:b/>
          <w:bCs/>
          <w:sz w:val="28"/>
          <w:szCs w:val="28"/>
          <w:lang w:val="vi-VN" w:eastAsia="vi-VN"/>
        </w:rPr>
        <w:t>2. Thời gian trình ban hành</w:t>
      </w:r>
    </w:p>
    <w:p>
      <w:pPr>
        <w:widowControl w:val="0"/>
        <w:spacing w:before="120" w:after="120"/>
        <w:ind w:firstLine="720"/>
        <w:jc w:val="both"/>
        <w:rPr>
          <w:rFonts w:cs="Times New Roman"/>
          <w:bCs/>
          <w:sz w:val="28"/>
          <w:szCs w:val="28"/>
          <w:lang w:val="vi-VN" w:eastAsia="vi-VN"/>
        </w:rPr>
      </w:pPr>
      <w:r>
        <w:rPr>
          <w:rFonts w:cs="Times New Roman"/>
          <w:bCs/>
          <w:sz w:val="28"/>
          <w:szCs w:val="28"/>
          <w:lang w:val="vi-VN" w:eastAsia="vi-VN"/>
        </w:rPr>
        <w:t xml:space="preserve">Sở Nội vụ dự kiến hoàn thiện hồ sơ dự thảo Quyết định, lấy ý kiến các cơ quan, đơn vị liên quan theo quy định và trình UBND thành phố xem xét, ban hành </w:t>
      </w:r>
      <w:r>
        <w:rPr>
          <w:rFonts w:cs="Times New Roman"/>
          <w:b/>
          <w:bCs/>
          <w:sz w:val="28"/>
          <w:szCs w:val="28"/>
          <w:lang w:val="vi-VN" w:eastAsia="vi-VN"/>
        </w:rPr>
        <w:t xml:space="preserve">trong tháng </w:t>
      </w:r>
      <w:r>
        <w:rPr>
          <w:rFonts w:cs="Times New Roman"/>
          <w:b/>
          <w:bCs/>
          <w:sz w:val="28"/>
          <w:szCs w:val="28"/>
          <w:lang w:eastAsia="vi-VN"/>
        </w:rPr>
        <w:t>8</w:t>
      </w:r>
      <w:r>
        <w:rPr>
          <w:rFonts w:cs="Times New Roman"/>
          <w:b/>
          <w:bCs/>
          <w:sz w:val="28"/>
          <w:szCs w:val="28"/>
          <w:lang w:val="vi-VN" w:eastAsia="vi-VN"/>
        </w:rPr>
        <w:t xml:space="preserve"> năm 2026</w:t>
      </w:r>
      <w:r>
        <w:rPr>
          <w:rFonts w:cs="Times New Roman"/>
          <w:bCs/>
          <w:sz w:val="28"/>
          <w:szCs w:val="28"/>
          <w:lang w:val="vi-VN" w:eastAsia="vi-VN"/>
        </w:rPr>
        <w:t>, bảo đảm tiến độ theo chỉ đạo của UBND thành phố.</w:t>
      </w:r>
    </w:p>
    <w:p>
      <w:pPr>
        <w:widowControl w:val="0"/>
        <w:spacing w:before="120" w:after="120"/>
        <w:ind w:firstLine="720"/>
        <w:jc w:val="both"/>
        <w:rPr>
          <w:rFonts w:cs="Times New Roman"/>
          <w:b/>
          <w:bCs/>
          <w:sz w:val="28"/>
          <w:szCs w:val="28"/>
          <w:lang w:val="vi-VN" w:eastAsia="vi-VN"/>
        </w:rPr>
      </w:pPr>
      <w:r>
        <w:rPr>
          <w:rFonts w:cs="Times New Roman"/>
          <w:sz w:val="28"/>
          <w:szCs w:val="28"/>
          <w:lang w:val="vi-VN" w:eastAsia="vi-VN"/>
        </w:rPr>
        <w:t xml:space="preserve">Trên đây là Tờ trình về Dự thảo Quyết định ban hành </w:t>
      </w:r>
      <w:r>
        <w:rPr>
          <w:rFonts w:cs="Times New Roman"/>
          <w:sz w:val="28"/>
          <w:szCs w:val="28"/>
        </w:rPr>
        <w:t>Quy chế tổ chức và hoạt động của thôn, tổ dân phố trên địa bàn thành phố Hải Phòng</w:t>
      </w:r>
      <w:r>
        <w:rPr>
          <w:rFonts w:cs="Times New Roman"/>
          <w:sz w:val="28"/>
          <w:szCs w:val="28"/>
          <w:lang w:val="vi-VN" w:eastAsia="vi-VN"/>
        </w:rPr>
        <w:t>, Sở Nội vụ báo cáo và kính trình Ủy ban nhân dân thành phố xem xét, quyết định./.</w:t>
      </w:r>
    </w:p>
    <w:p>
      <w:pPr>
        <w:widowControl w:val="0"/>
        <w:spacing w:before="120" w:after="120"/>
        <w:ind w:firstLine="720"/>
        <w:jc w:val="both"/>
        <w:rPr>
          <w:rFonts w:cs="Times New Roman"/>
          <w:i/>
          <w:iCs/>
          <w:sz w:val="28"/>
          <w:szCs w:val="28"/>
          <w:lang w:val="vi-VN" w:eastAsia="vi-VN"/>
        </w:rPr>
      </w:pPr>
      <w:r>
        <w:rPr>
          <w:rFonts w:cs="Times New Roman"/>
          <w:i/>
          <w:iCs/>
          <w:sz w:val="28"/>
          <w:szCs w:val="28"/>
          <w:lang w:val="vi-VN" w:eastAsia="vi-VN"/>
        </w:rPr>
        <w:t>(Xin gửi kèm theo:</w:t>
      </w:r>
    </w:p>
    <w:p>
      <w:pPr>
        <w:widowControl w:val="0"/>
        <w:spacing w:before="120" w:after="120"/>
        <w:ind w:firstLine="720"/>
        <w:jc w:val="both"/>
        <w:rPr>
          <w:rFonts w:cs="Times New Roman"/>
          <w:i/>
          <w:iCs/>
          <w:sz w:val="28"/>
          <w:szCs w:val="28"/>
          <w:lang w:val="vi-VN" w:eastAsia="vi-VN"/>
        </w:rPr>
      </w:pPr>
      <w:r>
        <w:rPr>
          <w:rFonts w:cs="Times New Roman"/>
          <w:i/>
          <w:iCs/>
          <w:sz w:val="28"/>
          <w:szCs w:val="28"/>
          <w:lang w:val="vi-VN" w:eastAsia="vi-VN"/>
        </w:rPr>
        <w:t>- Dự thảo Quyết định của UBND thành phố;</w:t>
      </w:r>
    </w:p>
    <w:p>
      <w:pPr>
        <w:widowControl w:val="0"/>
        <w:spacing w:before="120" w:after="120"/>
        <w:ind w:firstLine="720"/>
        <w:jc w:val="both"/>
        <w:rPr>
          <w:rFonts w:cs="Times New Roman"/>
          <w:i/>
          <w:iCs/>
          <w:sz w:val="28"/>
          <w:szCs w:val="28"/>
          <w:lang w:val="vi-VN" w:eastAsia="vi-VN"/>
        </w:rPr>
      </w:pPr>
      <w:r>
        <w:rPr>
          <w:rFonts w:cs="Times New Roman"/>
          <w:i/>
          <w:iCs/>
          <w:sz w:val="28"/>
          <w:szCs w:val="28"/>
          <w:lang w:val="vi-VN" w:eastAsia="vi-VN"/>
        </w:rPr>
        <w:t>- Bản thuyết minh nội dung dự thảo;</w:t>
      </w:r>
    </w:p>
    <w:p>
      <w:pPr>
        <w:widowControl w:val="0"/>
        <w:spacing w:before="120" w:after="120"/>
        <w:ind w:firstLine="720"/>
        <w:jc w:val="both"/>
        <w:rPr>
          <w:rFonts w:cs="Times New Roman"/>
          <w:i/>
          <w:iCs/>
          <w:sz w:val="28"/>
          <w:szCs w:val="28"/>
          <w:lang w:eastAsia="vi-VN"/>
        </w:rPr>
      </w:pPr>
      <w:r>
        <w:rPr>
          <w:rFonts w:cs="Times New Roman"/>
          <w:i/>
          <w:iCs/>
          <w:sz w:val="28"/>
          <w:szCs w:val="28"/>
          <w:lang w:eastAsia="vi-VN"/>
        </w:rPr>
        <w:t>- Báo cáo rà soát các chủ trương, đường lối của Đảng, văn bản quy phạm pháp luật, điều ước quốc tế có liên quan;</w:t>
      </w:r>
    </w:p>
    <w:p>
      <w:pPr>
        <w:widowControl w:val="0"/>
        <w:spacing w:before="120" w:after="120"/>
        <w:ind w:firstLine="720"/>
        <w:jc w:val="both"/>
        <w:rPr>
          <w:rFonts w:cs="Times New Roman"/>
          <w:i/>
          <w:iCs/>
          <w:sz w:val="28"/>
          <w:szCs w:val="28"/>
          <w:lang w:eastAsia="vi-VN"/>
        </w:rPr>
      </w:pPr>
      <w:r>
        <w:rPr>
          <w:rFonts w:cs="Times New Roman"/>
          <w:i/>
          <w:iCs/>
          <w:sz w:val="28"/>
          <w:szCs w:val="28"/>
          <w:lang w:eastAsia="vi-VN"/>
        </w:rPr>
        <w:t>- Báo cáo tổng kết thi hành pháp luật;</w:t>
      </w:r>
    </w:p>
    <w:p>
      <w:pPr>
        <w:widowControl w:val="0"/>
        <w:spacing w:before="120" w:after="120"/>
        <w:ind w:firstLine="720"/>
        <w:jc w:val="both"/>
        <w:rPr>
          <w:rFonts w:cs="Times New Roman"/>
          <w:i/>
          <w:iCs/>
          <w:sz w:val="28"/>
          <w:szCs w:val="28"/>
          <w:lang w:eastAsia="vi-VN"/>
        </w:rPr>
      </w:pPr>
      <w:r>
        <w:rPr>
          <w:rFonts w:cs="Times New Roman"/>
          <w:i/>
          <w:iCs/>
          <w:sz w:val="28"/>
          <w:szCs w:val="28"/>
          <w:lang w:eastAsia="vi-VN"/>
        </w:rPr>
        <w:t>- Bản giải trình, tiếp thu ý kiến tham gia của cơ quan, đơn vị có liên quan;</w:t>
      </w:r>
    </w:p>
    <w:p>
      <w:pPr>
        <w:widowControl w:val="0"/>
        <w:spacing w:before="120" w:after="120"/>
        <w:ind w:firstLine="720"/>
        <w:jc w:val="both"/>
        <w:rPr>
          <w:rFonts w:cs="Times New Roman"/>
          <w:i/>
          <w:iCs/>
          <w:sz w:val="28"/>
          <w:szCs w:val="28"/>
          <w:lang w:eastAsia="vi-VN"/>
        </w:rPr>
      </w:pPr>
      <w:r>
        <w:rPr>
          <w:rFonts w:cs="Times New Roman"/>
          <w:i/>
          <w:iCs/>
          <w:sz w:val="28"/>
          <w:szCs w:val="28"/>
          <w:lang w:eastAsia="vi-VN"/>
        </w:rPr>
        <w:t>- Báo cáo thẩm định của Sở Tư pháp)</w:t>
      </w:r>
    </w:p>
    <w:tbl>
      <w:tblPr>
        <w:tblStyle w:val="TableGrid"/>
        <w:tblW w:w="9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79"/>
      </w:tblGrid>
      <w:tr>
        <w:trPr>
          <w:trHeight w:val="2263"/>
        </w:trPr>
        <w:tc>
          <w:tcPr>
            <w:tcW w:w="4778" w:type="dxa"/>
          </w:tcPr>
          <w:p>
            <w:pPr>
              <w:rPr>
                <w:rFonts w:cs="Times New Roman"/>
                <w:sz w:val="22"/>
                <w:lang w:val="pt-BR"/>
              </w:rPr>
            </w:pPr>
            <w:r>
              <w:rPr>
                <w:b/>
                <w:i/>
                <w:iCs/>
                <w:sz w:val="24"/>
                <w:szCs w:val="24"/>
              </w:rPr>
              <w:t>Nơi nhận:</w:t>
            </w:r>
            <w:r>
              <w:rPr>
                <w:sz w:val="24"/>
                <w:szCs w:val="24"/>
              </w:rPr>
              <w:br/>
            </w:r>
            <w:r>
              <w:rPr>
                <w:sz w:val="22"/>
              </w:rPr>
              <w:t>- Như trên;</w:t>
            </w:r>
            <w:r>
              <w:rPr>
                <w:sz w:val="22"/>
              </w:rPr>
              <w:br/>
            </w:r>
            <w:r>
              <w:rPr>
                <w:rFonts w:cs="Times New Roman"/>
                <w:sz w:val="22"/>
                <w:lang w:val="pt-BR"/>
              </w:rPr>
              <w:t>- VP UBND TP;</w:t>
            </w:r>
          </w:p>
          <w:p>
            <w:pPr>
              <w:rPr>
                <w:rFonts w:cs="Times New Roman"/>
                <w:sz w:val="22"/>
                <w:lang w:val="pt-BR"/>
              </w:rPr>
            </w:pPr>
            <w:r>
              <w:rPr>
                <w:rFonts w:cs="Times New Roman"/>
                <w:sz w:val="22"/>
                <w:lang w:val="pt-BR"/>
              </w:rPr>
              <w:t>- Sở Tư pháp;</w:t>
            </w:r>
          </w:p>
          <w:p>
            <w:pPr>
              <w:rPr>
                <w:rFonts w:cs="Times New Roman"/>
                <w:sz w:val="22"/>
                <w:lang w:val="pt-BR"/>
              </w:rPr>
            </w:pPr>
            <w:r>
              <w:rPr>
                <w:rFonts w:cs="Times New Roman"/>
                <w:sz w:val="22"/>
                <w:lang w:val="pt-BR"/>
              </w:rPr>
              <w:t>- GĐ, các PGĐ Sở;</w:t>
            </w:r>
          </w:p>
          <w:p>
            <w:r>
              <w:rPr>
                <w:sz w:val="22"/>
              </w:rPr>
              <w:t>- Lưu: VT, XDCQ&amp;CTTN.</w:t>
            </w:r>
          </w:p>
          <w:p>
            <w:pPr>
              <w:jc w:val="both"/>
            </w:pPr>
          </w:p>
        </w:tc>
        <w:tc>
          <w:tcPr>
            <w:tcW w:w="4779" w:type="dxa"/>
          </w:tcPr>
          <w:p>
            <w:pPr>
              <w:jc w:val="center"/>
              <w:rPr>
                <w:b/>
              </w:rPr>
            </w:pPr>
            <w:r>
              <w:rPr>
                <w:b/>
              </w:rPr>
              <w:t>GIÁM ĐỐC</w:t>
            </w:r>
          </w:p>
          <w:p>
            <w:pPr>
              <w:jc w:val="center"/>
              <w:rPr>
                <w:b/>
              </w:rPr>
            </w:pPr>
          </w:p>
          <w:p>
            <w:pPr>
              <w:jc w:val="center"/>
              <w:rPr>
                <w:b/>
              </w:rPr>
            </w:pPr>
          </w:p>
          <w:p>
            <w:pPr>
              <w:jc w:val="center"/>
              <w:rPr>
                <w:b/>
              </w:rPr>
            </w:pPr>
          </w:p>
          <w:p>
            <w:pPr>
              <w:jc w:val="center"/>
              <w:rPr>
                <w:b/>
              </w:rPr>
            </w:pPr>
          </w:p>
          <w:p>
            <w:pPr>
              <w:jc w:val="center"/>
              <w:rPr>
                <w:b/>
              </w:rPr>
            </w:pPr>
          </w:p>
          <w:p>
            <w:pPr>
              <w:jc w:val="center"/>
              <w:rPr>
                <w:sz w:val="28"/>
              </w:rPr>
            </w:pPr>
            <w:r>
              <w:rPr>
                <w:b/>
                <w:sz w:val="28"/>
              </w:rPr>
              <w:t>Sái Thị Yến</w:t>
            </w:r>
          </w:p>
          <w:p>
            <w:pPr>
              <w:jc w:val="both"/>
            </w:pPr>
          </w:p>
        </w:tc>
      </w:tr>
    </w:tbl>
    <w:p>
      <w:pPr>
        <w:spacing w:before="120" w:after="0" w:line="240" w:lineRule="auto"/>
        <w:jc w:val="both"/>
      </w:pPr>
    </w:p>
    <w:sectPr>
      <w:headerReference w:type="default" r:id="rId9"/>
      <w:pgSz w:w="11906" w:h="16838"/>
      <w:pgMar w:top="1134" w:right="1134" w:bottom="113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052909"/>
      <w:docPartObj>
        <w:docPartGallery w:val="Page Numbers (Top of Page)"/>
        <w:docPartUnique/>
      </w:docPartObj>
    </w:sdtPr>
    <w:sdtContent>
      <w:p>
        <w:pPr>
          <w:pStyle w:val="Header"/>
          <w:jc w:val="center"/>
        </w:pPr>
        <w:r>
          <w:fldChar w:fldCharType="begin"/>
        </w:r>
        <w:r>
          <w:instrText>PAGE   \* MERGEFORMAT</w:instrText>
        </w:r>
        <w:r>
          <w:fldChar w:fldCharType="separate"/>
        </w:r>
        <w:r>
          <w:rPr>
            <w:noProof/>
            <w:lang w:val="vi-VN"/>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C13841E-3784-4A79-8AF0-8D1626D8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6"/>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semiHidden/>
    <w:unhideWhenUsed/>
    <w:rPr>
      <w:color w:val="0000FF"/>
      <w:u w:val="single"/>
    </w:rPr>
  </w:style>
  <w:style w:type="paragraph" w:customStyle="1" w:styleId="isselectedend">
    <w:name w:val="isselectedend"/>
    <w:basedOn w:val="Normal"/>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004966">
      <w:bodyDiv w:val="1"/>
      <w:marLeft w:val="0"/>
      <w:marRight w:val="0"/>
      <w:marTop w:val="0"/>
      <w:marBottom w:val="0"/>
      <w:divBdr>
        <w:top w:val="none" w:sz="0" w:space="0" w:color="auto"/>
        <w:left w:val="none" w:sz="0" w:space="0" w:color="auto"/>
        <w:bottom w:val="none" w:sz="0" w:space="0" w:color="auto"/>
        <w:right w:val="none" w:sz="0" w:space="0" w:color="auto"/>
      </w:divBdr>
    </w:div>
    <w:div w:id="887303759">
      <w:bodyDiv w:val="1"/>
      <w:marLeft w:val="0"/>
      <w:marRight w:val="0"/>
      <w:marTop w:val="0"/>
      <w:marBottom w:val="0"/>
      <w:divBdr>
        <w:top w:val="none" w:sz="0" w:space="0" w:color="auto"/>
        <w:left w:val="none" w:sz="0" w:space="0" w:color="auto"/>
        <w:bottom w:val="none" w:sz="0" w:space="0" w:color="auto"/>
        <w:right w:val="none" w:sz="0" w:space="0" w:color="auto"/>
      </w:divBdr>
    </w:div>
    <w:div w:id="1043556233">
      <w:bodyDiv w:val="1"/>
      <w:marLeft w:val="0"/>
      <w:marRight w:val="0"/>
      <w:marTop w:val="0"/>
      <w:marBottom w:val="0"/>
      <w:divBdr>
        <w:top w:val="none" w:sz="0" w:space="0" w:color="auto"/>
        <w:left w:val="none" w:sz="0" w:space="0" w:color="auto"/>
        <w:bottom w:val="none" w:sz="0" w:space="0" w:color="auto"/>
        <w:right w:val="none" w:sz="0" w:space="0" w:color="auto"/>
      </w:divBdr>
    </w:div>
    <w:div w:id="1586107241">
      <w:bodyDiv w:val="1"/>
      <w:marLeft w:val="0"/>
      <w:marRight w:val="0"/>
      <w:marTop w:val="0"/>
      <w:marBottom w:val="0"/>
      <w:divBdr>
        <w:top w:val="none" w:sz="0" w:space="0" w:color="auto"/>
        <w:left w:val="none" w:sz="0" w:space="0" w:color="auto"/>
        <w:bottom w:val="none" w:sz="0" w:space="0" w:color="auto"/>
        <w:right w:val="none" w:sz="0" w:space="0" w:color="auto"/>
      </w:divBdr>
    </w:div>
    <w:div w:id="1711493142">
      <w:bodyDiv w:val="1"/>
      <w:marLeft w:val="0"/>
      <w:marRight w:val="0"/>
      <w:marTop w:val="0"/>
      <w:marBottom w:val="0"/>
      <w:divBdr>
        <w:top w:val="none" w:sz="0" w:space="0" w:color="auto"/>
        <w:left w:val="none" w:sz="0" w:space="0" w:color="auto"/>
        <w:bottom w:val="none" w:sz="0" w:space="0" w:color="auto"/>
        <w:right w:val="none" w:sz="0" w:space="0" w:color="auto"/>
      </w:divBdr>
    </w:div>
    <w:div w:id="1817141282">
      <w:bodyDiv w:val="1"/>
      <w:marLeft w:val="0"/>
      <w:marRight w:val="0"/>
      <w:marTop w:val="0"/>
      <w:marBottom w:val="0"/>
      <w:divBdr>
        <w:top w:val="none" w:sz="0" w:space="0" w:color="auto"/>
        <w:left w:val="none" w:sz="0" w:space="0" w:color="auto"/>
        <w:bottom w:val="none" w:sz="0" w:space="0" w:color="auto"/>
        <w:right w:val="none" w:sz="0" w:space="0" w:color="auto"/>
      </w:divBdr>
    </w:div>
    <w:div w:id="1862933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hanh-chinh/quyet-dinh-21-2018-qd-ubnd-hai-phong-quy-che-to-chuc-va-hoat-dong-cua-thon-to-dan-pho-385783-d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5C951-9062-4841-AF32-6E46B7B7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9</Pages>
  <Words>2919</Words>
  <Characters>16641</Characters>
  <Application>Microsoft Office Word</Application>
  <DocSecurity>0</DocSecurity>
  <Lines>138</Lines>
  <Paragraphs>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Manager/>
  <Company/>
  <LinksUpToDate>false</LinksUpToDate>
  <CharactersWithSpaces>19521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29</cp:revision>
  <dcterms:created xsi:type="dcterms:W3CDTF">2026-07-14T08:18:00Z</dcterms:created>
  <dcterms:modified xsi:type="dcterms:W3CDTF">2026-07-31T10:04:00Z</dcterms:modified>
  <cp:category/>
</cp:coreProperties>
</file>