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736.0" w:type="dxa"/>
        <w:jc w:val="left"/>
        <w:tblInd w:w="-137.0" w:type="dxa"/>
        <w:tblLayout w:type="fixed"/>
        <w:tblLook w:val="0000"/>
      </w:tblPr>
      <w:tblGrid>
        <w:gridCol w:w="3652"/>
        <w:gridCol w:w="6084"/>
        <w:tblGridChange w:id="0">
          <w:tblGrid>
            <w:gridCol w:w="3652"/>
            <w:gridCol w:w="6084"/>
          </w:tblGrid>
        </w:tblGridChange>
      </w:tblGrid>
      <w:tr>
        <w:trPr>
          <w:cantSplit w:val="1"/>
          <w:trHeight w:val="840" w:hRule="atLeast"/>
          <w:tblHeader w:val="0"/>
        </w:trPr>
        <w:tc>
          <w:tcPr>
            <w:tcMar>
              <w:top w:w="0.0" w:type="dxa"/>
              <w:left w:w="0.0" w:type="dxa"/>
              <w:bottom w:w="0.0" w:type="dxa"/>
              <w:right w:w="0.0" w:type="dxa"/>
            </w:tcMar>
          </w:tcPr>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HỘI ĐỒNG NHÂN DÂN</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THÀNH PHỐ HẢI PHÒNG</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819785</wp:posOffset>
                      </wp:positionH>
                      <wp:positionV relativeFrom="paragraph">
                        <wp:posOffset>198754</wp:posOffset>
                      </wp:positionV>
                      <wp:extent cx="864235" cy="12700"/>
                      <wp:effectExtent b="0" l="0" r="0" t="0"/>
                      <wp:wrapNone/>
                      <wp:docPr id="1" name=""/>
                      <a:graphic>
                        <a:graphicData uri="http://schemas.microsoft.com/office/word/2010/wordprocessingShape">
                          <wps:wsp>
                            <wps:cNvCnPr/>
                            <wps:spPr>
                              <a:xfrm>
                                <a:off x="4913883" y="3780000"/>
                                <a:ext cx="86423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819785</wp:posOffset>
                      </wp:positionH>
                      <wp:positionV relativeFrom="paragraph">
                        <wp:posOffset>198754</wp:posOffset>
                      </wp:positionV>
                      <wp:extent cx="864235"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864235" cy="12700"/>
                              </a:xfrm>
                              <a:prstGeom prst="rect"/>
                              <a:ln/>
                            </pic:spPr>
                          </pic:pic>
                        </a:graphicData>
                      </a:graphic>
                    </wp:anchor>
                  </w:drawing>
                </mc:Fallback>
              </mc:AlternateConten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CỘNG HÒA XÃ HỘI CHỦ NGHĨA VIỆT NAM</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Độc lập - Tự do - Hạnh phúc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851535</wp:posOffset>
                      </wp:positionH>
                      <wp:positionV relativeFrom="paragraph">
                        <wp:posOffset>226695</wp:posOffset>
                      </wp:positionV>
                      <wp:extent cx="2160270" cy="12700"/>
                      <wp:effectExtent b="0" l="0" r="0" t="0"/>
                      <wp:wrapNone/>
                      <wp:docPr id="3" name=""/>
                      <a:graphic>
                        <a:graphicData uri="http://schemas.microsoft.com/office/word/2010/wordprocessingShape">
                          <wps:wsp>
                            <wps:cNvCnPr/>
                            <wps:spPr>
                              <a:xfrm>
                                <a:off x="4265865" y="3780000"/>
                                <a:ext cx="216027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851535</wp:posOffset>
                      </wp:positionH>
                      <wp:positionV relativeFrom="paragraph">
                        <wp:posOffset>226695</wp:posOffset>
                      </wp:positionV>
                      <wp:extent cx="2160270" cy="127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160270" cy="12700"/>
                              </a:xfrm>
                              <a:prstGeom prst="rect"/>
                              <a:ln/>
                            </pic:spPr>
                          </pic:pic>
                        </a:graphicData>
                      </a:graphic>
                    </wp:anchor>
                  </w:drawing>
                </mc:Fallback>
              </mc:AlternateContent>
            </w:r>
          </w:p>
        </w:tc>
      </w:tr>
      <w:tr>
        <w:trPr>
          <w:cantSplit w:val="1"/>
          <w:trHeight w:val="426" w:hRule="atLeast"/>
          <w:tblHeader w:val="0"/>
        </w:trPr>
        <w:tc>
          <w:tcPr>
            <w:tcMar>
              <w:top w:w="0.0" w:type="dxa"/>
              <w:left w:w="0.0" w:type="dxa"/>
              <w:bottom w:w="0.0" w:type="dxa"/>
              <w:right w:w="0.0" w:type="dxa"/>
            </w:tcMar>
          </w:tcPr>
          <w:p w:rsidR="00000000" w:rsidDel="00000000" w:rsidP="00000000" w:rsidRDefault="00000000" w:rsidRPr="00000000" w14:paraId="00000007">
            <w:pPr>
              <w:keepNext w:val="1"/>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/2026/NQ-HĐND</w:t>
            </w:r>
          </w:p>
        </w:tc>
        <w:tc>
          <w:tcPr>
            <w:tcMar>
              <w:top w:w="0.0" w:type="dxa"/>
              <w:left w:w="0.0" w:type="dxa"/>
              <w:bottom w:w="0.0" w:type="dxa"/>
              <w:right w:w="0.0" w:type="dxa"/>
            </w:tcMar>
          </w:tcPr>
          <w:p w:rsidR="00000000" w:rsidDel="00000000" w:rsidP="00000000" w:rsidRDefault="00000000" w:rsidRPr="00000000" w14:paraId="00000008">
            <w:pPr>
              <w:spacing w:after="0" w:line="240"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Hải Phòng, ngày       tháng        năm 2026</w:t>
            </w:r>
          </w:p>
        </w:tc>
      </w:tr>
    </w:tbl>
    <w:p w:rsidR="00000000" w:rsidDel="00000000" w:rsidP="00000000" w:rsidRDefault="00000000" w:rsidRPr="00000000" w14:paraId="00000009">
      <w:pPr>
        <w:shd w:fill="ffffff" w:val="clea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162877</wp:posOffset>
                </wp:positionH>
                <wp:positionV relativeFrom="paragraph">
                  <wp:posOffset>105727</wp:posOffset>
                </wp:positionV>
                <wp:extent cx="1194435" cy="327660"/>
                <wp:effectExtent b="0" l="0" r="0" t="0"/>
                <wp:wrapNone/>
                <wp:docPr id="4" name=""/>
                <a:graphic>
                  <a:graphicData uri="http://schemas.microsoft.com/office/word/2010/wordprocessingShape">
                    <wps:wsp>
                      <wps:cNvSpPr/>
                      <wps:cNvPr id="5" name="Shape 5"/>
                      <wps:spPr>
                        <a:xfrm>
                          <a:off x="4753628" y="3620974"/>
                          <a:ext cx="1184744" cy="318052"/>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DỰ THẢO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162877</wp:posOffset>
                </wp:positionH>
                <wp:positionV relativeFrom="paragraph">
                  <wp:posOffset>105727</wp:posOffset>
                </wp:positionV>
                <wp:extent cx="1194435" cy="327660"/>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194435" cy="327660"/>
                        </a:xfrm>
                        <a:prstGeom prst="rect"/>
                        <a:ln/>
                      </pic:spPr>
                    </pic:pic>
                  </a:graphicData>
                </a:graphic>
              </wp:anchor>
            </w:drawing>
          </mc:Fallback>
        </mc:AlternateContent>
      </w:r>
    </w:p>
    <w:p w:rsidR="00000000" w:rsidDel="00000000" w:rsidP="00000000" w:rsidRDefault="00000000" w:rsidRPr="00000000" w14:paraId="0000000A">
      <w:pPr>
        <w:shd w:fill="ffffff" w:val="clea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0B">
      <w:pPr>
        <w:shd w:fill="ffffff" w:val="clea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NGHỊ QUYẾT</w:t>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Quy định chính sách hỗ trợ công tác phòng, chống ma túy</w:t>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trên địa bàn thành phố Hải Phòng</w:t>
      </w:r>
    </w:p>
    <w:p w:rsidR="00000000" w:rsidDel="00000000" w:rsidP="00000000" w:rsidRDefault="00000000" w:rsidRPr="00000000" w14:paraId="0000000E">
      <w:pPr>
        <w:tabs>
          <w:tab w:val="left" w:leader="none" w:pos="567"/>
        </w:tabs>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2296795</wp:posOffset>
                </wp:positionH>
                <wp:positionV relativeFrom="paragraph">
                  <wp:posOffset>85090</wp:posOffset>
                </wp:positionV>
                <wp:extent cx="1149985" cy="12700"/>
                <wp:effectExtent b="0" l="0" r="0" t="0"/>
                <wp:wrapNone/>
                <wp:docPr id="2" name=""/>
                <a:graphic>
                  <a:graphicData uri="http://schemas.microsoft.com/office/word/2010/wordprocessingShape">
                    <wps:wsp>
                      <wps:cNvCnPr/>
                      <wps:spPr>
                        <a:xfrm>
                          <a:off x="4771008" y="3780000"/>
                          <a:ext cx="114998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2296795</wp:posOffset>
                </wp:positionH>
                <wp:positionV relativeFrom="paragraph">
                  <wp:posOffset>85090</wp:posOffset>
                </wp:positionV>
                <wp:extent cx="1149985"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149985" cy="12700"/>
                        </a:xfrm>
                        <a:prstGeom prst="rect"/>
                        <a:ln/>
                      </pic:spPr>
                    </pic:pic>
                  </a:graphicData>
                </a:graphic>
              </wp:anchor>
            </w:drawing>
          </mc:Fallback>
        </mc:AlternateContent>
      </w:r>
    </w:p>
    <w:p w:rsidR="00000000" w:rsidDel="00000000" w:rsidP="00000000" w:rsidRDefault="00000000" w:rsidRPr="00000000" w14:paraId="0000000F">
      <w:pPr>
        <w:shd w:fill="ffffff" w:val="clea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HỘI ĐỒNG NHÂN DÂN THÀNH PHỐ HẢI PHÒNG</w:t>
      </w:r>
    </w:p>
    <w:p w:rsidR="00000000" w:rsidDel="00000000" w:rsidP="00000000" w:rsidRDefault="00000000" w:rsidRPr="00000000" w14:paraId="00000010">
      <w:pPr>
        <w:shd w:fill="ffffff" w:val="clea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KHÓA XVI, KỲ HỌP THỨ ….</w:t>
      </w:r>
    </w:p>
    <w:p w:rsidR="00000000" w:rsidDel="00000000" w:rsidP="00000000" w:rsidRDefault="00000000" w:rsidRPr="00000000" w14:paraId="00000011">
      <w:pPr>
        <w:shd w:fill="ffffff" w:val="clea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12">
      <w:pPr>
        <w:keepLines w:val="0"/>
        <w:pageBreakBefore w:val="0"/>
        <w:widowControl w:val="1"/>
        <w:shd w:fill="ffffff" w:val="clear"/>
        <w:tabs>
          <w:tab w:val="left" w:leader="none" w:pos="567"/>
        </w:tabs>
        <w:spacing w:after="0" w:before="120" w:line="264" w:lineRule="auto"/>
        <w:ind w:firstLine="720"/>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Căn cứ Luật Tổ chức chính quyền địa phương số 72/2025/QH15 ngày 16/6/2025; </w:t>
      </w:r>
    </w:p>
    <w:p w:rsidR="00000000" w:rsidDel="00000000" w:rsidP="00000000" w:rsidRDefault="00000000" w:rsidRPr="00000000" w14:paraId="00000013">
      <w:pPr>
        <w:keepLines w:val="0"/>
        <w:pageBreakBefore w:val="0"/>
        <w:widowControl w:val="1"/>
        <w:shd w:fill="ffffff" w:val="clear"/>
        <w:tabs>
          <w:tab w:val="left" w:leader="none" w:pos="567"/>
        </w:tabs>
        <w:spacing w:after="0" w:before="120" w:line="264" w:lineRule="auto"/>
        <w:ind w:firstLine="720"/>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Căn cứ Luật Ban hành văn bản quy phạm pháp luật số 64/2025/QH15 ngày 19/02/2025 được sửa đổi, bổ sung bởi Luật 87/2025/QH15 ngày 01/7/2025;</w:t>
      </w:r>
    </w:p>
    <w:p w:rsidR="00000000" w:rsidDel="00000000" w:rsidP="00000000" w:rsidRDefault="00000000" w:rsidRPr="00000000" w14:paraId="00000014">
      <w:pPr>
        <w:keepLines w:val="0"/>
        <w:pageBreakBefore w:val="0"/>
        <w:widowControl w:val="1"/>
        <w:tabs>
          <w:tab w:val="left" w:leader="none" w:pos="567"/>
        </w:tabs>
        <w:spacing w:after="0" w:before="120" w:line="264" w:lineRule="auto"/>
        <w:ind w:firstLine="720"/>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Căn cứ Luật Ngân sách nhà nước số 89/2025/QH15, ngày 25/6/2025;</w:t>
      </w:r>
    </w:p>
    <w:p w:rsidR="00000000" w:rsidDel="00000000" w:rsidP="00000000" w:rsidRDefault="00000000" w:rsidRPr="00000000" w14:paraId="00000015">
      <w:pPr>
        <w:keepLines w:val="0"/>
        <w:pageBreakBefore w:val="0"/>
        <w:widowControl w:val="1"/>
        <w:tabs>
          <w:tab w:val="left" w:leader="none" w:pos="567"/>
        </w:tabs>
        <w:spacing w:after="0" w:before="120" w:line="264" w:lineRule="auto"/>
        <w:ind w:firstLine="720"/>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Căn cứ Luật Phòng, chống ma túy số 73/2021/QH14 ngày 30/3/2021;</w:t>
      </w:r>
    </w:p>
    <w:p w:rsidR="00000000" w:rsidDel="00000000" w:rsidP="00000000" w:rsidRDefault="00000000" w:rsidRPr="00000000" w14:paraId="00000016">
      <w:pPr>
        <w:keepLines w:val="0"/>
        <w:pageBreakBefore w:val="0"/>
        <w:widowControl w:val="1"/>
        <w:tabs>
          <w:tab w:val="left" w:leader="none" w:pos="567"/>
        </w:tabs>
        <w:spacing w:after="0" w:before="120" w:line="264" w:lineRule="auto"/>
        <w:ind w:firstLine="720"/>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Căn cứ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w:t>
      </w:r>
    </w:p>
    <w:p w:rsidR="00000000" w:rsidDel="00000000" w:rsidP="00000000" w:rsidRDefault="00000000" w:rsidRPr="00000000" w14:paraId="00000017">
      <w:pPr>
        <w:keepLines w:val="0"/>
        <w:pageBreakBefore w:val="0"/>
        <w:widowControl w:val="1"/>
        <w:tabs>
          <w:tab w:val="left" w:leader="none" w:pos="567"/>
        </w:tabs>
        <w:spacing w:after="0" w:before="120" w:line="264" w:lineRule="auto"/>
        <w:ind w:firstLine="720"/>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Căn cứ Nghị định số 165/2016/NĐ-CP ngày 24/12/2016 của Chính phủ quy định về quản lý, sử dụng ngân sách nhà nước đối với một số hoạt động thuộc lĩnh vực quốc phòng, an ninh được sửa đổi bổ sung bởi Nghị định số 01/2020/NĐ-CP ngày 14/5/2020; </w:t>
      </w:r>
    </w:p>
    <w:p w:rsidR="00000000" w:rsidDel="00000000" w:rsidP="00000000" w:rsidRDefault="00000000" w:rsidRPr="00000000" w14:paraId="00000018">
      <w:pPr>
        <w:keepLines w:val="0"/>
        <w:pageBreakBefore w:val="0"/>
        <w:widowControl w:val="1"/>
        <w:tabs>
          <w:tab w:val="left" w:leader="none" w:pos="567"/>
        </w:tabs>
        <w:spacing w:after="0" w:before="120" w:line="264" w:lineRule="auto"/>
        <w:ind w:firstLine="720"/>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Căn cứ Nghị định số </w:t>
      </w:r>
      <w:hyperlink r:id="rId8">
        <w:r w:rsidDel="00000000" w:rsidR="00000000" w:rsidRPr="00000000">
          <w:rPr>
            <w:rFonts w:ascii="Times New Roman" w:cs="Times New Roman" w:eastAsia="Times New Roman" w:hAnsi="Times New Roman"/>
            <w:i w:val="1"/>
            <w:iCs w:val="1"/>
            <w:color w:val="000000"/>
            <w:sz w:val="28"/>
            <w:szCs w:val="28"/>
            <w:rtl w:val="0"/>
          </w:rPr>
          <w:t xml:space="preserve">116/2021/NĐ-CP</w:t>
        </w:r>
      </w:hyperlink>
      <w:r w:rsidDel="00000000" w:rsidR="00000000" w:rsidRPr="00000000">
        <w:rPr>
          <w:rFonts w:ascii="Times New Roman" w:cs="Times New Roman" w:eastAsia="Times New Roman" w:hAnsi="Times New Roman"/>
          <w:i w:val="1"/>
          <w:iCs w:val="1"/>
          <w:color w:val="000000"/>
          <w:sz w:val="28"/>
          <w:szCs w:val="28"/>
          <w:rtl w:val="0"/>
        </w:rPr>
        <w:t xml:space="preserve"> ngày 21/12/2021 của Chính phủ quy định chi tiết một số điều của Luật Phòng, chống ma túy; </w:t>
      </w:r>
    </w:p>
    <w:p w:rsidR="00000000" w:rsidDel="00000000" w:rsidP="00000000" w:rsidRDefault="00000000" w:rsidRPr="00000000" w14:paraId="00000019">
      <w:pPr>
        <w:keepLines w:val="0"/>
        <w:pageBreakBefore w:val="0"/>
        <w:widowControl w:val="1"/>
        <w:tabs>
          <w:tab w:val="left" w:leader="none" w:pos="567"/>
        </w:tabs>
        <w:spacing w:after="0" w:before="120" w:line="264" w:lineRule="auto"/>
        <w:ind w:firstLine="720"/>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Căn cứ Nghị định số 105/2021/NĐ-CP ngày 04/12/2021 của Chính phủ quy định chi tiết và hướng dẫn thi hành một số điều của Luật Phòng, chống ma túy; </w:t>
      </w:r>
    </w:p>
    <w:p w:rsidR="00000000" w:rsidDel="00000000" w:rsidP="00000000" w:rsidRDefault="00000000" w:rsidRPr="00000000" w14:paraId="0000001A">
      <w:pPr>
        <w:keepLines w:val="0"/>
        <w:pageBreakBefore w:val="0"/>
        <w:widowControl w:val="1"/>
        <w:tabs>
          <w:tab w:val="left" w:leader="none" w:pos="567"/>
        </w:tabs>
        <w:spacing w:after="0" w:before="120" w:line="264" w:lineRule="auto"/>
        <w:ind w:firstLine="720"/>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Căn cứ Thông tư số 62/2022/TT-BTC ngày 05/10/2022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sidR="00000000" w:rsidDel="00000000" w:rsidP="00000000" w:rsidRDefault="00000000" w:rsidRPr="00000000" w14:paraId="0000001B">
      <w:pPr>
        <w:keepLines w:val="0"/>
        <w:pageBreakBefore w:val="0"/>
        <w:widowControl w:val="1"/>
        <w:spacing w:after="0" w:before="120" w:line="264" w:lineRule="auto"/>
        <w:ind w:firstLine="720"/>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Xét Tờ trình số ….../TTr-UBND ngày …. tháng …. năm 2026 của Ủy ban nhân dân thành phố về việc ban hành Nghị quyết quy định chính sách hỗ trợ công tác phòng, chống ma túy trên địa bàn thành phố Hải Phòng; Báo cáo thẩm tra số ....../BC-BPC ngày …. tháng …. năm 2026 của Ban Pháp chế Hội đồng nhân dân thành phố; Báo cáo giải trình, tiếp thu số …../BC-UBND ngày …… của Ủy ban nhân dân thành phố và ý kiến thảo luận của các đại biểu Hội đồng nhân dân thành phố tại kỳ họp.</w:t>
      </w:r>
    </w:p>
    <w:p w:rsidR="00000000" w:rsidDel="00000000" w:rsidP="00000000" w:rsidRDefault="00000000" w:rsidRPr="00000000" w14:paraId="0000001C">
      <w:pPr>
        <w:keepLines w:val="0"/>
        <w:pageBreakBefore w:val="0"/>
        <w:widowControl w:val="1"/>
        <w:shd w:fill="ffffff" w:val="clear"/>
        <w:spacing w:after="0" w:before="120" w:line="240" w:lineRule="auto"/>
        <w:ind w:firstLine="720"/>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1D">
      <w:pPr>
        <w:keepLines w:val="0"/>
        <w:pageBreakBefore w:val="0"/>
        <w:widowControl w:val="1"/>
        <w:shd w:fill="ffffff" w:val="clear"/>
        <w:spacing w:after="0" w:before="120" w:line="240" w:lineRule="auto"/>
        <w:ind w:firstLine="720"/>
        <w:jc w:val="center"/>
        <w:rPr>
          <w:rFonts w:ascii="Times New Roman" w:cs="Times New Roman" w:eastAsia="Times New Roman" w:hAnsi="Times New Roman"/>
          <w:b w:val="1"/>
          <w:bCs w:val="1"/>
          <w:color w:val="000000"/>
          <w:sz w:val="28"/>
          <w:szCs w:val="28"/>
        </w:rPr>
      </w:pPr>
      <w:bookmarkStart w:colFirst="0" w:colLast="0" w:name="_heading=h.e1y5tsqq5yqg" w:id="0"/>
      <w:bookmarkEnd w:id="0"/>
      <w:r w:rsidDel="00000000" w:rsidR="00000000" w:rsidRPr="00000000">
        <w:rPr>
          <w:rFonts w:ascii="Times New Roman" w:cs="Times New Roman" w:eastAsia="Times New Roman" w:hAnsi="Times New Roman"/>
          <w:b w:val="1"/>
          <w:bCs w:val="1"/>
          <w:color w:val="000000"/>
          <w:sz w:val="28"/>
          <w:szCs w:val="28"/>
          <w:rtl w:val="0"/>
        </w:rPr>
        <w:t xml:space="preserve">QUYẾT NGHỊ:</w:t>
      </w:r>
    </w:p>
    <w:p w:rsidR="00000000" w:rsidDel="00000000" w:rsidP="00000000" w:rsidRDefault="00000000" w:rsidRPr="00000000" w14:paraId="0000001E">
      <w:pPr>
        <w:spacing w:after="0" w:before="120" w:line="264"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Điều 1. Phạm vi điều chỉnh và đối tượng áp dụng</w:t>
      </w:r>
    </w:p>
    <w:p w:rsidR="00000000" w:rsidDel="00000000" w:rsidP="00000000" w:rsidRDefault="00000000" w:rsidRPr="00000000" w14:paraId="0000001F">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Nghị quyết này quy định chính sách hỗ trợ công tác phòng, chống ma túy trên địa bàn thành phố Hải Phòng, bao gồm:</w:t>
      </w:r>
    </w:p>
    <w:p w:rsidR="00000000" w:rsidDel="00000000" w:rsidP="00000000" w:rsidRDefault="00000000" w:rsidRPr="00000000" w14:paraId="00000020">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Lực lượng trực tiếp thực hiện công tác công tác bắt giữ, khởi tố bị can phạm tội về ma túy trên địa bàn thành phố, gồm:</w:t>
      </w:r>
    </w:p>
    <w:p w:rsidR="00000000" w:rsidDel="00000000" w:rsidP="00000000" w:rsidRDefault="00000000" w:rsidRPr="00000000" w14:paraId="00000021">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Lực lượng Cảnh sát điều tra tội phạm về ma tuý thuộc Công an thành phố.</w:t>
      </w:r>
    </w:p>
    <w:p w:rsidR="00000000" w:rsidDel="00000000" w:rsidP="00000000" w:rsidRDefault="00000000" w:rsidRPr="00000000" w14:paraId="00000022">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Lực lượng đấu tranh phòng, chống ma tuý thuộc Ban Chỉ huy Bộ đội Biên phòng thành phố.</w:t>
      </w:r>
    </w:p>
    <w:p w:rsidR="00000000" w:rsidDel="00000000" w:rsidP="00000000" w:rsidRDefault="00000000" w:rsidRPr="00000000" w14:paraId="00000023">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Lực lượng đấu tranh phòng, chống ma tuý thuộc Đoàn đặc nhiệm phòng, chống tội phạm ma tuý số 1 - Bộ Tư lệnh Cảnh sát Biển.</w:t>
      </w:r>
    </w:p>
    <w:p w:rsidR="00000000" w:rsidDel="00000000" w:rsidP="00000000" w:rsidRDefault="00000000" w:rsidRPr="00000000" w14:paraId="00000024">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Lực lượng đấu tranh phòng, chống ma tuý thuộc Bộ Tư lệnh Vùng Cảnh sát biển 1.</w:t>
      </w:r>
    </w:p>
    <w:p w:rsidR="00000000" w:rsidDel="00000000" w:rsidP="00000000" w:rsidRDefault="00000000" w:rsidRPr="00000000" w14:paraId="00000025">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Lực lượng đấu tranh phòng, chống ma tuý thuộc Hải đoàn Biên phòng 38 Bộ Tư lệnh Bộ đội Biên phòng, đóng quân trên địa bàn thành phố.</w:t>
      </w:r>
    </w:p>
    <w:p w:rsidR="00000000" w:rsidDel="00000000" w:rsidP="00000000" w:rsidRDefault="00000000" w:rsidRPr="00000000" w14:paraId="00000026">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Lực lượng đấu tranh phòng, chống ma tuý thuộc Chi Cục Hải quan khu vực III.</w:t>
      </w:r>
    </w:p>
    <w:p w:rsidR="00000000" w:rsidDel="00000000" w:rsidP="00000000" w:rsidRDefault="00000000" w:rsidRPr="00000000" w14:paraId="00000027">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Cán bộ, chiến sĩ thuộc Công an thành phố được giao thực hiện nhiệm vụ chuyên trách công tác tham mưu phòng, chống ma túy.</w:t>
      </w:r>
    </w:p>
    <w:p w:rsidR="00000000" w:rsidDel="00000000" w:rsidP="00000000" w:rsidRDefault="00000000" w:rsidRPr="00000000" w14:paraId="00000028">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Ủy ban nhân dân các xã, phường, đặc khu và các tổ chức, cá nhân có liên quan đến việc xây dựng xã, phường, đặc khu không ma túy trên địa bàn thành phố.</w:t>
      </w:r>
    </w:p>
    <w:p w:rsidR="00000000" w:rsidDel="00000000" w:rsidP="00000000" w:rsidRDefault="00000000" w:rsidRPr="00000000" w14:paraId="00000029">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Viện Kiểm sát nhân dân, Tòa án nhân dân theo thẩm quyền tham gia kiểm sát điều tra, thực hành quyền công tố, xét xử các bị can phạm tội về ma túy và tham gia họp xét áp dụng biện pháp xử lý hành chính đưa vào cơ sở  bắt buộc.</w:t>
      </w:r>
    </w:p>
    <w:p w:rsidR="00000000" w:rsidDel="00000000" w:rsidP="00000000" w:rsidRDefault="00000000" w:rsidRPr="00000000" w14:paraId="0000002A">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Cán bộ, chiến sĩ, người lao động thuộc Công an thành phố làm việc tại các cơ sở cai nghiện ma túy; người cai nghiện ma túy bắt buộc; người cai nghiện ma túy tự nguyện tại cơ sở cai nghiện ma túy công lập; người nghiện ma túy trong thời gian làm thủ tục đề nghị áp dụng biện pháp đưa vào cơ sở cai nghiện ma túy bắt buộc; người sử dụng ma túy đang bị tạm giữ theo thủ tục hành chính để xác định tình trạng nghiện ma túy tại các cơ sở cai nghiện ma túy công lập; người cai nghiện tại tự nguyện tại gia đình, cộng đồng.</w:t>
      </w:r>
    </w:p>
    <w:p w:rsidR="00000000" w:rsidDel="00000000" w:rsidP="00000000" w:rsidRDefault="00000000" w:rsidRPr="00000000" w14:paraId="0000002B">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Người được giao nhiệm vụ tư vấn tâm lý, xã hội, quản lý, hỗ trợ người cai nghiện ma túy tự nguyện tại gia đình cộng động; người bị quản lý sau cai nghiện ma túy tại cấp xã.</w:t>
      </w:r>
    </w:p>
    <w:p w:rsidR="00000000" w:rsidDel="00000000" w:rsidP="00000000" w:rsidRDefault="00000000" w:rsidRPr="00000000" w14:paraId="0000002C">
      <w:pPr>
        <w:spacing w:after="0" w:before="120" w:line="264"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Điều 2. Nội dung và mức hỗ trợ một số lực lượng phòng, chống ma túy</w:t>
      </w:r>
    </w:p>
    <w:p w:rsidR="00000000" w:rsidDel="00000000" w:rsidP="00000000" w:rsidRDefault="00000000" w:rsidRPr="00000000" w14:paraId="0000002D">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Hỗ trợ một lần bằng tiền cho lực lượng trực tiếp bắt giữ,  khởi tố bị can phạm tội về ma túy được quy định tại Bộ luật Tố tụng Hình sự hiện hành, mức hỗ trợ như sau:</w:t>
      </w:r>
    </w:p>
    <w:p w:rsidR="00000000" w:rsidDel="00000000" w:rsidP="00000000" w:rsidRDefault="00000000" w:rsidRPr="00000000" w14:paraId="0000002E">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Bắt giữ, khởi tố bị can phạm tội về ma túy nghiêm trọng 10.000.000 đồng/bị can;</w:t>
      </w:r>
    </w:p>
    <w:p w:rsidR="00000000" w:rsidDel="00000000" w:rsidP="00000000" w:rsidRDefault="00000000" w:rsidRPr="00000000" w14:paraId="0000002F">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Bắt giữ, khởi tố bị can phạm tội về ma túy rất nghiêm trọng: 15.000.000 đồng/bị can;</w:t>
      </w:r>
    </w:p>
    <w:p w:rsidR="00000000" w:rsidDel="00000000" w:rsidP="00000000" w:rsidRDefault="00000000" w:rsidRPr="00000000" w14:paraId="00000030">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Bắt giữ, khởi tố bị can phạm tội về ma túy đặc biệt nghiêm trọng: 20.000.000 đồng/bị can;</w:t>
      </w:r>
    </w:p>
    <w:p w:rsidR="00000000" w:rsidDel="00000000" w:rsidP="00000000" w:rsidRDefault="00000000" w:rsidRPr="00000000" w14:paraId="00000031">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với vụ án, đường dây hoặc chuyên án do nhiều cơ quan phối hợp thực hiện: Cơ quan chủ trì thực hiện được hỗ trợ 70% kinh phí, cơ quan phối hợp được hỗ trợ 30% kinh phí (Trường hợp trong vụ án, đường dây hoặc chuyên án có nhiều cơ quan phối hợp thì các cơ quan phối hợp được chi hỗ trợ như nhau trong tổng số 30% kinh phí hỗ trợ cho cơ quan phối hợp). Căn cứ tính chất vụ án và số lượng cán bộ, chiến sĩ tham gia, Thủ trưởng cơ quan chủ trì quyết định mức hỗ trợ cụ thể cho các cá nhân thực hiện nhiệm vụ.</w:t>
      </w:r>
    </w:p>
    <w:p w:rsidR="00000000" w:rsidDel="00000000" w:rsidP="00000000" w:rsidRDefault="00000000" w:rsidRPr="00000000" w14:paraId="00000032">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Hỗ trợ cán bộ, chiến sĩ thuộc Công an thành phố được giao thực hiện nhiệm vụ chuyên trách công tác tham mưu phòng, chống ma túy: 2 lần mức lương cơ sở/người/tháng.</w:t>
      </w:r>
    </w:p>
    <w:p w:rsidR="00000000" w:rsidDel="00000000" w:rsidP="00000000" w:rsidRDefault="00000000" w:rsidRPr="00000000" w14:paraId="00000033">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Hỗ trợ một lần bằng tiền đối với xã, phường, đặc khu được công nhận đạt tiêu chuẩn: “Xã, phường, đặc khu không ma túy”: 200.000.000 đồng/xã, phường, đặc khu.</w:t>
      </w:r>
    </w:p>
    <w:p w:rsidR="00000000" w:rsidDel="00000000" w:rsidP="00000000" w:rsidRDefault="00000000" w:rsidRPr="00000000" w14:paraId="00000034">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Hỗ trợ một lần bằng tiền cho lực lượng trực tiếp bắt giữ đối tượng truy nã phạm tội về ma túy, mức hỗ trợ như sau:</w:t>
      </w:r>
    </w:p>
    <w:p w:rsidR="00000000" w:rsidDel="00000000" w:rsidP="00000000" w:rsidRDefault="00000000" w:rsidRPr="00000000" w14:paraId="00000035">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Bắt đối tượng truy nã ở trong nước: 20.000.000 đồng/đối tượng.</w:t>
      </w:r>
    </w:p>
    <w:p w:rsidR="00000000" w:rsidDel="00000000" w:rsidP="00000000" w:rsidRDefault="00000000" w:rsidRPr="00000000" w14:paraId="00000036">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Bắt đối tượng truy nã ở nước ngoài: 50.000.000 đồng/đối tượng.</w:t>
      </w:r>
    </w:p>
    <w:p w:rsidR="00000000" w:rsidDel="00000000" w:rsidP="00000000" w:rsidRDefault="00000000" w:rsidRPr="00000000" w14:paraId="00000037">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với các đối tượng truy nã do nhiều cơ quan phối hợp bắt giữ, cơ quan chủ trì bắt giữ được hỗ trợ 70% kinh phí, cơ quan phối hợp được hỗ trợ 30% kinh phí. Căn cứ tính chất vụ án và số lượng cán bộ, chiến sĩ tham gia, Thủ trưởng cơ quan chủ trì quyết định mức hỗ trợ cụ thể cho các cá nhân thực hiện nhiệm vụ.</w:t>
      </w:r>
    </w:p>
    <w:p w:rsidR="00000000" w:rsidDel="00000000" w:rsidP="00000000" w:rsidRDefault="00000000" w:rsidRPr="00000000" w14:paraId="00000038">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Hỗ trợ một lần bằng tiền cho Viện Kiểm sát nhân dân tham gia kiểm sát điều tra, thực hành quyền công tố, xét xử các vụ án phạm tội về ma túy và tham gia họp xét áp dụng biện pháp xử lý hành chính đưa vào cơ sở cai nghiện bắt buộc, mức hỗ trợ cụ thể như sau:</w:t>
      </w:r>
    </w:p>
    <w:p w:rsidR="00000000" w:rsidDel="00000000" w:rsidP="00000000" w:rsidRDefault="00000000" w:rsidRPr="00000000" w14:paraId="00000039">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Bị can phạm tội về ma túy nghiêm trọng: 2.000.000 đồng/bị can;</w:t>
      </w:r>
    </w:p>
    <w:p w:rsidR="00000000" w:rsidDel="00000000" w:rsidP="00000000" w:rsidRDefault="00000000" w:rsidRPr="00000000" w14:paraId="0000003A">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Bị can phạm tội về ma túy rất nghiêm trọng: 3.000.000 đồng/bị can;</w:t>
      </w:r>
    </w:p>
    <w:p w:rsidR="00000000" w:rsidDel="00000000" w:rsidP="00000000" w:rsidRDefault="00000000" w:rsidRPr="00000000" w14:paraId="0000003B">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Bị can phạm tội về ma túy đặc biệt nghiêm trọng: 4.000.000 đồng/bị can;</w:t>
      </w:r>
    </w:p>
    <w:p w:rsidR="00000000" w:rsidDel="00000000" w:rsidP="00000000" w:rsidRDefault="00000000" w:rsidRPr="00000000" w14:paraId="0000003C">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Tham gia họp xét áp dụng biện pháp xử lý hành chính đưa vào cơ sở cai nghiện bắt buộc: 100.000 đồng/người/phiên họp.</w:t>
      </w:r>
    </w:p>
    <w:p w:rsidR="00000000" w:rsidDel="00000000" w:rsidP="00000000" w:rsidRDefault="00000000" w:rsidRPr="00000000" w14:paraId="0000003D">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Hỗ trợ một lần bằng tiền cho Tòa án nhân dân thực hiện nhiệm vụ xét xử các bị cáo tội phạm ma tuý và tham gia họp xét áp dụng biện pháp xử lý hành chính đưa vào cơ sở cai nghiện bắt buộc, mức hỗ trợ cụ thể như sau:</w:t>
      </w:r>
    </w:p>
    <w:p w:rsidR="00000000" w:rsidDel="00000000" w:rsidP="00000000" w:rsidRDefault="00000000" w:rsidRPr="00000000" w14:paraId="0000003E">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Bị cáo phạm tội về ma túy nghiêm trọng: 2.000.000 đồng/bị cáo;</w:t>
      </w:r>
    </w:p>
    <w:p w:rsidR="00000000" w:rsidDel="00000000" w:rsidP="00000000" w:rsidRDefault="00000000" w:rsidRPr="00000000" w14:paraId="0000003F">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Bị cáo phạm tội về ma túy rất nghiêm trọng: 3.000.000 đồng/bị cáo;</w:t>
      </w:r>
    </w:p>
    <w:p w:rsidR="00000000" w:rsidDel="00000000" w:rsidP="00000000" w:rsidRDefault="00000000" w:rsidRPr="00000000" w14:paraId="00000040">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Bị cáo phạm tội về ma túy đặc biệt nghiêm trọng: 4.000.000 đồng/bị cáo;</w:t>
      </w:r>
    </w:p>
    <w:p w:rsidR="00000000" w:rsidDel="00000000" w:rsidP="00000000" w:rsidRDefault="00000000" w:rsidRPr="00000000" w14:paraId="00000041">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Tham gia họp xét áp dụng biện pháp xử lý hành chính đưa vào cơ sở cai nghiện bắt buộc: 100.000 đồng/người/phiên họp.</w:t>
      </w:r>
    </w:p>
    <w:p w:rsidR="00000000" w:rsidDel="00000000" w:rsidP="00000000" w:rsidRDefault="00000000" w:rsidRPr="00000000" w14:paraId="00000042">
      <w:pPr>
        <w:spacing w:after="0" w:before="120" w:line="264"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Điều 3. Nội dung và mức hỗ trợ công tác cai nghiện ma túy</w:t>
      </w:r>
    </w:p>
    <w:p w:rsidR="00000000" w:rsidDel="00000000" w:rsidP="00000000" w:rsidRDefault="00000000" w:rsidRPr="00000000" w14:paraId="00000043">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Chế độ đối với người cai nghiện ma túy bắt buộc và người nghiện ma túy trong thời gian làm thủ tục đề nghị áp dụng biện pháp đưa vào cơ sở cai nghiện ma túy bắt buộc:</w:t>
      </w:r>
    </w:p>
    <w:p w:rsidR="00000000" w:rsidDel="00000000" w:rsidP="00000000" w:rsidRDefault="00000000" w:rsidRPr="00000000" w14:paraId="00000044">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Định mức tiền ăn hàng tháng bằng 0,8 mức lương cơ sở hiện hành.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ốm do Trưởng cơ sở cai nghiện ma túy quyết định theo chỉ định của nhân viên y tế điều trị, nhưng không thấp hơn 03 lần tiêu chuẩn ngày thường.</w:t>
      </w:r>
    </w:p>
    <w:p w:rsidR="00000000" w:rsidDel="00000000" w:rsidP="00000000" w:rsidRDefault="00000000" w:rsidRPr="00000000" w14:paraId="00000045">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Định mức tiền chăn, màn chiếu, gối, quần áo, đồ dùng sinh hoạt cá nhân hàng năm của người cai nghiện bắt buộc bằng 0,9 lần mức lương cơ sở hiện hành. Hỗ trợ tiền băng vệ sinh đối với người cai nghiện nữ: 50.000 đồng/ người/ tháng.</w:t>
      </w:r>
    </w:p>
    <w:p w:rsidR="00000000" w:rsidDel="00000000" w:rsidP="00000000" w:rsidRDefault="00000000" w:rsidRPr="00000000" w14:paraId="00000046">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Chi tổ chức các hoạt động văn hóa, văn nghệ, thể dục, thể thao và các hoạt động vui chơi giải trí khác ngoài thời gian học tập, lao động: 200.000/người/năm.</w:t>
      </w:r>
    </w:p>
    <w:p w:rsidR="00000000" w:rsidDel="00000000" w:rsidP="00000000" w:rsidRDefault="00000000" w:rsidRPr="00000000" w14:paraId="00000047">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Chi hỗ trợ người cai nghiện bắt buộc chấp hành xong quyết định đưa vào cơ sở cai nghiện bắt buộc trở về địa phương nơi cư trú:</w:t>
      </w:r>
    </w:p>
    <w:p w:rsidR="00000000" w:rsidDel="00000000" w:rsidP="00000000" w:rsidRDefault="00000000" w:rsidRPr="00000000" w14:paraId="00000048">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Tiền ăn: 70.000 đồng/người/ngày trong những ngày đi đường tối đa không quá 3 ngày.</w:t>
      </w:r>
    </w:p>
    <w:p w:rsidR="00000000" w:rsidDel="00000000" w:rsidP="00000000" w:rsidRDefault="00000000" w:rsidRPr="00000000" w14:paraId="00000049">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Tiền tàu xe: mức hỗ trợ theo giá phương tiện công cộng phổ thông;</w:t>
      </w:r>
    </w:p>
    <w:p w:rsidR="00000000" w:rsidDel="00000000" w:rsidP="00000000" w:rsidRDefault="00000000" w:rsidRPr="00000000" w14:paraId="0000004A">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Cấp 01 (một) bộ quần áo thường (nếu họ không có): định mức quần áo thanh toán theo hóa đơn thực tế nhưng tối đa không quá 400.000 đồng/bộ (đối với quần áo mùa hè) hoặc 600.000 đồng/bộ (đối với quần áo mùa đông).</w:t>
      </w:r>
    </w:p>
    <w:p w:rsidR="00000000" w:rsidDel="00000000" w:rsidP="00000000" w:rsidRDefault="00000000" w:rsidRPr="00000000" w14:paraId="0000004B">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Chế độ  đối với người cai nghiện tự nguyện trong cơ sở cai nghiện ma túy:</w:t>
      </w:r>
    </w:p>
    <w:p w:rsidR="00000000" w:rsidDel="00000000" w:rsidP="00000000" w:rsidRDefault="00000000" w:rsidRPr="00000000" w14:paraId="0000004C">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Hỗ trợ 100% chi phí cai nghiện ma túy và thuốc chữa bệnh thông thường cho người cai nghiện ma túy tự nguyện bằng định mức đối với người nghiện ma túy bị áp dụng biện pháp đưa vào cơ sở cai nghiện bắt buộc.</w:t>
      </w:r>
    </w:p>
    <w:p w:rsidR="00000000" w:rsidDel="00000000" w:rsidP="00000000" w:rsidRDefault="00000000" w:rsidRPr="00000000" w14:paraId="0000004D">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Chế độ hỗ trợ tiền ăn hàng tháng; tiền chăn màn, chiếu, gối, quần áo, đồ dùng sinh hoạt cá nhân hàng năm; tiền điện, nước sinh hoạt; tiền hoạt động văn hóa, văn nghệ, thể dục thể thao, đọc sách báo, xem truyền hình và các hoạt động vui chơi, giải trí khác, cụ thể như sau:</w:t>
      </w:r>
    </w:p>
    <w:p w:rsidR="00000000" w:rsidDel="00000000" w:rsidP="00000000" w:rsidRDefault="00000000" w:rsidRPr="00000000" w14:paraId="0000004E">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Tiền ăn: 0,8 mức lương cơ sở/người/tháng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ốm do Trưởng cơ sở cai nghiện quyết định theo chỉ định của nhân viên y tế điều trị, nhưng không thấp hơn 03 lần tiêu chuẩn ngày thường).</w:t>
      </w:r>
    </w:p>
    <w:p w:rsidR="00000000" w:rsidDel="00000000" w:rsidP="00000000" w:rsidRDefault="00000000" w:rsidRPr="00000000" w14:paraId="0000004F">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Tiền chăn màn, chiếu, gối, quần áo, đồ dùng sinh hoạt cá nhân: 0,9 mức lương cơ sở/người/năm. Hỗ trợ tiền băng vệ sinh đối với người cai nghiện nữ: 50.000 đồng/người/tháng</w:t>
      </w:r>
    </w:p>
    <w:p w:rsidR="00000000" w:rsidDel="00000000" w:rsidP="00000000" w:rsidRDefault="00000000" w:rsidRPr="00000000" w14:paraId="00000050">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Tiền điện, nước sinh hoạt: 100.000 đồng/người/tháng.</w:t>
      </w:r>
    </w:p>
    <w:p w:rsidR="00000000" w:rsidDel="00000000" w:rsidP="00000000" w:rsidRDefault="00000000" w:rsidRPr="00000000" w14:paraId="00000051">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Tiền hoạt động văn hóa, văn nghệ, thể dục thể thao, đọc sách báo, xem truyền hình và các hoạt động vui chơi giải trí khác: 200.000 đồng/người/năm.</w:t>
      </w:r>
    </w:p>
    <w:p w:rsidR="00000000" w:rsidDel="00000000" w:rsidP="00000000" w:rsidRDefault="00000000" w:rsidRPr="00000000" w14:paraId="00000052">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Hỗ trợ chi phí khám sức khỏe định kỳ và chi phí học nghề bằng mức ngân sách Trung ương hỗ trợ đối với người cai nghiện ma túy bắt buộc.</w:t>
      </w:r>
    </w:p>
    <w:p w:rsidR="00000000" w:rsidDel="00000000" w:rsidP="00000000" w:rsidRDefault="00000000" w:rsidRPr="00000000" w14:paraId="00000053">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Hỗ trợ đối với người sử dụng trái phép chất ma túy đang bị tạm giữ theo thủ tục hành chính để xác định tình trạng nghiện tại các cơ sở cai nghiện ma túy công lập</w:t>
      </w:r>
    </w:p>
    <w:p w:rsidR="00000000" w:rsidDel="00000000" w:rsidP="00000000" w:rsidRDefault="00000000" w:rsidRPr="00000000" w14:paraId="00000054">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Mức hỗ trợ tiền ăn hằng ngày là 0,027 mức lương cơ sở hiện hành (Ngày lễ, Tết dương lịch người cai nghiện được ăn thêm không quá 03 lần tiêu chuẩn ngày thường; các ngày Tết Nguyên đán người cai nghiện được ăn thêm không quá 05 lần tiêu chuẩn ngày thường; chế độ ăn trong những ngày bị ốm do Trưởng cơ sở cai nghiện quyết định theo chỉ định của nhân viên y tế điều trị, nhưng không thấp hơn 03 lần tiêu chuẩn ngày thường).</w:t>
      </w:r>
    </w:p>
    <w:p w:rsidR="00000000" w:rsidDel="00000000" w:rsidP="00000000" w:rsidRDefault="00000000" w:rsidRPr="00000000" w14:paraId="00000055">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Mức hỗ trợ tiền điện, nước sinh hoạt: Chi theo thực tế phát sinh và hóa đơn, chứng từ hợp pháp, tối đa không vượt mức 100.000 đồng/người/tháng.</w:t>
      </w:r>
    </w:p>
    <w:p w:rsidR="00000000" w:rsidDel="00000000" w:rsidP="00000000" w:rsidRDefault="00000000" w:rsidRPr="00000000" w14:paraId="00000056">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Mức hỗ trợ tiền chăn màn, chiếu, gối, quần áo, đồ dùng sinh hoạt cá nhân và băng vệ sinh đối với nữ: mức chi theo chi phí thực tế phát sinh và hóa đơn, chứng từ hợp pháp, tối đa không vượt mức 500.000đ/người/lần.</w:t>
      </w:r>
    </w:p>
    <w:p w:rsidR="00000000" w:rsidDel="00000000" w:rsidP="00000000" w:rsidRDefault="00000000" w:rsidRPr="00000000" w14:paraId="00000057">
      <w:pPr>
        <w:spacing w:after="0" w:before="120" w:line="264"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Chế độ đối với người cai nghiện ma túy tự nguyện tại gia đình, cộng đồng</w:t>
      </w:r>
    </w:p>
    <w:p w:rsidR="00000000" w:rsidDel="00000000" w:rsidP="00000000" w:rsidRDefault="00000000" w:rsidRPr="00000000" w14:paraId="00000058">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Hỗ trợ 01 lần kinh phí cai nghiện ma túy đối với người cai nghiện ma túy tự nguyện tại gia đình, cộng đồng khi hoàn thành ít nhất 03 giai đoạn theo quy định tại Điều 22, 23, 24 của Nghị định 116/2021/NĐ-CP ngày 21/12/2021 của Chính Phủ quy định chi tiết một số điều của Luật Phòng, chống ma túy; Luật Xử lý vi phạm hành chính về cai nghiện ma túy và quản lý sau cai nghiện ma túy: Mức hỗ trợ bằng 1,5 lần mức lương cơ sở hiện hành.</w:t>
      </w:r>
    </w:p>
    <w:p w:rsidR="00000000" w:rsidDel="00000000" w:rsidP="00000000" w:rsidRDefault="00000000" w:rsidRPr="00000000" w14:paraId="00000059">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Chế độ đối với người được giao nhiệm vụ tư vấn tâm lý, xã hội, quản lý, hỗ trợ người cai nghiện ma túy tự nguyện tại gia đình cộng đồng; người bị quản lý sau cai nghiện ma túy tại cấp xã theo Quyết định phân công của Chủ tịch Ủy ban nhân dân cấp xã bằng 0,4 mức lương cơ sở/người/tháng. Căn cứ số lượng người cai nghiện tự nguyện tại gia đình cộng đồng, số người bị quản lý sau cai nghiện ma túy hằng năm trên địa bàn, cứ 10 người nêu trên trở xuống, Ủy ban nhân dân cấp xã phân công 01 người trực tiếp theo dõi, quản lý. Thời gian được hưởng mức hỗ trợ tính từ ngày có quyết định phân công cho đến khi kết thúc nhiệm vụ.</w:t>
      </w:r>
    </w:p>
    <w:p w:rsidR="00000000" w:rsidDel="00000000" w:rsidP="00000000" w:rsidRDefault="00000000" w:rsidRPr="00000000" w14:paraId="0000005A">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Hỗ trợ cán bộ, chiến sĩ, viên chức, người lao động thuộc Công an thành phố làm việc tại các cơ sở cai nghiện ma túy công lập: 2 lần mức lương cơ sở/người/ tháng.</w:t>
      </w:r>
    </w:p>
    <w:p w:rsidR="00000000" w:rsidDel="00000000" w:rsidP="00000000" w:rsidRDefault="00000000" w:rsidRPr="00000000" w14:paraId="0000005B">
      <w:pPr>
        <w:spacing w:after="0" w:before="120" w:line="264"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Điều 4: Điều kiện, hồ sơ thực hiện hỗ trợ và chế độ thanh toán</w:t>
      </w:r>
    </w:p>
    <w:p w:rsidR="00000000" w:rsidDel="00000000" w:rsidP="00000000" w:rsidRDefault="00000000" w:rsidRPr="00000000" w14:paraId="0000005C">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Điều kiện</w:t>
      </w:r>
    </w:p>
    <w:p w:rsidR="00000000" w:rsidDel="00000000" w:rsidP="00000000" w:rsidRDefault="00000000" w:rsidRPr="00000000" w14:paraId="0000005D">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Đối với công tác bắt giữ, điều tra, truy tố, xét xử bị can, bị cáo phạm tội về ma túy: Việc hỗ trợ được thực hiện sau khi các cơ quan hoàn thành xong việc bắt giữ, khởi tố, truy tố, xét xử bị can, bị cáo về ma túy theo chức năng của cơ quan mình.</w:t>
      </w:r>
    </w:p>
    <w:p w:rsidR="00000000" w:rsidDel="00000000" w:rsidP="00000000" w:rsidRDefault="00000000" w:rsidRPr="00000000" w14:paraId="0000005E">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Đối với công tác họp xét áp dụng biện pháp xử lý hành chính đưa vào cơ sở  bắt buộc: Việc hỗ trợ được thực hiện sau khi các cơ quan hoàn thành xong họp xét áp dụng biện pháp xử lý hành chính đưa vào cơ sở  bắt buộc và Tòa án ra Quyết định áp dụng biện pháp xử lý hành chính đưa vào cơ sở cai nghiện bắt buộc.</w:t>
      </w:r>
    </w:p>
    <w:p w:rsidR="00000000" w:rsidDel="00000000" w:rsidP="00000000" w:rsidRDefault="00000000" w:rsidRPr="00000000" w14:paraId="0000005F">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Đối với các xã, phường, đặc khu được công nhận đạt tiêu chuẩn “Xã, phường, đặc khu không ma túy”: Việc hỗ trợ được thực hiện sau khi có Quyết định công nhận của Chủ tịch Ủy ban nhân dân thành phố.</w:t>
      </w:r>
    </w:p>
    <w:p w:rsidR="00000000" w:rsidDel="00000000" w:rsidP="00000000" w:rsidRDefault="00000000" w:rsidRPr="00000000" w14:paraId="00000060">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Đối với cán bộ, chiến sĩ thuộc Công an thành phố được giao thực hiện nhiệm vụ chuyên trách công tác tham mưu phòng, chống ma túy và cán bộ, chiến sĩ, hợp đồng lao động làm việc tại các cơ sở cai nghiện ma túy công lập: Việc hỗ trợ được thực hiện kể từ khi có quyết định điều động, bố trí công tác tại Đội Tham mưu tổng hợp, Phòng Cảnh sát điều tra tội phạm về ma túy, Công an thành phố hoặc kể từ khi có quyết định điều động, bố trí công tác (đối với cán bộ, chiến sĩ) và ký hợp đồng lao động với Công an thành phố (đối với lao động hợp đồng) làm việc tại các cơ sở cai nghiện ma túy công lập.</w:t>
      </w:r>
    </w:p>
    <w:p w:rsidR="00000000" w:rsidDel="00000000" w:rsidP="00000000" w:rsidRDefault="00000000" w:rsidRPr="00000000" w14:paraId="00000061">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Đối với người cai nghiện bắt buộc và người nghiện ma túy trong thời gian làm thủ tục đề nghị áp dụng biện pháp đưa vào cơ sở cai nghiện ma túy bắt buộc: Việc hỗ trợ được thực hiện sau khi áp dụng biện pháp cai nghiện bắt buộc tại các Cơ sở cai nghiện thuộc Công an thành phố theo Quyết định của Tòa án nhân dân hoặc áp dụng biện pháp quản lý người nghiện ma túy trong thời gian làm thủ tục đề nghị áp dụng biện pháp đưa vào cơ sở cai nghiện bắt buộc theo Quyết định của Trưởng Công an cấp xã.</w:t>
      </w:r>
    </w:p>
    <w:p w:rsidR="00000000" w:rsidDel="00000000" w:rsidP="00000000" w:rsidRDefault="00000000" w:rsidRPr="00000000" w14:paraId="00000062">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Đối với người cai nghiện tự nguyện: Việc hỗ trợ được thực hiện sau khi ký hợp đồng cai nghiện tự nguyện tại các Cơ sở cai nghiện công lập.</w:t>
      </w:r>
    </w:p>
    <w:p w:rsidR="00000000" w:rsidDel="00000000" w:rsidP="00000000" w:rsidRDefault="00000000" w:rsidRPr="00000000" w14:paraId="00000063">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Đối với người sử dụng trái phép chất ma túy đang bị tạm giữ theo thủ tục hành chính để xác định tình trạng nghiện tại các cơ sở cai nghiện ma túy công lập: Việc hỗ trợ được thực hiện sau khi Cơ sở cai nghiện ma túy công lập tiếp nhận người sử dụng trái phép chất ma túy đang bị tạm giữ theo thủ tục hành chính để xác định tình trạng nghiện theo đề nghị của Công an cấp xã hoặc đơn tự nguyện xác định tình trạng nghiện của cá nhân.</w:t>
      </w:r>
    </w:p>
    <w:p w:rsidR="00000000" w:rsidDel="00000000" w:rsidP="00000000" w:rsidRDefault="00000000" w:rsidRPr="00000000" w14:paraId="00000064">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 Đối với người cai nghiện tại gia đình, cộng đồng: Việc hỗ trợ được thực hiện sau khi hoàn thành ít nhất 03 giai đoạn theo quy định tại Điều 22, 23, 24 của Nghị định 116/2021/NĐ-CP ngày 21/12/2021 của Chính Phủ quy định chi tiết một số điều của Luật Phòng, chống ma túy; Luật Xử lý vi phạm hành chính về cai nghiện ma túy và quản lý sau cai nghiện ma túy.</w:t>
      </w:r>
    </w:p>
    <w:p w:rsidR="00000000" w:rsidDel="00000000" w:rsidP="00000000" w:rsidRDefault="00000000" w:rsidRPr="00000000" w14:paraId="00000065">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 Đối với người được giao nhiệm vụ tư vấn tâm lý, xã hội, quản lý, hỗ trợ người cai nghiện ma túy tự nguyện tại gia đình cộng đồng; người bị quản lý sau cai nghiện ma túy tại cấp xã: Việc hỗ trợ được thực hiện sau khi có Quyết định của Chủ tịch Ủy ban nhân dân cấp xã phân công giao nhiệm vụ tư vấn tâm lý, xã hội, quản lý, hỗ trợ người cai nghiện ma túy tự nguyện tại gia đình cộng đồng; người bị quản lý sau cai nghiện ma túy.</w:t>
      </w:r>
    </w:p>
    <w:p w:rsidR="00000000" w:rsidDel="00000000" w:rsidP="00000000" w:rsidRDefault="00000000" w:rsidRPr="00000000" w14:paraId="00000066">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Hồ sơ </w:t>
      </w:r>
    </w:p>
    <w:p w:rsidR="00000000" w:rsidDel="00000000" w:rsidP="00000000" w:rsidRDefault="00000000" w:rsidRPr="00000000" w14:paraId="00000067">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Trường hợp hỗ trợ theo Khoản 1 Điều 2: Cơ quan chủ trì thực hiện nhiệm vụ có văn bản đề nghị hỗ trợ kèm theo dự toán nội dung đề nghị hỗ trợ (01 bản chính) và bản sao các tài liệu sau: Báo cáo kết quả bắt giữ vụ án; Quyết định khởi tố vụ án; Quyết định khởi tố bị can.</w:t>
      </w:r>
    </w:p>
    <w:p w:rsidR="00000000" w:rsidDel="00000000" w:rsidP="00000000" w:rsidRDefault="00000000" w:rsidRPr="00000000" w14:paraId="00000068">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Trường hợp hỗ trợ theo Khoản 2 Điều 2 và Khoản 6, Điều 3: Công an thành phố có văn bản đề nghị hỗ trợ kèm theo dự toán nội dung đề nghị hỗ trợ (01 bản chính) và bản sao các tài liệu: Quyết định điều động, bố trí công tác tại Đội Tham mưu tổng hợp, Phòng Cảnh sát điều tra tội phạm về ma túy hoặc Quyết định điều động, bố trí công tác (đối với cán bộ, chiến sĩ), Hợp đồng lao động (đối với lao động hợp đồng) làm việc tại các cơ sở cai nghiện ma túy công lập.</w:t>
      </w:r>
    </w:p>
    <w:p w:rsidR="00000000" w:rsidDel="00000000" w:rsidP="00000000" w:rsidRDefault="00000000" w:rsidRPr="00000000" w14:paraId="00000069">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Trường hợp hỗ trợ theo Khoản 3 Điều 2: Cơ quan chủ trì thực hiện nhiệm vụ có văn bản đề nghị hỗ trợ kèm theo dự toán nội dung đề nghị hỗ trợ (01 bản chính) và bản sao Quyết định của Chủ tịch Ủy ban nhân dân thành phố về công nhận địa bàn xã, phường, đặc khu không ma túy.</w:t>
      </w:r>
    </w:p>
    <w:p w:rsidR="00000000" w:rsidDel="00000000" w:rsidP="00000000" w:rsidRDefault="00000000" w:rsidRPr="00000000" w14:paraId="0000006A">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Trường hợp hỗ trợ theo Khoản 4 Điều 2: Cơ quan chủ trì thực hiện nhiệm vụ có văn bản đề nghị hỗ trợ kèm theo dự toán nội dung đề nghị hỗ trợ (01 bản chính) và bản sao các tài liệu sau: Quyết định truy nã; biên bản bắt người đang bị truy nã/Biên bản tiếp nhận người bị truy nã ra đầu thú hoặc Quyết định đình nã; Biên bản giao nhận người bị bắt; Quyết định cử cán bộ công tác tại nước ngoài của cấp có thẩm quyền (đối với trường hợp bắt đối tượng truy nã lẩn trốn ở nước ngoài).</w:t>
      </w:r>
    </w:p>
    <w:p w:rsidR="00000000" w:rsidDel="00000000" w:rsidP="00000000" w:rsidRDefault="00000000" w:rsidRPr="00000000" w14:paraId="0000006B">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Trường hợp hỗ trợ theo khoản 5 Điều 2: Cơ quan Viện kiểm sát nhân dân thực hiện nhiệm vụ có văn bản đề nghị hỗ trợ kèm theo dự toán nội dung đề nghị hỗ trợ (01 bản chính) và bản sao các tài liệu sau: Quyết định truy tố bị can; Bản cáo trạng của Viện kiểm sát nhân dân (trường hợp hỗ trợ theo điểm a, b, c); biên bản họp xét áp dụng biện pháp xử lý hành chính đưa vào cơ sở  bắt buộc và Quyết định của Tòa án nhân dân áp dụng biện pháp xử lý hành chính đưa vào cơ sở cai nghiện bắt buộc (trường hợp hỗ trợ theo điểm d).</w:t>
      </w:r>
    </w:p>
    <w:p w:rsidR="00000000" w:rsidDel="00000000" w:rsidP="00000000" w:rsidRDefault="00000000" w:rsidRPr="00000000" w14:paraId="0000006C">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Trường hợp hỗ trợ theo khoản 6 Điều 2: Cơ quan Tòa án nhân dân thực hiện nhiệm vụ có văn bản đề nghị hỗ trợ kèm theo dự toán nội dung đề nghị hỗ trợ (01 bản chính) và bản sao các tài liệu sau: Quyết định đưa vụ bị cáo xét xử; Bản án của Tòa án nhân dân (trường hợp hỗ trợ theo điểm a, b, c); biên bản họp xét áp dụng biện pháp xử lý hành chính đưa vào cơ sở  bắt buộc và Quyết định của Tòa án nhân dân áp dụng biện pháp xử lý hành chính đưa vào cơ sở cai nghiện bắt buộc (trường hợp hỗ trợ theo điểm d).</w:t>
      </w:r>
    </w:p>
    <w:p w:rsidR="00000000" w:rsidDel="00000000" w:rsidP="00000000" w:rsidRDefault="00000000" w:rsidRPr="00000000" w14:paraId="0000006D">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Trường hợp hỗ trợ theo khoản 1 Điều 3: Công an thành phố có văn bản đề nghị hỗ trợ kèm theo dự toán nội dung đề nghị hỗ trợ (01 bản chính); danh sách người cai nghiện bắt buộc tại cơ sở cai nghiện (01 bản chính) và bản sao các tài liệu sau: Quyết định của Tòa án nhân dân về việc áp dụng biện pháp đưa vào cơ sở cai nghiện bắt buộc; biên bản bàn giao người bị áp dụng biện pháp đưa vào cơ sở cai nghiện bắt buộc.</w:t>
      </w:r>
    </w:p>
    <w:p w:rsidR="00000000" w:rsidDel="00000000" w:rsidP="00000000" w:rsidRDefault="00000000" w:rsidRPr="00000000" w14:paraId="0000006E">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 Trường hợp hỗ trợ theo khoản 2 Điều 3: Công an thành phố có văn bản đề nghị hỗ trợ kèm theo dự toán nội dung đề nghị hỗ trợ (01 bản chính); danh sách người cai nghiện tự nguyện tại cơ sở cai nghiện (01 bản chính) và bản sao các tài liệu sau: Hợp đồng cai nghiện tự nguyện; biên bản bàn giao người đăng ký cai nghiện tự nguyện.</w:t>
      </w:r>
    </w:p>
    <w:p w:rsidR="00000000" w:rsidDel="00000000" w:rsidP="00000000" w:rsidRDefault="00000000" w:rsidRPr="00000000" w14:paraId="0000006F">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Trường hợp hỗ trợ theo khoản 3 Điều 3: Công an thành phố có văn bản đề nghị hỗ trợ kèm theo dự toán nội dung đề nghị hỗ trợ (01 bản chính); danh sách người người sử dụng trái phép chất ma túy đang bị tạm giữ theo thủ tục hành chính để xác định tình trạng nghiện tại các cơ sở cai nghiện ma túy công lập (01 bản chính) và bản sao các tài liệu sau: Văn bản đề nghị xác định tình trạng nghiện của Công an cấp xã hoặc đơn tự nguyện xác định tình trạng nghiện của cá nhân và biên bản bàn giao người xác định tình trạng nghiện.</w:t>
      </w:r>
    </w:p>
    <w:p w:rsidR="00000000" w:rsidDel="00000000" w:rsidP="00000000" w:rsidRDefault="00000000" w:rsidRPr="00000000" w14:paraId="00000070">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 Trường hợp hỗ trợ theo khoản 4 Điều 3: Ủy ban nhân dân cấp xã có văn bản đề nghị hỗ trợ kèm theo dự toán nội dung đề nghị hỗ trợ (01 bản chính); danh sách người cai nghiện tự nguyện tại gia đình, cộng đồng (01 bản chính) và bản sao các tài liệu sau: Quyết định về việc áp dụng biện pháp cai nghiện tự nguyện tại gia đình, cộng đồng; Hợp đồng cai nghiện tự nguyện tại gia đình, cộng đồng.</w:t>
      </w:r>
    </w:p>
    <w:p w:rsidR="00000000" w:rsidDel="00000000" w:rsidP="00000000" w:rsidRDefault="00000000" w:rsidRPr="00000000" w14:paraId="00000071">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 Trường hợp hỗ trợ theo khoản 5 Điều 3: Ủy ban nhân dân cấp xã có văn bản đề nghị hỗ trợ kèm theo dự toán nội dung đề nghị hỗ trợ (01 bản chính); danh sách người được giao nhiệm vụ tư vấn tâm lý, xã hội, quản lý, hỗ trợ người cai nghiện ma túy tự nguyện tại gia đình cộng đồng; người bị quản lý sau cai nghiện ma túy tại cấp xã và bản sao Quyết định phân công giao nhiệm vụ tư vấn tâm lý, xã hội, quản lý, hỗ trợ người cai nghiện ma túy tự nguyện tại gia đình cộng đồng; người bị quản lý sau cai nghiện ma túy tại cấp xã.</w:t>
      </w:r>
    </w:p>
    <w:p w:rsidR="00000000" w:rsidDel="00000000" w:rsidP="00000000" w:rsidRDefault="00000000" w:rsidRPr="00000000" w14:paraId="00000072">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Chế độ thanh toán</w:t>
      </w:r>
    </w:p>
    <w:p w:rsidR="00000000" w:rsidDel="00000000" w:rsidP="00000000" w:rsidRDefault="00000000" w:rsidRPr="00000000" w14:paraId="00000073">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Việc chi trả khoản tiền hỗ trợ cho các đơn vị có liên quan quy định tại khoản 1, 3, 4 5, 6 Điều 2 được thực hiện định kỳ vào tháng cuối hàng quý (04 lần/năm)</w:t>
      </w:r>
    </w:p>
    <w:p w:rsidR="00000000" w:rsidDel="00000000" w:rsidP="00000000" w:rsidRDefault="00000000" w:rsidRPr="00000000" w14:paraId="00000074">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Việc chi trả khoản tiền hỗ trợ cho các cá nhân quy định tại khoản 2 Điều 2; khoản 5, 6 Điều 3 được thực hiện định kỳ hằng tháng.</w:t>
      </w:r>
    </w:p>
    <w:p w:rsidR="00000000" w:rsidDel="00000000" w:rsidP="00000000" w:rsidRDefault="00000000" w:rsidRPr="00000000" w14:paraId="00000075">
      <w:pPr>
        <w:spacing w:after="0" w:before="120" w:line="264"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Điều 5: Kinh phí thực hiện</w:t>
      </w:r>
    </w:p>
    <w:p w:rsidR="00000000" w:rsidDel="00000000" w:rsidP="00000000" w:rsidRDefault="00000000" w:rsidRPr="00000000" w14:paraId="00000076">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Từ nguồn ngân sách thành phố.</w:t>
      </w:r>
    </w:p>
    <w:p w:rsidR="00000000" w:rsidDel="00000000" w:rsidP="00000000" w:rsidRDefault="00000000" w:rsidRPr="00000000" w14:paraId="00000077">
      <w:pPr>
        <w:spacing w:after="0" w:before="120" w:line="264"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Điều 6: Tổ chức thực hiện</w:t>
      </w:r>
    </w:p>
    <w:p w:rsidR="00000000" w:rsidDel="00000000" w:rsidP="00000000" w:rsidRDefault="00000000" w:rsidRPr="00000000" w14:paraId="00000078">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Giao Ủy ban nhân dân thành phố: ban hành Hướng dẫn thực hiện Nghị quyết; chỉ đạo các Sở, ban, ngành, Ủy ban nhân dân các xã, phường, đặc khu, các cơ quan, tổ chức, đơn vị liên quan thực hiện Nghị quyết.</w:t>
      </w:r>
    </w:p>
    <w:p w:rsidR="00000000" w:rsidDel="00000000" w:rsidP="00000000" w:rsidRDefault="00000000" w:rsidRPr="00000000" w14:paraId="00000079">
      <w:pPr>
        <w:spacing w:after="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Giao Thường trực Hội đồng nhân dân thành phố, các Ban của Hội đồng nhân dân thành phố, các Tổ đại biểu và đại biểu Hội đồng nhân dân thành phố giám sát việc thực hiện Nghị quyết này.</w:t>
      </w:r>
    </w:p>
    <w:p w:rsidR="00000000" w:rsidDel="00000000" w:rsidP="00000000" w:rsidRDefault="00000000" w:rsidRPr="00000000" w14:paraId="0000007A">
      <w:pPr>
        <w:spacing w:after="0" w:before="120" w:line="264"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Nghị quyết này được Hội đồng nhân dân thành phố Hải Phòng khóa … , Kỳ họp thứ …... thông qua ngày ….. tháng ….. năm 2026, có hiệu lực kể từ ngày    /   /    đến hết ngày    /    /  . Sau thời hạn nêu trên, các cơ quan sẽ đánh giá, tổng kết 05 năm thực hiện và đề xuất chính sách ở giai đoạn tiếp theo.</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9072.0" w:type="dxa"/>
        <w:jc w:val="left"/>
        <w:tblInd w:w="-108.0" w:type="dxa"/>
        <w:tblLayout w:type="fixed"/>
        <w:tblLook w:val="0000"/>
      </w:tblPr>
      <w:tblGrid>
        <w:gridCol w:w="4999"/>
        <w:gridCol w:w="4073"/>
        <w:tblGridChange w:id="0">
          <w:tblGrid>
            <w:gridCol w:w="4999"/>
            <w:gridCol w:w="4073"/>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7C">
            <w:pPr>
              <w:spacing w:after="0" w:line="252.00000000000003"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Nơi nhận:</w:t>
              <w:br w:type="textWrapping"/>
            </w:r>
            <w:r w:rsidDel="00000000" w:rsidR="00000000" w:rsidRPr="00000000">
              <w:rPr>
                <w:rFonts w:ascii="Times New Roman" w:cs="Times New Roman" w:eastAsia="Times New Roman" w:hAnsi="Times New Roman"/>
                <w:color w:val="000000"/>
                <w:sz w:val="20"/>
                <w:szCs w:val="20"/>
                <w:rtl w:val="0"/>
              </w:rPr>
              <w:t xml:space="preserve">- Ủy ban TVQH; Chính phủ;</w:t>
            </w:r>
          </w:p>
          <w:p w:rsidR="00000000" w:rsidDel="00000000" w:rsidP="00000000" w:rsidRDefault="00000000" w:rsidRPr="00000000" w14:paraId="0000007D">
            <w:pPr>
              <w:spacing w:after="0" w:line="252.00000000000003"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VP: Quốc hội, Chính phủ;</w:t>
            </w:r>
          </w:p>
          <w:p w:rsidR="00000000" w:rsidDel="00000000" w:rsidP="00000000" w:rsidRDefault="00000000" w:rsidRPr="00000000" w14:paraId="0000007E">
            <w:pPr>
              <w:spacing w:after="0" w:line="252.00000000000003"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Ban Công tác đại biểu (UBTVQH);</w:t>
              <w:br w:type="textWrapping"/>
              <w:t xml:space="preserve">- Vụ Pháp chế (Bộ TC);</w:t>
            </w:r>
          </w:p>
          <w:p w:rsidR="00000000" w:rsidDel="00000000" w:rsidP="00000000" w:rsidRDefault="00000000" w:rsidRPr="00000000" w14:paraId="0000007F">
            <w:pPr>
              <w:spacing w:after="0" w:line="252.00000000000003"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Vụ Pháp chế (Bộ LĐTBXH);</w:t>
            </w:r>
          </w:p>
          <w:p w:rsidR="00000000" w:rsidDel="00000000" w:rsidP="00000000" w:rsidRDefault="00000000" w:rsidRPr="00000000" w14:paraId="00000080">
            <w:pPr>
              <w:spacing w:after="0" w:line="252.00000000000003"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Cục kiểm tra VBQPPL (Bộ Tư pháp);</w:t>
            </w:r>
          </w:p>
          <w:p w:rsidR="00000000" w:rsidDel="00000000" w:rsidP="00000000" w:rsidRDefault="00000000" w:rsidRPr="00000000" w14:paraId="00000081">
            <w:pPr>
              <w:spacing w:after="0" w:line="252.00000000000003"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TTTU, TT HĐND, UBNDTP;</w:t>
            </w:r>
          </w:p>
          <w:p w:rsidR="00000000" w:rsidDel="00000000" w:rsidP="00000000" w:rsidRDefault="00000000" w:rsidRPr="00000000" w14:paraId="00000082">
            <w:pPr>
              <w:spacing w:after="0" w:line="252.00000000000003"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Đoàn ĐBQH TP HP;</w:t>
            </w:r>
          </w:p>
          <w:p w:rsidR="00000000" w:rsidDel="00000000" w:rsidP="00000000" w:rsidRDefault="00000000" w:rsidRPr="00000000" w14:paraId="00000083">
            <w:pPr>
              <w:spacing w:after="0" w:line="252.00000000000003"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Ủy ban MTTQVN TP;</w:t>
            </w:r>
          </w:p>
          <w:p w:rsidR="00000000" w:rsidDel="00000000" w:rsidP="00000000" w:rsidRDefault="00000000" w:rsidRPr="00000000" w14:paraId="00000084">
            <w:pPr>
              <w:spacing w:after="0" w:line="252.00000000000003"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Các Ban của HĐND TP;</w:t>
            </w:r>
          </w:p>
          <w:p w:rsidR="00000000" w:rsidDel="00000000" w:rsidP="00000000" w:rsidRDefault="00000000" w:rsidRPr="00000000" w14:paraId="00000085">
            <w:pPr>
              <w:spacing w:after="0" w:line="252.00000000000003"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Đại biểu HĐNDTP khóa XVI;</w:t>
            </w:r>
          </w:p>
          <w:p w:rsidR="00000000" w:rsidDel="00000000" w:rsidP="00000000" w:rsidRDefault="00000000" w:rsidRPr="00000000" w14:paraId="00000086">
            <w:pPr>
              <w:spacing w:after="0" w:line="252.00000000000003"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Các VP: TU, Đoàn ĐBQH và HĐND, UBND TP;</w:t>
            </w:r>
          </w:p>
          <w:p w:rsidR="00000000" w:rsidDel="00000000" w:rsidP="00000000" w:rsidRDefault="00000000" w:rsidRPr="00000000" w14:paraId="00000087">
            <w:pPr>
              <w:spacing w:after="0" w:line="252.00000000000003"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Các sở, ban, ngành, đoàn thể TP;</w:t>
            </w:r>
          </w:p>
          <w:p w:rsidR="00000000" w:rsidDel="00000000" w:rsidP="00000000" w:rsidRDefault="00000000" w:rsidRPr="00000000" w14:paraId="00000088">
            <w:pPr>
              <w:spacing w:after="0" w:line="252.00000000000003"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TTĐU các xã, phường, đặc khu;</w:t>
            </w:r>
          </w:p>
          <w:p w:rsidR="00000000" w:rsidDel="00000000" w:rsidP="00000000" w:rsidRDefault="00000000" w:rsidRPr="00000000" w14:paraId="00000089">
            <w:pPr>
              <w:spacing w:after="0" w:line="252.00000000000003"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TT HĐND, UBND các xã, phường, đặc khu;</w:t>
            </w:r>
          </w:p>
          <w:p w:rsidR="00000000" w:rsidDel="00000000" w:rsidP="00000000" w:rsidRDefault="00000000" w:rsidRPr="00000000" w14:paraId="0000008A">
            <w:pPr>
              <w:spacing w:after="0" w:line="252.00000000000003"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Công báo HP, Cổng TTĐT TP;</w:t>
            </w:r>
          </w:p>
          <w:p w:rsidR="00000000" w:rsidDel="00000000" w:rsidP="00000000" w:rsidRDefault="00000000" w:rsidRPr="00000000" w14:paraId="0000008B">
            <w:pPr>
              <w:spacing w:after="0" w:line="252.00000000000003"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Đài PTTH HP, Báo HP;</w:t>
            </w:r>
          </w:p>
          <w:p w:rsidR="00000000" w:rsidDel="00000000" w:rsidP="00000000" w:rsidRDefault="00000000" w:rsidRPr="00000000" w14:paraId="0000008C">
            <w:pPr>
              <w:spacing w:after="0" w:line="252.00000000000003"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Các CV VP Đoàn ĐBQH và HĐND;</w:t>
            </w:r>
          </w:p>
          <w:p w:rsidR="00000000" w:rsidDel="00000000" w:rsidP="00000000" w:rsidRDefault="00000000" w:rsidRPr="00000000" w14:paraId="0000008D">
            <w:pPr>
              <w:spacing w:after="0" w:line="252.00000000000003"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CVP, các PCVP HĐND TP;</w:t>
            </w:r>
          </w:p>
          <w:p w:rsidR="00000000" w:rsidDel="00000000" w:rsidP="00000000" w:rsidRDefault="00000000" w:rsidRPr="00000000" w14:paraId="0000008E">
            <w:pPr>
              <w:spacing w:after="0" w:line="252.00000000000003"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Lưu: VT, HSKH.</w:t>
            </w:r>
          </w:p>
        </w:tc>
        <w:tc>
          <w:tcPr>
            <w:tcMar>
              <w:top w:w="0.0" w:type="dxa"/>
              <w:left w:w="108.0" w:type="dxa"/>
              <w:bottom w:w="0.0" w:type="dxa"/>
              <w:right w:w="108.0" w:type="dxa"/>
            </w:tcMar>
          </w:tcPr>
          <w:p w:rsidR="00000000" w:rsidDel="00000000" w:rsidP="00000000" w:rsidRDefault="00000000" w:rsidRPr="00000000" w14:paraId="0000008F">
            <w:pPr>
              <w:spacing w:after="0" w:line="252.00000000000003"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CHỦ TỊCH</w:t>
            </w:r>
          </w:p>
          <w:p w:rsidR="00000000" w:rsidDel="00000000" w:rsidP="00000000" w:rsidRDefault="00000000" w:rsidRPr="00000000" w14:paraId="00000090">
            <w:pPr>
              <w:spacing w:after="0" w:line="252.00000000000003"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91">
            <w:pPr>
              <w:spacing w:after="0" w:line="252.00000000000003" w:lineRule="auto"/>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br w:type="textWrapping"/>
            </w:r>
            <w:r w:rsidDel="00000000" w:rsidR="00000000" w:rsidRPr="00000000">
              <w:rPr>
                <w:rtl w:val="0"/>
              </w:rPr>
            </w:r>
          </w:p>
          <w:p w:rsidR="00000000" w:rsidDel="00000000" w:rsidP="00000000" w:rsidRDefault="00000000" w:rsidRPr="00000000" w14:paraId="00000092">
            <w:pPr>
              <w:spacing w:after="0" w:line="252.00000000000003"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3">
            <w:pPr>
              <w:spacing w:after="0" w:line="252.00000000000003"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4">
            <w:pPr>
              <w:spacing w:after="0" w:line="252.00000000000003"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tc>
      </w:tr>
    </w:tbl>
    <w:p w:rsidR="00000000" w:rsidDel="00000000" w:rsidP="00000000" w:rsidRDefault="00000000" w:rsidRPr="00000000" w14:paraId="00000095">
      <w:pPr>
        <w:spacing w:after="0" w:line="252.00000000000003" w:lineRule="auto"/>
        <w:jc w:val="both"/>
        <w:rPr>
          <w:rFonts w:ascii="Times New Roman" w:cs="Times New Roman" w:eastAsia="Times New Roman" w:hAnsi="Times New Roman"/>
          <w:color w:val="000000"/>
          <w:sz w:val="28"/>
          <w:szCs w:val="28"/>
        </w:rPr>
      </w:pPr>
      <w:r w:rsidDel="00000000" w:rsidR="00000000" w:rsidRPr="00000000">
        <w:rPr>
          <w:rtl w:val="0"/>
        </w:rPr>
      </w:r>
    </w:p>
    <w:sectPr>
      <w:headerReference r:id="rId9" w:type="default"/>
      <w:pgSz w:h="16840" w:w="11907" w:orient="portrait"/>
      <w:pgMar w:bottom="1134" w:top="1134" w:left="1701" w:right="1134" w:header="454"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spacing w:after="0" w:before="40" w:lineRule="auto"/>
    </w:pPr>
    <w:rPr>
      <w:rFonts w:ascii="Cambria" w:cs="Cambria" w:eastAsia="Cambria" w:hAnsi="Cambria"/>
      <w:i w:val="1"/>
      <w:iCs w:val="1"/>
      <w:color w:val="36609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thuvienphapluat.vn/phap-luat/tim-van-ban.aspx?keyword=221/2013/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US8ZDgVRgsVbRPH7CwOcDrioOQ==">CgMxLjAyDmguZTF5NXRzcXE1eXFnOAByITE0UEhxOEpRbFZ1bktsQjFyMktmSUpzaTRiMTBXWGVmTA==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0C800100DE5F488893EB4106AE52BB42_12</vt:lpwstr>
  </property>
  <property fmtid="{D5CDD505-2E9C-101B-9397-08002B2CF9AE}" pid="4" name="KSOTemplateDocerSaveRecord">
    <vt:lpwstr>eyJoZGlkIjoiNmU3OWEyMWNjNWZjZmY5M2I3ZGZlZWEzMjliOWViZmYiLCJ1c2VySWQiOiIxMzkyMDczODA5NjkxIn0=</vt:lpwstr>
  </property>
</Properties>
</file>