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83" w:type="dxa"/>
        <w:tblInd w:w="-142" w:type="dxa"/>
        <w:tblLayout w:type="fixed"/>
        <w:tblLook w:val="0000" w:firstRow="0" w:lastRow="0" w:firstColumn="0" w:lastColumn="0" w:noHBand="0" w:noVBand="0"/>
      </w:tblPr>
      <w:tblGrid>
        <w:gridCol w:w="7939"/>
        <w:gridCol w:w="5244"/>
      </w:tblGrid>
      <w:tr w:rsidR="002E4F1E" w:rsidRPr="002E4F1E" w14:paraId="49CD3B2E" w14:textId="77777777" w:rsidTr="00336640">
        <w:trPr>
          <w:trHeight w:val="1261"/>
        </w:trPr>
        <w:tc>
          <w:tcPr>
            <w:tcW w:w="7939" w:type="dxa"/>
          </w:tcPr>
          <w:p w14:paraId="5DAA5FA3" w14:textId="6F90C20E" w:rsidR="00773236" w:rsidRPr="00E46E5A" w:rsidRDefault="00BB6BFA" w:rsidP="006F2E4C">
            <w:pPr>
              <w:pStyle w:val="Heading1"/>
              <w:jc w:val="center"/>
              <w:rPr>
                <w:rFonts w:ascii="Times New Roman" w:hAnsi="Times New Roman"/>
                <w:b w:val="0"/>
                <w:bCs w:val="0"/>
                <w:noProof/>
              </w:rPr>
            </w:pPr>
            <w:r w:rsidRPr="00E46E5A">
              <w:rPr>
                <w:rFonts w:ascii="Times New Roman" w:hAnsi="Times New Roman"/>
                <w:b w:val="0"/>
                <w:bCs w:val="0"/>
                <w:noProof/>
              </w:rPr>
              <w:t>UBND THÀNH PHỐ HẢI PHÒNG</w:t>
            </w:r>
          </w:p>
          <w:p w14:paraId="6C23EA92" w14:textId="4EEADF6A" w:rsidR="00773236" w:rsidRPr="00533162" w:rsidRDefault="00BB6BFA" w:rsidP="006F2E4C">
            <w:pPr>
              <w:pStyle w:val="Heading1"/>
              <w:jc w:val="center"/>
              <w:rPr>
                <w:rFonts w:ascii="Times New Roman" w:hAnsi="Times New Roman"/>
                <w:noProof/>
                <w:sz w:val="26"/>
                <w:szCs w:val="26"/>
              </w:rPr>
            </w:pPr>
            <w:r w:rsidRPr="00533162">
              <w:rPr>
                <w:rFonts w:ascii="Times New Roman" w:hAnsi="Times New Roman"/>
                <w:noProof/>
                <w:sz w:val="26"/>
                <w:szCs w:val="26"/>
              </w:rPr>
              <w:t xml:space="preserve">SỞ </w:t>
            </w:r>
            <w:r w:rsidR="00EF2CA6">
              <w:rPr>
                <w:rFonts w:ascii="Times New Roman" w:hAnsi="Times New Roman"/>
                <w:noProof/>
                <w:sz w:val="26"/>
                <w:szCs w:val="26"/>
              </w:rPr>
              <w:t xml:space="preserve">TÀI CHÍNH </w:t>
            </w:r>
          </w:p>
          <w:p w14:paraId="5030411E" w14:textId="19B90305" w:rsidR="00773236" w:rsidRPr="00533162" w:rsidRDefault="00336640" w:rsidP="000E656D">
            <w:pPr>
              <w:spacing w:before="240" w:after="60"/>
              <w:jc w:val="center"/>
              <w:rPr>
                <w:sz w:val="28"/>
                <w:szCs w:val="28"/>
              </w:rPr>
            </w:pPr>
            <w:r w:rsidRPr="00533162">
              <w:rPr>
                <w:b/>
                <w:noProof/>
                <w:sz w:val="28"/>
                <w:szCs w:val="28"/>
              </w:rPr>
              <mc:AlternateContent>
                <mc:Choice Requires="wps">
                  <w:drawing>
                    <wp:anchor distT="0" distB="0" distL="114300" distR="114300" simplePos="0" relativeHeight="251656704" behindDoc="0" locked="0" layoutInCell="1" allowOverlap="1" wp14:anchorId="53285B2D" wp14:editId="468D2D77">
                      <wp:simplePos x="0" y="0"/>
                      <wp:positionH relativeFrom="column">
                        <wp:posOffset>2203657</wp:posOffset>
                      </wp:positionH>
                      <wp:positionV relativeFrom="paragraph">
                        <wp:posOffset>16835</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725D"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35pt" to="22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"/>
                  </w:pict>
                </mc:Fallback>
              </mc:AlternateContent>
            </w:r>
          </w:p>
          <w:p w14:paraId="23EC0C6A" w14:textId="2CDAEA95" w:rsidR="0083254B" w:rsidRPr="00533162" w:rsidRDefault="0083254B" w:rsidP="00874E66">
            <w:pPr>
              <w:spacing w:before="60" w:after="60"/>
              <w:ind w:right="-106"/>
              <w:jc w:val="center"/>
              <w:rPr>
                <w:sz w:val="25"/>
                <w:szCs w:val="25"/>
              </w:rPr>
            </w:pPr>
          </w:p>
        </w:tc>
        <w:tc>
          <w:tcPr>
            <w:tcW w:w="5244" w:type="dxa"/>
          </w:tcPr>
          <w:p w14:paraId="31A515E0" w14:textId="77777777" w:rsidR="00773236" w:rsidRPr="00E46E5A" w:rsidRDefault="00773236" w:rsidP="00DB4A1F">
            <w:pPr>
              <w:pStyle w:val="Heading2"/>
              <w:ind w:left="-246"/>
              <w:rPr>
                <w:rFonts w:ascii="Times New Roman Bold" w:hAnsi="Times New Roman Bold"/>
                <w:spacing w:val="-2"/>
                <w:sz w:val="24"/>
              </w:rPr>
            </w:pPr>
            <w:r w:rsidRPr="00E46E5A">
              <w:rPr>
                <w:rFonts w:ascii="Times New Roman Bold" w:hAnsi="Times New Roman Bold"/>
                <w:spacing w:val="-2"/>
                <w:sz w:val="24"/>
              </w:rPr>
              <w:t>CỘNG HÒA XÃ HỘI CHỦ NGHĨA VIỆT NAM</w:t>
            </w:r>
          </w:p>
          <w:p w14:paraId="25450446" w14:textId="03B2DE2C" w:rsidR="00773236" w:rsidRPr="00E46E5A" w:rsidRDefault="00773236" w:rsidP="00DB4A1F">
            <w:pPr>
              <w:pStyle w:val="Heading2"/>
              <w:ind w:left="-246" w:right="168"/>
              <w:rPr>
                <w:rFonts w:ascii="Times New Roman" w:hAnsi="Times New Roman"/>
                <w:szCs w:val="28"/>
              </w:rPr>
            </w:pPr>
            <w:r w:rsidRPr="002E4F1E">
              <w:rPr>
                <w:rFonts w:ascii="Times New Roman" w:hAnsi="Times New Roman"/>
                <w:szCs w:val="28"/>
              </w:rPr>
              <w:t xml:space="preserve">   </w:t>
            </w:r>
            <w:r w:rsidRPr="00E46E5A">
              <w:rPr>
                <w:rFonts w:ascii="Times New Roman" w:hAnsi="Times New Roman"/>
                <w:szCs w:val="28"/>
              </w:rPr>
              <w:t>Độc lập - Tự do - Hạnh phúc</w:t>
            </w:r>
          </w:p>
          <w:p w14:paraId="19F0E6A6" w14:textId="4E055EFA" w:rsidR="00773236" w:rsidRPr="002E4F1E" w:rsidRDefault="00DB4A1F" w:rsidP="0083254B">
            <w:pPr>
              <w:spacing w:before="240" w:after="60"/>
              <w:jc w:val="center"/>
              <w:rPr>
                <w:b/>
                <w:i/>
                <w:sz w:val="26"/>
                <w:szCs w:val="26"/>
              </w:rPr>
            </w:pPr>
            <w:r w:rsidRPr="002E4F1E">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2E4F1E">
              <w:rPr>
                <w:i/>
                <w:sz w:val="28"/>
                <w:szCs w:val="28"/>
              </w:rPr>
              <w:t xml:space="preserve">Hải Phòng, ngày </w:t>
            </w:r>
            <w:r w:rsidR="0083254B">
              <w:rPr>
                <w:i/>
                <w:sz w:val="28"/>
                <w:szCs w:val="28"/>
              </w:rPr>
              <w:t xml:space="preserve">    </w:t>
            </w:r>
            <w:r w:rsidR="00773236" w:rsidRPr="002E4F1E">
              <w:rPr>
                <w:i/>
                <w:sz w:val="28"/>
                <w:szCs w:val="28"/>
              </w:rPr>
              <w:t xml:space="preserve"> tháng</w:t>
            </w:r>
            <w:r w:rsidR="00717601">
              <w:rPr>
                <w:i/>
                <w:sz w:val="28"/>
                <w:szCs w:val="28"/>
              </w:rPr>
              <w:t xml:space="preserve"> </w:t>
            </w:r>
            <w:r w:rsidR="00764C25">
              <w:rPr>
                <w:i/>
                <w:sz w:val="28"/>
                <w:szCs w:val="28"/>
              </w:rPr>
              <w:t xml:space="preserve">    </w:t>
            </w:r>
            <w:r w:rsidR="00A83692">
              <w:rPr>
                <w:i/>
                <w:sz w:val="28"/>
                <w:szCs w:val="28"/>
              </w:rPr>
              <w:t xml:space="preserve"> năm 202</w:t>
            </w:r>
            <w:r w:rsidR="00540382">
              <w:rPr>
                <w:i/>
                <w:sz w:val="28"/>
                <w:szCs w:val="28"/>
              </w:rPr>
              <w:t>6</w:t>
            </w:r>
          </w:p>
        </w:tc>
      </w:tr>
    </w:tbl>
    <w:p w14:paraId="30AD7E9A" w14:textId="3363A716" w:rsidR="0083254B" w:rsidRPr="00707ADF" w:rsidRDefault="00B86DD7" w:rsidP="00687986">
      <w:pPr>
        <w:widowControl w:val="0"/>
        <w:spacing w:before="240" w:after="120"/>
        <w:jc w:val="center"/>
        <w:rPr>
          <w:b/>
          <w:sz w:val="28"/>
          <w:szCs w:val="28"/>
        </w:rPr>
      </w:pPr>
      <w:r>
        <w:rPr>
          <w:b/>
          <w:sz w:val="28"/>
          <w:szCs w:val="28"/>
        </w:rPr>
        <w:t>BẢN SO SÁNH, THUYẾT MINH</w:t>
      </w:r>
    </w:p>
    <w:p w14:paraId="48FF5465" w14:textId="77777777" w:rsidR="00435FDC" w:rsidRDefault="00B86DD7" w:rsidP="00EF2CA6">
      <w:pPr>
        <w:jc w:val="center"/>
        <w:rPr>
          <w:b/>
          <w:sz w:val="28"/>
          <w:lang w:val="nl-NL"/>
        </w:rPr>
      </w:pPr>
      <w:r>
        <w:rPr>
          <w:b/>
          <w:sz w:val="28"/>
          <w:szCs w:val="28"/>
          <w:lang w:val="nl-NL"/>
        </w:rPr>
        <w:t xml:space="preserve">Nội dung dự thảo Nghị quyết </w:t>
      </w:r>
      <w:r w:rsidR="00764C25">
        <w:rPr>
          <w:b/>
          <w:sz w:val="28"/>
          <w:szCs w:val="28"/>
          <w:lang w:val="nl-NL"/>
        </w:rPr>
        <w:t xml:space="preserve">Quy định </w:t>
      </w:r>
      <w:r w:rsidR="00764C25">
        <w:rPr>
          <w:b/>
          <w:sz w:val="28"/>
          <w:lang w:val="nl-NL"/>
        </w:rPr>
        <w:t>mức thu</w:t>
      </w:r>
      <w:r w:rsidR="00435FDC">
        <w:rPr>
          <w:b/>
          <w:sz w:val="28"/>
          <w:lang w:val="nl-NL"/>
        </w:rPr>
        <w:t xml:space="preserve"> phí, lệ phí </w:t>
      </w:r>
    </w:p>
    <w:p w14:paraId="1975AFFA" w14:textId="52ECCD08" w:rsidR="00435FDC" w:rsidRDefault="00435FDC" w:rsidP="00EF2CA6">
      <w:pPr>
        <w:jc w:val="center"/>
        <w:rPr>
          <w:b/>
          <w:sz w:val="28"/>
          <w:lang w:val="nl-NL"/>
        </w:rPr>
      </w:pPr>
      <w:r>
        <w:rPr>
          <w:b/>
          <w:sz w:val="28"/>
          <w:lang w:val="nl-NL"/>
        </w:rPr>
        <w:t>thuộc thẩm quyền của Hội đồng nhân dân thành phố đối với việc thực hiện thủ tục hành chính trực tuyến</w:t>
      </w:r>
    </w:p>
    <w:p w14:paraId="2BFC5085" w14:textId="06558255" w:rsidR="00764C25" w:rsidRDefault="00EF2CA6" w:rsidP="00EF2CA6">
      <w:pPr>
        <w:jc w:val="center"/>
        <w:rPr>
          <w:b/>
          <w:sz w:val="28"/>
          <w:lang w:val="nl-NL"/>
        </w:rPr>
      </w:pPr>
      <w:r>
        <w:rPr>
          <w:b/>
          <w:sz w:val="28"/>
          <w:lang w:val="nl-NL"/>
        </w:rPr>
        <w:t xml:space="preserve"> </w:t>
      </w:r>
      <w:r w:rsidR="00764C25" w:rsidRPr="004A415F">
        <w:rPr>
          <w:b/>
          <w:sz w:val="28"/>
          <w:lang w:val="nl-NL"/>
        </w:rPr>
        <w:t>trên địa bàn thành phố Hải Phòng</w:t>
      </w:r>
    </w:p>
    <w:p w14:paraId="663FFF0C" w14:textId="1E4D31D3" w:rsidR="006313CD" w:rsidRPr="006313CD" w:rsidRDefault="00DF7285" w:rsidP="00DF7285">
      <w:pPr>
        <w:spacing w:after="240"/>
        <w:jc w:val="center"/>
        <w:rPr>
          <w:bCs/>
          <w:i/>
          <w:sz w:val="28"/>
          <w:szCs w:val="28"/>
        </w:rPr>
      </w:pPr>
      <w:r w:rsidRPr="00707ADF">
        <w:rPr>
          <w:noProof/>
          <w:sz w:val="28"/>
          <w:szCs w:val="28"/>
        </w:rPr>
        <mc:AlternateContent>
          <mc:Choice Requires="wps">
            <w:drawing>
              <wp:anchor distT="0" distB="0" distL="114300" distR="114300" simplePos="0" relativeHeight="251666944" behindDoc="0" locked="0" layoutInCell="1" allowOverlap="1" wp14:anchorId="1221AB18" wp14:editId="4DA0C069">
                <wp:simplePos x="0" y="0"/>
                <wp:positionH relativeFrom="margin">
                  <wp:posOffset>3653790</wp:posOffset>
                </wp:positionH>
                <wp:positionV relativeFrom="paragraph">
                  <wp:posOffset>233045</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569B" id="Straight Connector 5"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7.7pt,18.35pt" to="410.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">
                <w10:wrap anchorx="margin"/>
              </v:line>
            </w:pict>
          </mc:Fallback>
        </mc:AlternateContent>
      </w:r>
      <w:r w:rsidR="006313CD" w:rsidRPr="006313CD">
        <w:rPr>
          <w:i/>
          <w:sz w:val="28"/>
          <w:szCs w:val="28"/>
          <w:lang w:val="nl-NL"/>
        </w:rPr>
        <w:t>(Kèm theo Hồ sơ dự thảo Nghị quyết)</w:t>
      </w:r>
    </w:p>
    <w:p w14:paraId="4DBA8818" w14:textId="0713D132" w:rsidR="0083254B" w:rsidRPr="00707ADF" w:rsidRDefault="0083254B" w:rsidP="0083254B">
      <w:pPr>
        <w:widowControl w:val="0"/>
        <w:jc w:val="center"/>
        <w:rPr>
          <w:sz w:val="28"/>
          <w:szCs w:val="28"/>
        </w:rPr>
      </w:pPr>
    </w:p>
    <w:tbl>
      <w:tblPr>
        <w:tblStyle w:val="TableGrid"/>
        <w:tblW w:w="14601" w:type="dxa"/>
        <w:tblInd w:w="-431" w:type="dxa"/>
        <w:tblLook w:val="04A0" w:firstRow="1" w:lastRow="0" w:firstColumn="1" w:lastColumn="0" w:noHBand="0" w:noVBand="1"/>
      </w:tblPr>
      <w:tblGrid>
        <w:gridCol w:w="5529"/>
        <w:gridCol w:w="3827"/>
        <w:gridCol w:w="5245"/>
      </w:tblGrid>
      <w:tr w:rsidR="009656D5" w:rsidRPr="00F36777" w14:paraId="2E1A8F7A" w14:textId="77777777" w:rsidTr="00DF7285">
        <w:trPr>
          <w:tblHeader/>
        </w:trPr>
        <w:tc>
          <w:tcPr>
            <w:tcW w:w="5529" w:type="dxa"/>
            <w:vAlign w:val="center"/>
          </w:tcPr>
          <w:p w14:paraId="00699A79" w14:textId="4C3C4029" w:rsidR="009656D5" w:rsidRPr="00F36777" w:rsidRDefault="00507425" w:rsidP="00CD044F">
            <w:pPr>
              <w:spacing w:before="120" w:after="120"/>
              <w:jc w:val="center"/>
              <w:rPr>
                <w:b/>
                <w:spacing w:val="2"/>
                <w:sz w:val="28"/>
                <w:szCs w:val="28"/>
                <w:lang w:val="nl-NL"/>
              </w:rPr>
            </w:pPr>
            <w:r w:rsidRPr="00F36777">
              <w:rPr>
                <w:b/>
                <w:spacing w:val="2"/>
                <w:sz w:val="28"/>
                <w:szCs w:val="28"/>
                <w:lang w:val="nl-NL"/>
              </w:rPr>
              <w:t>Văn bản quy phạm pháp luật hiện hành</w:t>
            </w:r>
          </w:p>
        </w:tc>
        <w:tc>
          <w:tcPr>
            <w:tcW w:w="3827" w:type="dxa"/>
            <w:vAlign w:val="center"/>
          </w:tcPr>
          <w:p w14:paraId="6E57C555" w14:textId="2EA4DAED" w:rsidR="009656D5" w:rsidRPr="00F36777" w:rsidRDefault="00507425" w:rsidP="00CD044F">
            <w:pPr>
              <w:spacing w:before="120" w:after="120"/>
              <w:jc w:val="center"/>
              <w:rPr>
                <w:b/>
                <w:spacing w:val="2"/>
                <w:sz w:val="28"/>
                <w:szCs w:val="28"/>
                <w:lang w:val="nl-NL"/>
              </w:rPr>
            </w:pPr>
            <w:r w:rsidRPr="00F36777">
              <w:rPr>
                <w:b/>
                <w:spacing w:val="2"/>
                <w:sz w:val="28"/>
                <w:szCs w:val="28"/>
                <w:lang w:val="nl-NL"/>
              </w:rPr>
              <w:t>Dự thảo Nghị quyết</w:t>
            </w:r>
          </w:p>
        </w:tc>
        <w:tc>
          <w:tcPr>
            <w:tcW w:w="5245" w:type="dxa"/>
            <w:vAlign w:val="center"/>
          </w:tcPr>
          <w:p w14:paraId="383A429F" w14:textId="35942EBE" w:rsidR="009656D5" w:rsidRPr="00F36777" w:rsidRDefault="009656D5" w:rsidP="00CD044F">
            <w:pPr>
              <w:spacing w:before="120" w:after="120"/>
              <w:jc w:val="center"/>
              <w:rPr>
                <w:b/>
                <w:spacing w:val="2"/>
                <w:sz w:val="28"/>
                <w:szCs w:val="28"/>
                <w:lang w:val="nl-NL"/>
              </w:rPr>
            </w:pPr>
            <w:r w:rsidRPr="00F36777">
              <w:rPr>
                <w:b/>
                <w:spacing w:val="2"/>
                <w:sz w:val="28"/>
                <w:szCs w:val="28"/>
                <w:lang w:val="nl-NL"/>
              </w:rPr>
              <w:t>THUYẾT MINH</w:t>
            </w:r>
          </w:p>
        </w:tc>
      </w:tr>
      <w:tr w:rsidR="009656D5" w:rsidRPr="00F36777" w14:paraId="5777349B" w14:textId="77777777" w:rsidTr="00DF7285">
        <w:tc>
          <w:tcPr>
            <w:tcW w:w="5529" w:type="dxa"/>
            <w:vAlign w:val="center"/>
          </w:tcPr>
          <w:p w14:paraId="37778B01" w14:textId="38AF3482" w:rsidR="00CF07C3" w:rsidRPr="00CF07C3" w:rsidRDefault="00EF2CA6" w:rsidP="00CF07C3">
            <w:pPr>
              <w:spacing w:before="120" w:after="120"/>
              <w:jc w:val="both"/>
              <w:rPr>
                <w:spacing w:val="2"/>
                <w:sz w:val="28"/>
                <w:szCs w:val="28"/>
              </w:rPr>
            </w:pPr>
            <w:r w:rsidRPr="00540382">
              <w:rPr>
                <w:spacing w:val="2"/>
                <w:sz w:val="28"/>
                <w:szCs w:val="28"/>
              </w:rPr>
              <w:t xml:space="preserve">- </w:t>
            </w:r>
            <w:r w:rsidR="00CF07C3" w:rsidRPr="00CF07C3">
              <w:rPr>
                <w:spacing w:val="2"/>
                <w:sz w:val="28"/>
                <w:szCs w:val="28"/>
              </w:rPr>
              <w:t>Khoản 1 Điều 21 Luật Phí và lệ phí số 97/2015/QH13 quy định thẩm quyền của Hội đồng nhân dân cấp tỉnh: “</w:t>
            </w:r>
            <w:r w:rsidR="00CF07C3" w:rsidRPr="00CF07C3">
              <w:rPr>
                <w:i/>
                <w:iCs/>
                <w:spacing w:val="2"/>
                <w:sz w:val="28"/>
                <w:szCs w:val="28"/>
              </w:rPr>
              <w:t>quyết định mức thu, miễn, giảm, thu, nộp, quản lý và sử dụng các khoản phí, lệ phí thuộc thẩm quyền</w:t>
            </w:r>
            <w:r w:rsidR="00CF07C3" w:rsidRPr="00CF07C3">
              <w:rPr>
                <w:spacing w:val="2"/>
                <w:sz w:val="28"/>
                <w:szCs w:val="28"/>
              </w:rPr>
              <w:t>”.</w:t>
            </w:r>
          </w:p>
          <w:p w14:paraId="001C6701" w14:textId="77777777" w:rsidR="00CF07C3" w:rsidRPr="00CF07C3" w:rsidRDefault="00CF07C3" w:rsidP="00CF07C3">
            <w:pPr>
              <w:spacing w:before="120" w:after="120"/>
              <w:jc w:val="both"/>
              <w:rPr>
                <w:spacing w:val="2"/>
                <w:sz w:val="28"/>
                <w:szCs w:val="28"/>
              </w:rPr>
            </w:pPr>
            <w:r w:rsidRPr="00CF07C3">
              <w:rPr>
                <w:spacing w:val="2"/>
                <w:sz w:val="28"/>
                <w:szCs w:val="28"/>
              </w:rPr>
              <w:t>- Điểm b khoản 3 Điều 15 Luật Tổ chức chính quyền địa phương số 72/2025/QH15 quy định: Trong lĩnh vực quy hoạch, kế hoạch, tài chính, ngân sách, đầu tư và thực hiện liên kết vùng, Hội đồng nhân dân cấp tỉnh có nhiệm vụ, quyền hạn: “</w:t>
            </w:r>
            <w:r w:rsidRPr="00CF07C3">
              <w:rPr>
                <w:i/>
                <w:iCs/>
                <w:spacing w:val="2"/>
                <w:sz w:val="28"/>
                <w:szCs w:val="28"/>
              </w:rPr>
              <w:t>Quyết định cơ chế, chính sách, biện pháp liên quan đến tài chính, ngân sách, đầu tư của địa phương; về phí, lệ phí</w:t>
            </w:r>
            <w:r w:rsidRPr="00CF07C3">
              <w:rPr>
                <w:spacing w:val="2"/>
                <w:sz w:val="28"/>
                <w:szCs w:val="28"/>
              </w:rPr>
              <w:t xml:space="preserve">;...”; </w:t>
            </w:r>
          </w:p>
          <w:p w14:paraId="4BFEFA42" w14:textId="5CA84955" w:rsidR="0002399C" w:rsidRPr="00540382" w:rsidRDefault="00CF07C3" w:rsidP="00CF07C3">
            <w:pPr>
              <w:spacing w:before="120" w:after="120"/>
              <w:jc w:val="both"/>
              <w:rPr>
                <w:spacing w:val="2"/>
                <w:sz w:val="28"/>
                <w:szCs w:val="28"/>
                <w:highlight w:val="yellow"/>
              </w:rPr>
            </w:pPr>
            <w:r w:rsidRPr="00CF07C3">
              <w:rPr>
                <w:spacing w:val="2"/>
                <w:sz w:val="28"/>
                <w:szCs w:val="28"/>
              </w:rPr>
              <w:lastRenderedPageBreak/>
              <w:t>- Điểm e khoản 9 Điều 31 Luật Ngân sách nhà nước số 89/2025/QH15 quy định: Hội đồng nhân dân cấp tỉnh có nhiệm vụ, quyền hạn: “</w:t>
            </w:r>
            <w:r w:rsidRPr="00CF07C3">
              <w:rPr>
                <w:i/>
                <w:iCs/>
                <w:spacing w:val="2"/>
                <w:sz w:val="28"/>
                <w:szCs w:val="28"/>
              </w:rPr>
              <w:t>Quyết định thu phí, lệ phí và các khoản đóng góp của nhân dân theo quy định của pháp luật;…”;</w:t>
            </w:r>
          </w:p>
        </w:tc>
        <w:tc>
          <w:tcPr>
            <w:tcW w:w="3827" w:type="dxa"/>
            <w:vAlign w:val="center"/>
          </w:tcPr>
          <w:p w14:paraId="36D68010" w14:textId="0D97EB05" w:rsidR="001F095A" w:rsidRPr="004666D4" w:rsidRDefault="0002399C" w:rsidP="004666D4">
            <w:pPr>
              <w:spacing w:before="120" w:after="120"/>
              <w:ind w:firstLine="312"/>
              <w:jc w:val="both"/>
              <w:rPr>
                <w:spacing w:val="2"/>
                <w:sz w:val="28"/>
                <w:szCs w:val="28"/>
                <w:lang w:val="nl-NL"/>
              </w:rPr>
            </w:pPr>
            <w:r w:rsidRPr="004666D4">
              <w:rPr>
                <w:spacing w:val="2"/>
                <w:sz w:val="28"/>
                <w:szCs w:val="28"/>
                <w:lang w:val="nl-NL"/>
              </w:rPr>
              <w:lastRenderedPageBreak/>
              <w:t xml:space="preserve">Điều </w:t>
            </w:r>
            <w:r w:rsidR="004666D4" w:rsidRPr="004666D4">
              <w:rPr>
                <w:spacing w:val="2"/>
                <w:sz w:val="28"/>
                <w:szCs w:val="28"/>
                <w:lang w:val="nl-NL"/>
              </w:rPr>
              <w:t>2</w:t>
            </w:r>
            <w:r w:rsidRPr="004666D4">
              <w:rPr>
                <w:spacing w:val="2"/>
                <w:sz w:val="28"/>
                <w:szCs w:val="28"/>
                <w:lang w:val="nl-NL"/>
              </w:rPr>
              <w:t xml:space="preserve"> dự thảo Nghị quyết quy định</w:t>
            </w:r>
            <w:r w:rsidR="001F095A" w:rsidRPr="004666D4">
              <w:rPr>
                <w:spacing w:val="2"/>
                <w:sz w:val="28"/>
                <w:szCs w:val="28"/>
                <w:lang w:val="nl-NL"/>
              </w:rPr>
              <w:t>:</w:t>
            </w:r>
          </w:p>
          <w:p w14:paraId="0FD3A5FF" w14:textId="202F84C2" w:rsidR="009656D5" w:rsidRPr="00540382" w:rsidRDefault="001F095A" w:rsidP="004666D4">
            <w:pPr>
              <w:widowControl w:val="0"/>
              <w:spacing w:before="120" w:after="120"/>
              <w:ind w:firstLine="312"/>
              <w:jc w:val="both"/>
              <w:outlineLvl w:val="0"/>
              <w:rPr>
                <w:spacing w:val="2"/>
                <w:sz w:val="28"/>
                <w:szCs w:val="28"/>
                <w:highlight w:val="yellow"/>
                <w:lang w:val="nl-NL"/>
              </w:rPr>
            </w:pPr>
            <w:r w:rsidRPr="004666D4">
              <w:rPr>
                <w:spacing w:val="2"/>
                <w:sz w:val="28"/>
                <w:szCs w:val="28"/>
                <w:lang w:val="nl-NL"/>
              </w:rPr>
              <w:t>-</w:t>
            </w:r>
            <w:r w:rsidR="0002399C" w:rsidRPr="004666D4">
              <w:rPr>
                <w:spacing w:val="2"/>
                <w:sz w:val="28"/>
                <w:szCs w:val="28"/>
                <w:lang w:val="nl-NL"/>
              </w:rPr>
              <w:t xml:space="preserve"> </w:t>
            </w:r>
            <w:r w:rsidR="004666D4" w:rsidRPr="004666D4">
              <w:rPr>
                <w:rStyle w:val="apple-converted-space"/>
                <w:bCs/>
                <w:sz w:val="28"/>
                <w:szCs w:val="28"/>
              </w:rPr>
              <w:t>Mức thu</w:t>
            </w:r>
            <w:r w:rsidR="004666D4" w:rsidRPr="004666D4">
              <w:rPr>
                <w:rStyle w:val="apple-converted-space"/>
                <w:bCs/>
                <w:sz w:val="28"/>
                <w:szCs w:val="28"/>
              </w:rPr>
              <w:t xml:space="preserve"> 10 loại</w:t>
            </w:r>
            <w:r w:rsidR="004666D4" w:rsidRPr="004666D4">
              <w:rPr>
                <w:rStyle w:val="apple-converted-space"/>
                <w:bCs/>
                <w:sz w:val="28"/>
                <w:szCs w:val="28"/>
              </w:rPr>
              <w:t xml:space="preserve"> phí</w:t>
            </w:r>
            <w:r w:rsidR="004666D4" w:rsidRPr="004666D4">
              <w:rPr>
                <w:rStyle w:val="apple-converted-space"/>
                <w:bCs/>
                <w:sz w:val="28"/>
                <w:szCs w:val="28"/>
              </w:rPr>
              <w:t xml:space="preserve"> và 05 loại</w:t>
            </w:r>
            <w:r w:rsidR="004666D4" w:rsidRPr="004666D4">
              <w:rPr>
                <w:rStyle w:val="apple-converted-space"/>
                <w:bCs/>
                <w:sz w:val="28"/>
                <w:szCs w:val="28"/>
              </w:rPr>
              <w:t xml:space="preserve"> lệ phí trong thực hiện thủ tục hành chính trực tuyến trên địa bàn thành phố Hải Phòng</w:t>
            </w:r>
            <w:r w:rsidR="00CC1C47">
              <w:rPr>
                <w:rStyle w:val="apple-converted-space"/>
                <w:bCs/>
                <w:sz w:val="28"/>
                <w:szCs w:val="28"/>
              </w:rPr>
              <w:t xml:space="preserve"> bằng “0 đồng”</w:t>
            </w:r>
          </w:p>
        </w:tc>
        <w:tc>
          <w:tcPr>
            <w:tcW w:w="5245" w:type="dxa"/>
            <w:vAlign w:val="center"/>
          </w:tcPr>
          <w:p w14:paraId="119DFAF7" w14:textId="50952EDD" w:rsidR="009656D5" w:rsidRDefault="003C3464" w:rsidP="00CD044F">
            <w:pPr>
              <w:spacing w:before="120" w:after="120"/>
              <w:jc w:val="both"/>
              <w:rPr>
                <w:spacing w:val="2"/>
                <w:sz w:val="28"/>
                <w:szCs w:val="28"/>
                <w:lang w:val="nl-NL"/>
              </w:rPr>
            </w:pPr>
            <w:r w:rsidRPr="00B25DF5">
              <w:rPr>
                <w:spacing w:val="2"/>
                <w:sz w:val="28"/>
                <w:szCs w:val="28"/>
                <w:lang w:val="nl-NL"/>
              </w:rPr>
              <w:t xml:space="preserve">- </w:t>
            </w:r>
            <w:r w:rsidR="00CF07C3">
              <w:rPr>
                <w:spacing w:val="2"/>
                <w:sz w:val="28"/>
                <w:szCs w:val="28"/>
                <w:lang w:val="nl-NL"/>
              </w:rPr>
              <w:t xml:space="preserve">Tiếp tục thực hiện </w:t>
            </w:r>
            <w:r w:rsidR="00CF07C3" w:rsidRPr="00EA6DB7">
              <w:rPr>
                <w:sz w:val="28"/>
                <w:szCs w:val="28"/>
                <w:lang w:val="nl-NL" w:eastAsia="ja-JP"/>
              </w:rPr>
              <w:t>Chỉ thị số 07/CT-TTg ngày 14/3/2025 của Thủ tướng Chính phủ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r w:rsidRPr="00B25DF5">
              <w:rPr>
                <w:spacing w:val="2"/>
                <w:sz w:val="28"/>
                <w:szCs w:val="28"/>
                <w:lang w:val="nl-NL"/>
              </w:rPr>
              <w:t>.</w:t>
            </w:r>
          </w:p>
          <w:p w14:paraId="6BCBA24C" w14:textId="5B30C849" w:rsidR="00CF07C3" w:rsidRPr="00B25DF5" w:rsidRDefault="00CF07C3" w:rsidP="00CD044F">
            <w:pPr>
              <w:spacing w:before="120" w:after="120"/>
              <w:jc w:val="both"/>
              <w:rPr>
                <w:spacing w:val="2"/>
                <w:sz w:val="28"/>
                <w:szCs w:val="28"/>
                <w:lang w:val="nl-NL"/>
              </w:rPr>
            </w:pPr>
            <w:r>
              <w:rPr>
                <w:sz w:val="28"/>
                <w:szCs w:val="28"/>
              </w:rPr>
              <w:t xml:space="preserve">- </w:t>
            </w:r>
            <w:r>
              <w:rPr>
                <w:sz w:val="28"/>
                <w:szCs w:val="28"/>
              </w:rPr>
              <w:t xml:space="preserve">Theo Công điện số 06/CĐ-TTg ngày 24/01/2026 của Thủ tướng Chính phủ về việc đẩy mạnh một số nhiệm vụ, giải pháp trọng tâm nhằm thực hiện mục tiêu tăng trưởng kinh tế năm 2026 đã chỉ đạo về điều hành chính sách tài khóa, chính sách tiền tệ: tiếp </w:t>
            </w:r>
            <w:r>
              <w:rPr>
                <w:sz w:val="28"/>
                <w:szCs w:val="28"/>
              </w:rPr>
              <w:lastRenderedPageBreak/>
              <w:t>tục thực hiện các chính sách giảm, gia hạn thuế, phí, tiền thuê đất… để hỗ trợ người dân, doanh nghiệp; thúc đẩy sản xuất kinh doanh, nhất là cho doanh nghiệp nhỏ và vừa</w:t>
            </w:r>
            <w:r>
              <w:rPr>
                <w:sz w:val="28"/>
                <w:szCs w:val="28"/>
              </w:rPr>
              <w:t>.</w:t>
            </w:r>
          </w:p>
          <w:p w14:paraId="4593F051" w14:textId="1C576F6D" w:rsidR="008E620E" w:rsidRPr="00F36777" w:rsidRDefault="008E620E" w:rsidP="00CD044F">
            <w:pPr>
              <w:spacing w:before="120" w:after="120"/>
              <w:jc w:val="both"/>
              <w:rPr>
                <w:bCs/>
                <w:spacing w:val="2"/>
                <w:sz w:val="28"/>
                <w:lang w:val="nl-NL"/>
              </w:rPr>
            </w:pPr>
            <w:r w:rsidRPr="00B25DF5">
              <w:rPr>
                <w:bCs/>
                <w:spacing w:val="2"/>
                <w:sz w:val="28"/>
                <w:lang w:val="nl-NL"/>
              </w:rPr>
              <w:t xml:space="preserve">- </w:t>
            </w:r>
            <w:r w:rsidR="00CF07C3">
              <w:rPr>
                <w:bCs/>
                <w:spacing w:val="2"/>
                <w:sz w:val="28"/>
                <w:lang w:val="nl-NL"/>
              </w:rPr>
              <w:t>T</w:t>
            </w:r>
            <w:r w:rsidR="00CF07C3" w:rsidRPr="00CF07C3">
              <w:rPr>
                <w:bCs/>
                <w:spacing w:val="2"/>
                <w:sz w:val="28"/>
                <w:lang w:val="nl-NL"/>
              </w:rPr>
              <w:t>ừ ngày 01/7/2025, quy định về phí, lệ phí thuộc thẩm quyền của Hội đồng nhân dân thành phố đối với thủ tục hành chính trên địa bàn thành phố được thực hiện theo địa giới hành chính cũ và theo quy định tại Nghị quyết số 07/2025/NQ-HĐND ngày 10/6/2025 của Hội đồng nhân dân tỉnh Hải Dương trước sắp xếp và Nghị quyết số 08/2025/NQ-HĐND ngày 17/6/2025 của Hội đồng nhân dân thành phố Hải Phòng trước sắp xếp với mức thu đồng nhất là “0 đồng”.</w:t>
            </w:r>
          </w:p>
        </w:tc>
      </w:tr>
      <w:tr w:rsidR="00A56546" w:rsidRPr="00F36777" w14:paraId="00953472" w14:textId="77777777" w:rsidTr="00DF7285">
        <w:tc>
          <w:tcPr>
            <w:tcW w:w="5529" w:type="dxa"/>
            <w:vAlign w:val="center"/>
          </w:tcPr>
          <w:p w14:paraId="2F93038B" w14:textId="3BBA3149" w:rsidR="00A56546" w:rsidRPr="00540382" w:rsidRDefault="00A56546" w:rsidP="009A38F5">
            <w:pPr>
              <w:widowControl w:val="0"/>
              <w:spacing w:before="120" w:after="120"/>
              <w:jc w:val="both"/>
              <w:rPr>
                <w:spacing w:val="2"/>
                <w:sz w:val="28"/>
                <w:szCs w:val="28"/>
              </w:rPr>
            </w:pPr>
            <w:r w:rsidRPr="00B41F57">
              <w:rPr>
                <w:sz w:val="28"/>
                <w:szCs w:val="28"/>
                <w:lang w:val="nl-NL" w:eastAsia="ja-JP"/>
              </w:rPr>
              <w:lastRenderedPageBreak/>
              <w:t>Văn bản số 277/UBND-NC ngày 10/02/2026</w:t>
            </w:r>
            <w:r>
              <w:rPr>
                <w:sz w:val="28"/>
                <w:szCs w:val="28"/>
                <w:lang w:val="nl-NL" w:eastAsia="ja-JP"/>
              </w:rPr>
              <w:t xml:space="preserve"> của Ủy ban nhân dân thành phố</w:t>
            </w:r>
            <w:r w:rsidRPr="00B41F57">
              <w:rPr>
                <w:sz w:val="28"/>
                <w:szCs w:val="28"/>
                <w:lang w:val="nl-NL" w:eastAsia="ja-JP"/>
              </w:rPr>
              <w:t xml:space="preserve">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w:t>
            </w:r>
            <w:r w:rsidRPr="00B41F57">
              <w:rPr>
                <w:sz w:val="28"/>
                <w:szCs w:val="28"/>
                <w:lang w:val="nl-NL" w:eastAsia="ja-JP"/>
              </w:rPr>
              <w:lastRenderedPageBreak/>
              <w:t>thành phố chịu sự tác động của việc sắp xếp tổ chức bộ máy trước ngày 01/6/2026; hoàn thành việc tham mưu ban hành văn bản quy phạm pháp luật thay thế các văn bản quy phạm pháp luật của Hội đồng nhân dân, Ủy ban nhân dân thành phố Hải Phòng (trước hợp nhất) và tỉnh Hải Dương đã ban hành đang được áp dụng trên địa bàn thành phố mới trước ngày 01/3/2027</w:t>
            </w:r>
            <w:r w:rsidRPr="00D03AB5">
              <w:rPr>
                <w:i/>
                <w:iCs/>
                <w:sz w:val="28"/>
                <w:szCs w:val="28"/>
              </w:rPr>
              <w:t>”</w:t>
            </w:r>
            <w:r w:rsidRPr="00D03AB5">
              <w:rPr>
                <w:sz w:val="28"/>
                <w:szCs w:val="28"/>
              </w:rPr>
              <w:t>.</w:t>
            </w:r>
          </w:p>
        </w:tc>
        <w:tc>
          <w:tcPr>
            <w:tcW w:w="3827" w:type="dxa"/>
            <w:vAlign w:val="center"/>
          </w:tcPr>
          <w:p w14:paraId="51814DDB" w14:textId="77777777" w:rsidR="00E619DC" w:rsidRDefault="00A56546" w:rsidP="00A56546">
            <w:pPr>
              <w:widowControl w:val="0"/>
              <w:spacing w:before="120" w:after="120"/>
              <w:ind w:firstLine="567"/>
              <w:jc w:val="both"/>
              <w:outlineLvl w:val="0"/>
              <w:rPr>
                <w:sz w:val="28"/>
                <w:szCs w:val="28"/>
                <w:lang w:val="pl-PL"/>
              </w:rPr>
            </w:pPr>
            <w:r w:rsidRPr="00A56546">
              <w:rPr>
                <w:sz w:val="28"/>
                <w:szCs w:val="28"/>
                <w:lang w:val="nl-NL"/>
              </w:rPr>
              <w:lastRenderedPageBreak/>
              <w:t xml:space="preserve">Điều </w:t>
            </w:r>
            <w:r w:rsidR="00E619DC">
              <w:rPr>
                <w:sz w:val="28"/>
                <w:szCs w:val="28"/>
                <w:lang w:val="nl-NL"/>
              </w:rPr>
              <w:t>3</w:t>
            </w:r>
            <w:r w:rsidRPr="00A56546">
              <w:rPr>
                <w:sz w:val="28"/>
                <w:szCs w:val="28"/>
                <w:lang w:val="nl-NL"/>
              </w:rPr>
              <w:t xml:space="preserve"> dự thảo quy định Nghị quyết này </w:t>
            </w:r>
            <w:r w:rsidRPr="00A56546">
              <w:rPr>
                <w:sz w:val="28"/>
                <w:szCs w:val="28"/>
                <w:lang w:val="pl-PL"/>
              </w:rPr>
              <w:t xml:space="preserve">có hiệu lực từ ngày </w:t>
            </w:r>
            <w:r w:rsidR="00E619DC">
              <w:rPr>
                <w:sz w:val="28"/>
                <w:szCs w:val="28"/>
                <w:lang w:val="pl-PL"/>
              </w:rPr>
              <w:t>.</w:t>
            </w:r>
            <w:r w:rsidR="00E619DC">
              <w:rPr>
                <w:lang w:val="pl-PL"/>
              </w:rPr>
              <w:t>...</w:t>
            </w:r>
            <w:r w:rsidRPr="00A56546">
              <w:rPr>
                <w:sz w:val="28"/>
                <w:szCs w:val="28"/>
                <w:lang w:val="pl-PL"/>
              </w:rPr>
              <w:t xml:space="preserve"> tháng 7 năm 2026</w:t>
            </w:r>
            <w:r w:rsidR="00E619DC">
              <w:rPr>
                <w:sz w:val="28"/>
                <w:szCs w:val="28"/>
                <w:lang w:val="pl-PL"/>
              </w:rPr>
              <w:t xml:space="preserve"> (đảm bảo quy định có hiệu lực sau 10 ngày kề từ ngày thông qua)</w:t>
            </w:r>
            <w:r w:rsidRPr="00A56546">
              <w:rPr>
                <w:sz w:val="28"/>
                <w:szCs w:val="28"/>
                <w:lang w:val="pl-PL"/>
              </w:rPr>
              <w:t xml:space="preserve">. </w:t>
            </w:r>
          </w:p>
          <w:p w14:paraId="7BB70B42" w14:textId="114183E1" w:rsidR="00A56546" w:rsidRDefault="00A56546" w:rsidP="00A56546">
            <w:pPr>
              <w:widowControl w:val="0"/>
              <w:spacing w:before="120" w:after="120"/>
              <w:ind w:firstLine="567"/>
              <w:jc w:val="both"/>
              <w:outlineLvl w:val="0"/>
              <w:rPr>
                <w:b/>
                <w:sz w:val="28"/>
                <w:szCs w:val="28"/>
                <w:lang w:val="nl-NL"/>
              </w:rPr>
            </w:pPr>
            <w:r w:rsidRPr="00A56546">
              <w:rPr>
                <w:sz w:val="28"/>
                <w:szCs w:val="28"/>
                <w:lang w:val="pl-PL"/>
              </w:rPr>
              <w:t xml:space="preserve">Khi Nghị quyết ban hành sẽ bãi bỏ </w:t>
            </w:r>
            <w:r w:rsidR="00E619DC" w:rsidRPr="00CF07C3">
              <w:rPr>
                <w:bCs/>
                <w:spacing w:val="2"/>
                <w:sz w:val="28"/>
                <w:lang w:val="nl-NL"/>
              </w:rPr>
              <w:t xml:space="preserve">Nghị quyết số 07/2025/NQ-HĐND ngày 10/6/2025 của Hội đồng nhân dân tỉnh Hải Dương trước sắp </w:t>
            </w:r>
            <w:r w:rsidR="00E619DC" w:rsidRPr="00CF07C3">
              <w:rPr>
                <w:bCs/>
                <w:spacing w:val="2"/>
                <w:sz w:val="28"/>
                <w:lang w:val="nl-NL"/>
              </w:rPr>
              <w:lastRenderedPageBreak/>
              <w:t>xếp và Nghị quyết số 08/2025/</w:t>
            </w:r>
            <w:r w:rsidR="007C5FF8">
              <w:rPr>
                <w:bCs/>
                <w:spacing w:val="2"/>
                <w:sz w:val="28"/>
                <w:lang w:val="nl-NL"/>
              </w:rPr>
              <w:t xml:space="preserve"> </w:t>
            </w:r>
            <w:r w:rsidR="00E619DC" w:rsidRPr="00CF07C3">
              <w:rPr>
                <w:bCs/>
                <w:spacing w:val="2"/>
                <w:sz w:val="28"/>
                <w:lang w:val="nl-NL"/>
              </w:rPr>
              <w:t>NQ-HĐND ngày 17/6/2025 của Hội đồng nhân dân thành phố Hải Phòng trước sắp xếp</w:t>
            </w:r>
            <w:r>
              <w:rPr>
                <w:color w:val="000000"/>
                <w:spacing w:val="2"/>
                <w:sz w:val="28"/>
                <w:szCs w:val="28"/>
                <w:lang w:val="nl-NL"/>
              </w:rPr>
              <w:t>.</w:t>
            </w:r>
          </w:p>
          <w:p w14:paraId="0D83411D" w14:textId="3837F038" w:rsidR="00A56546" w:rsidRPr="00540382" w:rsidRDefault="00A56546" w:rsidP="00A56546">
            <w:pPr>
              <w:widowControl w:val="0"/>
              <w:spacing w:before="120" w:after="120"/>
              <w:ind w:firstLine="567"/>
              <w:jc w:val="both"/>
              <w:outlineLvl w:val="0"/>
              <w:rPr>
                <w:b/>
                <w:sz w:val="28"/>
                <w:szCs w:val="28"/>
                <w:highlight w:val="yellow"/>
                <w:lang w:val="nl-NL"/>
              </w:rPr>
            </w:pPr>
          </w:p>
          <w:p w14:paraId="35FBBDC5" w14:textId="77777777" w:rsidR="00A56546" w:rsidRPr="00B25DF5" w:rsidRDefault="00A56546" w:rsidP="00CD044F">
            <w:pPr>
              <w:spacing w:before="120" w:after="120"/>
              <w:ind w:firstLine="312"/>
              <w:jc w:val="both"/>
              <w:rPr>
                <w:spacing w:val="2"/>
                <w:sz w:val="28"/>
                <w:szCs w:val="28"/>
                <w:lang w:val="nl-NL"/>
              </w:rPr>
            </w:pPr>
          </w:p>
        </w:tc>
        <w:tc>
          <w:tcPr>
            <w:tcW w:w="5245" w:type="dxa"/>
            <w:vAlign w:val="center"/>
          </w:tcPr>
          <w:p w14:paraId="2EE496CC" w14:textId="77777777" w:rsidR="00BB1894" w:rsidRDefault="00881D86" w:rsidP="00CD044F">
            <w:pPr>
              <w:spacing w:before="120" w:after="120"/>
              <w:jc w:val="both"/>
              <w:rPr>
                <w:spacing w:val="2"/>
                <w:sz w:val="28"/>
                <w:szCs w:val="28"/>
                <w:lang w:val="nl-NL"/>
              </w:rPr>
            </w:pPr>
            <w:r>
              <w:rPr>
                <w:spacing w:val="2"/>
                <w:sz w:val="28"/>
                <w:szCs w:val="28"/>
                <w:lang w:val="nl-NL"/>
              </w:rPr>
              <w:lastRenderedPageBreak/>
              <w:t>- Nội dung này phù hợp với chỉ đạo của Thủ tướng Chính phủ</w:t>
            </w:r>
            <w:r w:rsidR="00BB1894">
              <w:rPr>
                <w:spacing w:val="2"/>
                <w:sz w:val="28"/>
                <w:szCs w:val="28"/>
                <w:lang w:val="nl-NL"/>
              </w:rPr>
              <w:t xml:space="preserve">. </w:t>
            </w:r>
          </w:p>
          <w:p w14:paraId="15ABF2FB" w14:textId="0E7CF764" w:rsidR="00A56546" w:rsidRPr="00B25DF5" w:rsidRDefault="00BB1894" w:rsidP="00CD044F">
            <w:pPr>
              <w:spacing w:before="120" w:after="120"/>
              <w:jc w:val="both"/>
              <w:rPr>
                <w:spacing w:val="2"/>
                <w:sz w:val="28"/>
                <w:szCs w:val="28"/>
                <w:lang w:val="nl-NL"/>
              </w:rPr>
            </w:pPr>
            <w:r>
              <w:rPr>
                <w:spacing w:val="2"/>
                <w:sz w:val="28"/>
                <w:szCs w:val="28"/>
                <w:lang w:val="nl-NL"/>
              </w:rPr>
              <w:t xml:space="preserve">- Phù hợp với chỉ đạo của Ủy ban nhân dân thành phố tiếp tục </w:t>
            </w:r>
            <w:r>
              <w:rPr>
                <w:sz w:val="28"/>
                <w:szCs w:val="28"/>
                <w:lang w:val="nl-NL" w:eastAsia="ja-JP"/>
              </w:rPr>
              <w:t>tiếp tục triển khai có hiệu quả công tác cải cách thủ tục hành chính, 100% thủ tục hành chính được công khai, tiếp nhận và trả kết quả giải quyết thủ tục hành chính</w:t>
            </w:r>
            <w:r>
              <w:rPr>
                <w:sz w:val="28"/>
                <w:szCs w:val="28"/>
                <w:lang w:val="nl-NL" w:eastAsia="ja-JP"/>
              </w:rPr>
              <w:t xml:space="preserve"> trong năm 2026</w:t>
            </w:r>
            <w:r w:rsidR="00881D86">
              <w:rPr>
                <w:spacing w:val="2"/>
                <w:sz w:val="28"/>
                <w:szCs w:val="28"/>
                <w:lang w:val="nl-NL"/>
              </w:rPr>
              <w:t>.</w:t>
            </w:r>
          </w:p>
        </w:tc>
      </w:tr>
    </w:tbl>
    <w:p w14:paraId="4BEDFAC7" w14:textId="60297E05" w:rsidR="001E2764" w:rsidRPr="00F97437" w:rsidRDefault="001E2764" w:rsidP="006313CD">
      <w:pPr>
        <w:spacing w:before="120" w:after="120"/>
        <w:ind w:firstLine="567"/>
        <w:jc w:val="both"/>
        <w:rPr>
          <w:lang w:val="nl-NL"/>
        </w:rPr>
      </w:pPr>
    </w:p>
    <w:sectPr w:rsidR="001E2764" w:rsidRPr="00F97437" w:rsidSect="00336640">
      <w:headerReference w:type="default" r:id="rId8"/>
      <w:footerReference w:type="even" r:id="rId9"/>
      <w:footerReference w:type="default" r:id="rId10"/>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9FF1" w14:textId="77777777" w:rsidR="00A15251" w:rsidRDefault="00A15251">
      <w:r>
        <w:separator/>
      </w:r>
    </w:p>
  </w:endnote>
  <w:endnote w:type="continuationSeparator" w:id="0">
    <w:p w14:paraId="2F88AAAA" w14:textId="77777777" w:rsidR="00A15251" w:rsidRDefault="00A1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6C9B" w14:textId="77777777" w:rsidR="00317C40"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317C40" w:rsidRDefault="00317C40" w:rsidP="00213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6CFA" w14:textId="4A861CCA" w:rsidR="00317C40" w:rsidRDefault="00317C40" w:rsidP="008D056E">
    <w:pPr>
      <w:pStyle w:val="Footer"/>
      <w:jc w:val="center"/>
    </w:pPr>
  </w:p>
  <w:p w14:paraId="688496C6" w14:textId="77777777" w:rsidR="00317C40" w:rsidRDefault="00317C40" w:rsidP="00213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6F5F" w14:textId="77777777" w:rsidR="00A15251" w:rsidRDefault="00A15251">
      <w:r>
        <w:separator/>
      </w:r>
    </w:p>
  </w:footnote>
  <w:footnote w:type="continuationSeparator" w:id="0">
    <w:p w14:paraId="24A282D5" w14:textId="77777777" w:rsidR="00A15251" w:rsidRDefault="00A1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6607F832" w:rsidR="004F6653" w:rsidRDefault="004F6653">
        <w:pPr>
          <w:pStyle w:val="Header"/>
          <w:jc w:val="center"/>
        </w:pPr>
        <w:r>
          <w:fldChar w:fldCharType="begin"/>
        </w:r>
        <w:r>
          <w:instrText xml:space="preserve"> PAGE   \* MERGEFORMAT </w:instrText>
        </w:r>
        <w:r>
          <w:fldChar w:fldCharType="separate"/>
        </w:r>
        <w:r w:rsidR="00B76CFA">
          <w:rPr>
            <w:noProof/>
          </w:rPr>
          <w:t>2</w:t>
        </w:r>
        <w:r>
          <w:rPr>
            <w:noProof/>
          </w:rPr>
          <w:fldChar w:fldCharType="end"/>
        </w:r>
      </w:p>
    </w:sdtContent>
  </w:sdt>
  <w:p w14:paraId="2B6446CB" w14:textId="77777777" w:rsidR="004F6653" w:rsidRDefault="004F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A7B"/>
    <w:multiLevelType w:val="hybridMultilevel"/>
    <w:tmpl w:val="060E9120"/>
    <w:lvl w:ilvl="0" w:tplc="8B48C89E">
      <w:numFmt w:val="bullet"/>
      <w:lvlText w:val="-"/>
      <w:lvlJc w:val="left"/>
      <w:pPr>
        <w:ind w:left="392" w:hanging="360"/>
      </w:pPr>
      <w:rPr>
        <w:rFonts w:ascii="Times New Roman" w:eastAsia="Times New Roman"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 w15:restartNumberingAfterBreak="0">
    <w:nsid w:val="16B55872"/>
    <w:multiLevelType w:val="hybridMultilevel"/>
    <w:tmpl w:val="2B2EF29A"/>
    <w:lvl w:ilvl="0" w:tplc="F59AAF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9505D"/>
    <w:multiLevelType w:val="hybridMultilevel"/>
    <w:tmpl w:val="E4426DC2"/>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81ED2"/>
    <w:multiLevelType w:val="hybridMultilevel"/>
    <w:tmpl w:val="2102BB98"/>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15:restartNumberingAfterBreak="0">
    <w:nsid w:val="79C96B89"/>
    <w:multiLevelType w:val="hybridMultilevel"/>
    <w:tmpl w:val="58DC43E4"/>
    <w:lvl w:ilvl="0" w:tplc="252ECCB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B5255E0"/>
    <w:multiLevelType w:val="hybridMultilevel"/>
    <w:tmpl w:val="ABB01124"/>
    <w:lvl w:ilvl="0" w:tplc="4D1ECB1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2487939">
    <w:abstractNumId w:val="3"/>
  </w:num>
  <w:num w:numId="2" w16cid:durableId="899906863">
    <w:abstractNumId w:val="0"/>
  </w:num>
  <w:num w:numId="3" w16cid:durableId="2113670321">
    <w:abstractNumId w:val="2"/>
  </w:num>
  <w:num w:numId="4" w16cid:durableId="1317955001">
    <w:abstractNumId w:val="4"/>
  </w:num>
  <w:num w:numId="5" w16cid:durableId="1832090041">
    <w:abstractNumId w:val="1"/>
  </w:num>
  <w:num w:numId="6" w16cid:durableId="129475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36"/>
    <w:rsid w:val="00001C08"/>
    <w:rsid w:val="00004D4D"/>
    <w:rsid w:val="00012F2B"/>
    <w:rsid w:val="00013CB0"/>
    <w:rsid w:val="0002399C"/>
    <w:rsid w:val="0003012F"/>
    <w:rsid w:val="00032F1A"/>
    <w:rsid w:val="00060E63"/>
    <w:rsid w:val="00070F8C"/>
    <w:rsid w:val="00090362"/>
    <w:rsid w:val="00095218"/>
    <w:rsid w:val="000A24CF"/>
    <w:rsid w:val="000A2EF7"/>
    <w:rsid w:val="000A48A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77D00"/>
    <w:rsid w:val="00186CEF"/>
    <w:rsid w:val="00195F70"/>
    <w:rsid w:val="00196B21"/>
    <w:rsid w:val="001A680F"/>
    <w:rsid w:val="001B3BEA"/>
    <w:rsid w:val="001C0D53"/>
    <w:rsid w:val="001C23D5"/>
    <w:rsid w:val="001D162F"/>
    <w:rsid w:val="001E2764"/>
    <w:rsid w:val="001E3FDF"/>
    <w:rsid w:val="001E534C"/>
    <w:rsid w:val="001F095A"/>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17C40"/>
    <w:rsid w:val="00321500"/>
    <w:rsid w:val="00322637"/>
    <w:rsid w:val="003228B2"/>
    <w:rsid w:val="00322E7A"/>
    <w:rsid w:val="00323FE5"/>
    <w:rsid w:val="00336640"/>
    <w:rsid w:val="0035478A"/>
    <w:rsid w:val="003775AD"/>
    <w:rsid w:val="00382ADE"/>
    <w:rsid w:val="0038327A"/>
    <w:rsid w:val="0039531D"/>
    <w:rsid w:val="003A7F95"/>
    <w:rsid w:val="003B66F9"/>
    <w:rsid w:val="003C068F"/>
    <w:rsid w:val="003C3464"/>
    <w:rsid w:val="003E344E"/>
    <w:rsid w:val="003E6C45"/>
    <w:rsid w:val="003F247B"/>
    <w:rsid w:val="003F3280"/>
    <w:rsid w:val="003F3FBB"/>
    <w:rsid w:val="003F77D2"/>
    <w:rsid w:val="00400669"/>
    <w:rsid w:val="00405292"/>
    <w:rsid w:val="0040703B"/>
    <w:rsid w:val="00407B3F"/>
    <w:rsid w:val="00410EAE"/>
    <w:rsid w:val="0041292B"/>
    <w:rsid w:val="00413CBA"/>
    <w:rsid w:val="0041621E"/>
    <w:rsid w:val="00426730"/>
    <w:rsid w:val="00435FDC"/>
    <w:rsid w:val="00442010"/>
    <w:rsid w:val="00442434"/>
    <w:rsid w:val="00450ACF"/>
    <w:rsid w:val="004638E4"/>
    <w:rsid w:val="00463DC1"/>
    <w:rsid w:val="004666D4"/>
    <w:rsid w:val="00470E0E"/>
    <w:rsid w:val="0047301D"/>
    <w:rsid w:val="0047408D"/>
    <w:rsid w:val="00474583"/>
    <w:rsid w:val="0048252F"/>
    <w:rsid w:val="0049342D"/>
    <w:rsid w:val="004A3638"/>
    <w:rsid w:val="004A4AEA"/>
    <w:rsid w:val="004A62E4"/>
    <w:rsid w:val="004B469B"/>
    <w:rsid w:val="004B486C"/>
    <w:rsid w:val="004D009D"/>
    <w:rsid w:val="004E2616"/>
    <w:rsid w:val="004F3F2C"/>
    <w:rsid w:val="004F6653"/>
    <w:rsid w:val="00502437"/>
    <w:rsid w:val="00507425"/>
    <w:rsid w:val="00525BCB"/>
    <w:rsid w:val="00530902"/>
    <w:rsid w:val="00533162"/>
    <w:rsid w:val="005335A4"/>
    <w:rsid w:val="00540382"/>
    <w:rsid w:val="00543890"/>
    <w:rsid w:val="00553BD9"/>
    <w:rsid w:val="005613BC"/>
    <w:rsid w:val="005663DE"/>
    <w:rsid w:val="00567250"/>
    <w:rsid w:val="00573766"/>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48D0"/>
    <w:rsid w:val="00687986"/>
    <w:rsid w:val="00687F7B"/>
    <w:rsid w:val="00692A0F"/>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2915"/>
    <w:rsid w:val="007231AD"/>
    <w:rsid w:val="0072498A"/>
    <w:rsid w:val="0072507A"/>
    <w:rsid w:val="0072526C"/>
    <w:rsid w:val="007325AF"/>
    <w:rsid w:val="00737EA7"/>
    <w:rsid w:val="0074263F"/>
    <w:rsid w:val="0074690E"/>
    <w:rsid w:val="007545A8"/>
    <w:rsid w:val="00763334"/>
    <w:rsid w:val="0076365D"/>
    <w:rsid w:val="00764C25"/>
    <w:rsid w:val="00766E86"/>
    <w:rsid w:val="00773236"/>
    <w:rsid w:val="007751D7"/>
    <w:rsid w:val="0077714A"/>
    <w:rsid w:val="00780D62"/>
    <w:rsid w:val="007821D2"/>
    <w:rsid w:val="00786542"/>
    <w:rsid w:val="007A45E3"/>
    <w:rsid w:val="007B3921"/>
    <w:rsid w:val="007B3A14"/>
    <w:rsid w:val="007B3D26"/>
    <w:rsid w:val="007B76A8"/>
    <w:rsid w:val="007C532E"/>
    <w:rsid w:val="007C5FF8"/>
    <w:rsid w:val="007D43C9"/>
    <w:rsid w:val="007E43FE"/>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2BFB"/>
    <w:rsid w:val="00874E66"/>
    <w:rsid w:val="008816A2"/>
    <w:rsid w:val="00881D86"/>
    <w:rsid w:val="008B1241"/>
    <w:rsid w:val="008B1518"/>
    <w:rsid w:val="008B72DB"/>
    <w:rsid w:val="008C6BCF"/>
    <w:rsid w:val="008D2BA5"/>
    <w:rsid w:val="008E1A78"/>
    <w:rsid w:val="008E620E"/>
    <w:rsid w:val="008F5F0D"/>
    <w:rsid w:val="00901C26"/>
    <w:rsid w:val="00904C00"/>
    <w:rsid w:val="00917580"/>
    <w:rsid w:val="00923FE3"/>
    <w:rsid w:val="00940D9F"/>
    <w:rsid w:val="009418DA"/>
    <w:rsid w:val="00941FF1"/>
    <w:rsid w:val="0094579E"/>
    <w:rsid w:val="00947836"/>
    <w:rsid w:val="009656D5"/>
    <w:rsid w:val="00967749"/>
    <w:rsid w:val="00976B40"/>
    <w:rsid w:val="00985CC7"/>
    <w:rsid w:val="009940AD"/>
    <w:rsid w:val="009A2CA2"/>
    <w:rsid w:val="009A38F5"/>
    <w:rsid w:val="009A4362"/>
    <w:rsid w:val="009A6D0D"/>
    <w:rsid w:val="009B587A"/>
    <w:rsid w:val="009B5E47"/>
    <w:rsid w:val="009C1D92"/>
    <w:rsid w:val="009C3580"/>
    <w:rsid w:val="009C46D6"/>
    <w:rsid w:val="009D18E9"/>
    <w:rsid w:val="009D3186"/>
    <w:rsid w:val="009D3D6E"/>
    <w:rsid w:val="009E324C"/>
    <w:rsid w:val="009E5096"/>
    <w:rsid w:val="009F6F2B"/>
    <w:rsid w:val="00A00216"/>
    <w:rsid w:val="00A10003"/>
    <w:rsid w:val="00A15100"/>
    <w:rsid w:val="00A15251"/>
    <w:rsid w:val="00A33EE1"/>
    <w:rsid w:val="00A3515A"/>
    <w:rsid w:val="00A42643"/>
    <w:rsid w:val="00A5059A"/>
    <w:rsid w:val="00A52E39"/>
    <w:rsid w:val="00A53F9B"/>
    <w:rsid w:val="00A5494C"/>
    <w:rsid w:val="00A56083"/>
    <w:rsid w:val="00A56546"/>
    <w:rsid w:val="00A63476"/>
    <w:rsid w:val="00A70F04"/>
    <w:rsid w:val="00A719D2"/>
    <w:rsid w:val="00A72C82"/>
    <w:rsid w:val="00A73672"/>
    <w:rsid w:val="00A754CD"/>
    <w:rsid w:val="00A776AB"/>
    <w:rsid w:val="00A83692"/>
    <w:rsid w:val="00A87BC1"/>
    <w:rsid w:val="00A9415D"/>
    <w:rsid w:val="00AA11F8"/>
    <w:rsid w:val="00AA467F"/>
    <w:rsid w:val="00AB2A49"/>
    <w:rsid w:val="00AB46AD"/>
    <w:rsid w:val="00AB4F0B"/>
    <w:rsid w:val="00AC7289"/>
    <w:rsid w:val="00AD2C0E"/>
    <w:rsid w:val="00AD5483"/>
    <w:rsid w:val="00AE44DC"/>
    <w:rsid w:val="00AF2396"/>
    <w:rsid w:val="00AF2EA1"/>
    <w:rsid w:val="00AF530E"/>
    <w:rsid w:val="00B074FD"/>
    <w:rsid w:val="00B13D3E"/>
    <w:rsid w:val="00B161FF"/>
    <w:rsid w:val="00B219A4"/>
    <w:rsid w:val="00B22158"/>
    <w:rsid w:val="00B25DF5"/>
    <w:rsid w:val="00B36237"/>
    <w:rsid w:val="00B37424"/>
    <w:rsid w:val="00B4442E"/>
    <w:rsid w:val="00B4736E"/>
    <w:rsid w:val="00B661B8"/>
    <w:rsid w:val="00B749E7"/>
    <w:rsid w:val="00B76CFA"/>
    <w:rsid w:val="00B8066F"/>
    <w:rsid w:val="00B8388B"/>
    <w:rsid w:val="00B847D4"/>
    <w:rsid w:val="00B85635"/>
    <w:rsid w:val="00B86DD7"/>
    <w:rsid w:val="00B96CBE"/>
    <w:rsid w:val="00B977BC"/>
    <w:rsid w:val="00BA0AC2"/>
    <w:rsid w:val="00BA184F"/>
    <w:rsid w:val="00BA4F52"/>
    <w:rsid w:val="00BB1894"/>
    <w:rsid w:val="00BB2B9E"/>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1C47"/>
    <w:rsid w:val="00CC212F"/>
    <w:rsid w:val="00CC416C"/>
    <w:rsid w:val="00CC513B"/>
    <w:rsid w:val="00CD044F"/>
    <w:rsid w:val="00CD344B"/>
    <w:rsid w:val="00CE142A"/>
    <w:rsid w:val="00CE1EBB"/>
    <w:rsid w:val="00CF01BA"/>
    <w:rsid w:val="00CF07C3"/>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4BD3"/>
    <w:rsid w:val="00D65F7B"/>
    <w:rsid w:val="00D71DA5"/>
    <w:rsid w:val="00D857D9"/>
    <w:rsid w:val="00D93ABF"/>
    <w:rsid w:val="00DB0831"/>
    <w:rsid w:val="00DB4A1F"/>
    <w:rsid w:val="00DB5179"/>
    <w:rsid w:val="00DD43BA"/>
    <w:rsid w:val="00DD7F66"/>
    <w:rsid w:val="00DE1058"/>
    <w:rsid w:val="00DE1C97"/>
    <w:rsid w:val="00DE1E5D"/>
    <w:rsid w:val="00DE609A"/>
    <w:rsid w:val="00DF653C"/>
    <w:rsid w:val="00DF7285"/>
    <w:rsid w:val="00E028FD"/>
    <w:rsid w:val="00E06CD7"/>
    <w:rsid w:val="00E14F8B"/>
    <w:rsid w:val="00E25C80"/>
    <w:rsid w:val="00E265FF"/>
    <w:rsid w:val="00E27F39"/>
    <w:rsid w:val="00E3264A"/>
    <w:rsid w:val="00E3414A"/>
    <w:rsid w:val="00E41D18"/>
    <w:rsid w:val="00E46E5A"/>
    <w:rsid w:val="00E560AC"/>
    <w:rsid w:val="00E57C42"/>
    <w:rsid w:val="00E619DC"/>
    <w:rsid w:val="00E66DAF"/>
    <w:rsid w:val="00E70462"/>
    <w:rsid w:val="00E71D77"/>
    <w:rsid w:val="00E81F1E"/>
    <w:rsid w:val="00E854FD"/>
    <w:rsid w:val="00E90CF8"/>
    <w:rsid w:val="00EB1B90"/>
    <w:rsid w:val="00EB3827"/>
    <w:rsid w:val="00EC6583"/>
    <w:rsid w:val="00ED1A23"/>
    <w:rsid w:val="00ED24CE"/>
    <w:rsid w:val="00ED375E"/>
    <w:rsid w:val="00EE6508"/>
    <w:rsid w:val="00EF1097"/>
    <w:rsid w:val="00EF2CA6"/>
    <w:rsid w:val="00F02F6C"/>
    <w:rsid w:val="00F0415E"/>
    <w:rsid w:val="00F135AC"/>
    <w:rsid w:val="00F13A20"/>
    <w:rsid w:val="00F22563"/>
    <w:rsid w:val="00F2511E"/>
    <w:rsid w:val="00F36777"/>
    <w:rsid w:val="00F47733"/>
    <w:rsid w:val="00F47D68"/>
    <w:rsid w:val="00F502A8"/>
    <w:rsid w:val="00F54B03"/>
    <w:rsid w:val="00F56F0A"/>
    <w:rsid w:val="00F7100C"/>
    <w:rsid w:val="00F75B67"/>
    <w:rsid w:val="00F864A8"/>
    <w:rsid w:val="00F97437"/>
    <w:rsid w:val="00FA35C9"/>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64BD3"/>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D64BD3"/>
    <w:pPr>
      <w:widowControl w:val="0"/>
      <w:shd w:val="clear" w:color="auto" w:fill="FFFFFF"/>
      <w:spacing w:before="240" w:line="369" w:lineRule="exact"/>
      <w:jc w:val="both"/>
    </w:pPr>
    <w:rPr>
      <w:rFonts w:cstheme="minorBidi"/>
      <w:sz w:val="26"/>
      <w:szCs w:val="26"/>
    </w:rPr>
  </w:style>
  <w:style w:type="paragraph" w:styleId="NormalWeb">
    <w:name w:val="Normal (Web)"/>
    <w:aliases w:val="Normal (Web) Char"/>
    <w:basedOn w:val="Normal"/>
    <w:uiPriority w:val="99"/>
    <w:unhideWhenUsed/>
    <w:rsid w:val="007229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44C5-9556-47E1-A597-B4F602EA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Thảo Hoàng Phương</cp:lastModifiedBy>
  <cp:revision>53</cp:revision>
  <cp:lastPrinted>2025-05-23T10:10:00Z</cp:lastPrinted>
  <dcterms:created xsi:type="dcterms:W3CDTF">2025-10-23T11:07:00Z</dcterms:created>
  <dcterms:modified xsi:type="dcterms:W3CDTF">2026-05-18T11:21:00Z</dcterms:modified>
</cp:coreProperties>
</file>