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1" w:type="dxa"/>
        <w:tblLook w:val="0000" w:firstRow="0" w:lastRow="0" w:firstColumn="0" w:lastColumn="0" w:noHBand="0" w:noVBand="0"/>
      </w:tblPr>
      <w:tblGrid>
        <w:gridCol w:w="7088"/>
        <w:gridCol w:w="7513"/>
      </w:tblGrid>
      <w:tr w:rsidR="00AE39C8" w:rsidRPr="00AE39C8" w14:paraId="5153BFF2" w14:textId="77777777" w:rsidTr="00DF3DC8">
        <w:trPr>
          <w:trHeight w:val="1124"/>
        </w:trPr>
        <w:tc>
          <w:tcPr>
            <w:tcW w:w="7088" w:type="dxa"/>
          </w:tcPr>
          <w:p w14:paraId="25FB16BD" w14:textId="77777777" w:rsidR="00DF3DC8" w:rsidRPr="00AE39C8" w:rsidRDefault="00DF3DC8" w:rsidP="003A4515">
            <w:r w:rsidRPr="00AE39C8">
              <w:t>UBND THÀNH PHỐ HẢI PHÒNG</w:t>
            </w:r>
          </w:p>
          <w:p w14:paraId="2CA413CC" w14:textId="1DFDCB7A" w:rsidR="00DF3DC8" w:rsidRPr="00AE39C8" w:rsidRDefault="00DF3DC8" w:rsidP="003A4515">
            <w:pPr>
              <w:rPr>
                <w:b/>
                <w:bCs/>
              </w:rPr>
            </w:pPr>
            <w:r w:rsidRPr="00AE39C8">
              <w:rPr>
                <w:b/>
                <w:bCs/>
              </w:rPr>
              <w:t>SỞ KHOA HỌC VÀ CÔNG NGHỆ</w:t>
            </w:r>
          </w:p>
          <w:p w14:paraId="1A59759A" w14:textId="2C73BEFE" w:rsidR="00DF3DC8" w:rsidRPr="00AE39C8" w:rsidRDefault="00583FB1" w:rsidP="00DF3DC8">
            <w:pPr>
              <w:spacing w:before="120" w:after="120"/>
              <w:rPr>
                <w:sz w:val="26"/>
                <w:szCs w:val="24"/>
                <w:lang w:val="vi-VN"/>
              </w:rPr>
            </w:pPr>
            <w:r w:rsidRPr="00AE39C8">
              <w:rPr>
                <w:noProof/>
                <w:sz w:val="26"/>
                <w:szCs w:val="24"/>
              </w:rPr>
              <mc:AlternateContent>
                <mc:Choice Requires="wps">
                  <w:drawing>
                    <wp:anchor distT="4294967295" distB="4294967295" distL="114300" distR="114300" simplePos="0" relativeHeight="251657216" behindDoc="0" locked="0" layoutInCell="1" allowOverlap="1" wp14:anchorId="78092C2A" wp14:editId="2735FCED">
                      <wp:simplePos x="0" y="0"/>
                      <wp:positionH relativeFrom="column">
                        <wp:posOffset>1774825</wp:posOffset>
                      </wp:positionH>
                      <wp:positionV relativeFrom="paragraph">
                        <wp:posOffset>13335</wp:posOffset>
                      </wp:positionV>
                      <wp:extent cx="893445" cy="0"/>
                      <wp:effectExtent l="0" t="0" r="0" b="0"/>
                      <wp:wrapNone/>
                      <wp:docPr id="122998064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3445"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311BCF65"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75pt,1.05pt" to="210.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" strokeweight=".5pt">
                      <v:stroke joinstyle="miter"/>
                      <o:lock v:ext="edit" shapetype="f"/>
                    </v:line>
                  </w:pict>
                </mc:Fallback>
              </mc:AlternateContent>
            </w:r>
          </w:p>
          <w:p w14:paraId="46431681" w14:textId="3A6013D8" w:rsidR="00DF3DC8" w:rsidRPr="00AE39C8" w:rsidRDefault="00DF3DC8" w:rsidP="003A4515"/>
        </w:tc>
        <w:tc>
          <w:tcPr>
            <w:tcW w:w="7513" w:type="dxa"/>
          </w:tcPr>
          <w:p w14:paraId="16C322AA" w14:textId="77777777" w:rsidR="00DF3DC8" w:rsidRPr="00AE39C8" w:rsidRDefault="00DF3DC8" w:rsidP="003A4515">
            <w:pPr>
              <w:rPr>
                <w:b/>
                <w:bCs/>
              </w:rPr>
            </w:pPr>
            <w:r w:rsidRPr="00AE39C8">
              <w:rPr>
                <w:b/>
                <w:bCs/>
              </w:rPr>
              <w:t>CỘNG HOÀ XÃ HỘI CHỦ NGHĨA VIỆT NAM</w:t>
            </w:r>
          </w:p>
          <w:p w14:paraId="57159864" w14:textId="77777777" w:rsidR="00DF3DC8" w:rsidRPr="00AE39C8" w:rsidRDefault="00DF3DC8" w:rsidP="003A4515">
            <w:pPr>
              <w:rPr>
                <w:b/>
                <w:bCs/>
                <w:sz w:val="26"/>
                <w:szCs w:val="24"/>
              </w:rPr>
            </w:pPr>
            <w:r w:rsidRPr="00AE39C8">
              <w:rPr>
                <w:b/>
                <w:bCs/>
                <w:sz w:val="26"/>
                <w:szCs w:val="24"/>
              </w:rPr>
              <w:t>Độc lập – Tự do – Hạnh phúc</w:t>
            </w:r>
          </w:p>
          <w:p w14:paraId="72841CDA" w14:textId="76C8A11A" w:rsidR="00DF3DC8" w:rsidRPr="00AE39C8" w:rsidRDefault="00DF3DC8" w:rsidP="003A4515">
            <w:pPr>
              <w:spacing w:before="120"/>
              <w:rPr>
                <w:i/>
                <w:iCs/>
                <w:sz w:val="26"/>
                <w:szCs w:val="24"/>
              </w:rPr>
            </w:pPr>
            <w:r w:rsidRPr="00AE39C8">
              <w:rPr>
                <w:i/>
                <w:iCs/>
                <w:noProof/>
                <w:sz w:val="26"/>
                <w:szCs w:val="24"/>
              </w:rPr>
              <mc:AlternateContent>
                <mc:Choice Requires="wps">
                  <w:drawing>
                    <wp:anchor distT="4294967295" distB="4294967295" distL="114300" distR="114300" simplePos="0" relativeHeight="251658240" behindDoc="0" locked="0" layoutInCell="1" allowOverlap="1" wp14:anchorId="12F04105" wp14:editId="0B523FAF">
                      <wp:simplePos x="0" y="0"/>
                      <wp:positionH relativeFrom="column">
                        <wp:posOffset>1280160</wp:posOffset>
                      </wp:positionH>
                      <wp:positionV relativeFrom="paragraph">
                        <wp:posOffset>13335</wp:posOffset>
                      </wp:positionV>
                      <wp:extent cx="2105660" cy="0"/>
                      <wp:effectExtent l="0" t="0" r="0" b="0"/>
                      <wp:wrapNone/>
                      <wp:docPr id="137216145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660" cy="0"/>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30B8EBD8"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1.05pt" to="266.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" strokeweight=".5pt">
                      <v:stroke joinstyle="miter"/>
                      <o:lock v:ext="edit" shapetype="f"/>
                    </v:line>
                  </w:pict>
                </mc:Fallback>
              </mc:AlternateContent>
            </w:r>
            <w:r w:rsidRPr="00AE39C8">
              <w:rPr>
                <w:i/>
                <w:iCs/>
                <w:sz w:val="26"/>
                <w:szCs w:val="24"/>
              </w:rPr>
              <w:t xml:space="preserve">Hải Phòng, ngày        tháng </w:t>
            </w:r>
            <w:r w:rsidR="00E574A7">
              <w:rPr>
                <w:i/>
                <w:iCs/>
                <w:sz w:val="26"/>
                <w:szCs w:val="24"/>
              </w:rPr>
              <w:t xml:space="preserve"> 4 </w:t>
            </w:r>
            <w:r w:rsidRPr="00AE39C8">
              <w:rPr>
                <w:i/>
                <w:iCs/>
                <w:sz w:val="26"/>
                <w:szCs w:val="24"/>
                <w:lang w:val="vi-VN"/>
              </w:rPr>
              <w:t xml:space="preserve"> </w:t>
            </w:r>
            <w:r w:rsidRPr="00AE39C8">
              <w:rPr>
                <w:i/>
                <w:iCs/>
                <w:sz w:val="26"/>
                <w:szCs w:val="24"/>
              </w:rPr>
              <w:t>năm 2026</w:t>
            </w:r>
          </w:p>
        </w:tc>
      </w:tr>
    </w:tbl>
    <w:p w14:paraId="3290CB12" w14:textId="2474FCB3" w:rsidR="00DF3DC8" w:rsidRPr="00AE39C8" w:rsidRDefault="00DF3DC8">
      <w:pPr>
        <w:rPr>
          <w:b/>
          <w:bCs/>
          <w:sz w:val="28"/>
          <w:szCs w:val="28"/>
          <w:lang w:val="vi-VN"/>
        </w:rPr>
      </w:pPr>
      <w:r w:rsidRPr="00AE39C8">
        <w:rPr>
          <w:b/>
          <w:bCs/>
          <w:sz w:val="28"/>
          <w:szCs w:val="28"/>
          <w:lang w:val="vi-VN"/>
        </w:rPr>
        <w:t>BẢN SO SÁNH, THUYẾT MINH DỰ THẢO VĂN BẢN QUY PHẠM PHÁP LUẬT</w:t>
      </w:r>
    </w:p>
    <w:p w14:paraId="27525C2F" w14:textId="77777777" w:rsidR="00DF3DC8" w:rsidRPr="00AE39C8" w:rsidRDefault="00DF3DC8" w:rsidP="00DF3DC8">
      <w:pPr>
        <w:rPr>
          <w:b/>
          <w:bCs/>
          <w:sz w:val="28"/>
          <w:szCs w:val="28"/>
          <w:lang w:val="vi-VN"/>
        </w:rPr>
      </w:pPr>
    </w:p>
    <w:tbl>
      <w:tblPr>
        <w:tblStyle w:val="TableGrid"/>
        <w:tblW w:w="0" w:type="auto"/>
        <w:tblLook w:val="04A0" w:firstRow="1" w:lastRow="0" w:firstColumn="1" w:lastColumn="0" w:noHBand="0" w:noVBand="1"/>
      </w:tblPr>
      <w:tblGrid>
        <w:gridCol w:w="590"/>
        <w:gridCol w:w="4952"/>
        <w:gridCol w:w="3961"/>
        <w:gridCol w:w="5057"/>
      </w:tblGrid>
      <w:tr w:rsidR="00AE39C8" w:rsidRPr="00AE39C8" w14:paraId="4DF8A87B" w14:textId="77777777" w:rsidTr="001E1B12">
        <w:trPr>
          <w:trHeight w:val="533"/>
        </w:trPr>
        <w:tc>
          <w:tcPr>
            <w:tcW w:w="590" w:type="dxa"/>
            <w:vAlign w:val="center"/>
          </w:tcPr>
          <w:p w14:paraId="20F5ED8B" w14:textId="2D18266B" w:rsidR="00DF3DC8" w:rsidRPr="00AE39C8" w:rsidRDefault="00DF3DC8" w:rsidP="00AD28AE">
            <w:pPr>
              <w:rPr>
                <w:b/>
                <w:bCs/>
                <w:sz w:val="28"/>
                <w:szCs w:val="28"/>
                <w:lang w:val="vi-VN"/>
              </w:rPr>
            </w:pPr>
            <w:r w:rsidRPr="00AE39C8">
              <w:rPr>
                <w:b/>
                <w:bCs/>
                <w:sz w:val="28"/>
                <w:szCs w:val="28"/>
                <w:lang w:val="vi-VN"/>
              </w:rPr>
              <w:t>TT</w:t>
            </w:r>
          </w:p>
        </w:tc>
        <w:tc>
          <w:tcPr>
            <w:tcW w:w="4952" w:type="dxa"/>
            <w:vAlign w:val="center"/>
          </w:tcPr>
          <w:p w14:paraId="15A6A6E5" w14:textId="60FC4395" w:rsidR="00DF3DC8" w:rsidRPr="00AE39C8" w:rsidRDefault="00866A22" w:rsidP="00AD28AE">
            <w:pPr>
              <w:rPr>
                <w:b/>
                <w:bCs/>
                <w:sz w:val="28"/>
                <w:szCs w:val="28"/>
                <w:lang w:val="vi-VN"/>
              </w:rPr>
            </w:pPr>
            <w:r w:rsidRPr="00AE39C8">
              <w:rPr>
                <w:b/>
                <w:bCs/>
                <w:sz w:val="28"/>
                <w:szCs w:val="28"/>
              </w:rPr>
              <w:t xml:space="preserve">VĂN BẢN </w:t>
            </w:r>
            <w:r w:rsidR="00DF3DC8" w:rsidRPr="00AE39C8">
              <w:rPr>
                <w:b/>
                <w:bCs/>
                <w:sz w:val="28"/>
                <w:szCs w:val="28"/>
                <w:lang w:val="vi-VN"/>
              </w:rPr>
              <w:t xml:space="preserve">QUY PHẠM </w:t>
            </w:r>
            <w:r w:rsidRPr="00AE39C8">
              <w:rPr>
                <w:b/>
                <w:bCs/>
                <w:sz w:val="28"/>
                <w:szCs w:val="28"/>
              </w:rPr>
              <w:br/>
            </w:r>
            <w:r w:rsidR="00DF3DC8" w:rsidRPr="00AE39C8">
              <w:rPr>
                <w:b/>
                <w:bCs/>
                <w:sz w:val="28"/>
                <w:szCs w:val="28"/>
                <w:lang w:val="vi-VN"/>
              </w:rPr>
              <w:t xml:space="preserve">PHÁP LUẬT </w:t>
            </w:r>
            <w:r w:rsidRPr="00AE39C8">
              <w:rPr>
                <w:b/>
                <w:bCs/>
                <w:sz w:val="28"/>
                <w:szCs w:val="28"/>
              </w:rPr>
              <w:t>H</w:t>
            </w:r>
            <w:r w:rsidR="00DF3DC8" w:rsidRPr="00AE39C8">
              <w:rPr>
                <w:b/>
                <w:bCs/>
                <w:sz w:val="28"/>
                <w:szCs w:val="28"/>
                <w:lang w:val="vi-VN"/>
              </w:rPr>
              <w:t>IỆN HÀNH</w:t>
            </w:r>
          </w:p>
        </w:tc>
        <w:tc>
          <w:tcPr>
            <w:tcW w:w="3961" w:type="dxa"/>
            <w:vAlign w:val="center"/>
          </w:tcPr>
          <w:p w14:paraId="355D57EA" w14:textId="3BEE41B9" w:rsidR="00DF3DC8" w:rsidRPr="00AE39C8" w:rsidRDefault="00DF3DC8" w:rsidP="00AD28AE">
            <w:pPr>
              <w:rPr>
                <w:b/>
                <w:bCs/>
                <w:sz w:val="28"/>
                <w:szCs w:val="28"/>
                <w:lang w:val="vi-VN"/>
              </w:rPr>
            </w:pPr>
            <w:r w:rsidRPr="00AE39C8">
              <w:rPr>
                <w:b/>
                <w:bCs/>
                <w:sz w:val="28"/>
                <w:szCs w:val="28"/>
                <w:lang w:val="vi-VN"/>
              </w:rPr>
              <w:t>DỰ THẢO VĂN BẢN</w:t>
            </w:r>
          </w:p>
        </w:tc>
        <w:tc>
          <w:tcPr>
            <w:tcW w:w="5057" w:type="dxa"/>
            <w:vAlign w:val="center"/>
          </w:tcPr>
          <w:p w14:paraId="590272BD" w14:textId="37AD1ABA" w:rsidR="00DF3DC8" w:rsidRPr="00AE39C8" w:rsidRDefault="00DF3DC8" w:rsidP="00AD28AE">
            <w:pPr>
              <w:rPr>
                <w:b/>
                <w:bCs/>
                <w:sz w:val="28"/>
                <w:szCs w:val="28"/>
                <w:lang w:val="vi-VN"/>
              </w:rPr>
            </w:pPr>
            <w:r w:rsidRPr="00AE39C8">
              <w:rPr>
                <w:b/>
                <w:bCs/>
                <w:sz w:val="28"/>
                <w:szCs w:val="28"/>
                <w:lang w:val="vi-VN"/>
              </w:rPr>
              <w:t>THUYẾT MINH</w:t>
            </w:r>
          </w:p>
        </w:tc>
      </w:tr>
      <w:tr w:rsidR="00AE39C8" w:rsidRPr="00AE39C8" w14:paraId="45E4030D" w14:textId="77777777" w:rsidTr="001E1B12">
        <w:tc>
          <w:tcPr>
            <w:tcW w:w="590" w:type="dxa"/>
            <w:vAlign w:val="center"/>
          </w:tcPr>
          <w:p w14:paraId="57645F22" w14:textId="7C1FEF4E" w:rsidR="00AD28AE" w:rsidRPr="00AE39C8" w:rsidRDefault="00AD28AE" w:rsidP="00AD28AE">
            <w:pPr>
              <w:rPr>
                <w:sz w:val="28"/>
                <w:szCs w:val="28"/>
                <w:lang w:val="vi-VN"/>
              </w:rPr>
            </w:pPr>
            <w:r w:rsidRPr="00AE39C8">
              <w:rPr>
                <w:sz w:val="28"/>
                <w:szCs w:val="28"/>
                <w:lang w:val="vi-VN"/>
              </w:rPr>
              <w:t>1</w:t>
            </w:r>
          </w:p>
        </w:tc>
        <w:tc>
          <w:tcPr>
            <w:tcW w:w="4952" w:type="dxa"/>
            <w:vAlign w:val="center"/>
          </w:tcPr>
          <w:p w14:paraId="40A27D22" w14:textId="55AFF67F" w:rsidR="00AD28AE" w:rsidRPr="00AE39C8" w:rsidRDefault="00AD28AE" w:rsidP="00AD28AE">
            <w:pPr>
              <w:jc w:val="both"/>
              <w:rPr>
                <w:sz w:val="28"/>
                <w:szCs w:val="28"/>
              </w:rPr>
            </w:pPr>
            <w:r w:rsidRPr="00AE39C8">
              <w:rPr>
                <w:sz w:val="28"/>
                <w:szCs w:val="28"/>
              </w:rPr>
              <w:t xml:space="preserve">Tên </w:t>
            </w:r>
            <w:r w:rsidR="00B839FE" w:rsidRPr="00AE39C8">
              <w:rPr>
                <w:sz w:val="28"/>
                <w:szCs w:val="28"/>
              </w:rPr>
              <w:t>Quy chế</w:t>
            </w:r>
            <w:r w:rsidRPr="00AE39C8">
              <w:rPr>
                <w:sz w:val="28"/>
                <w:szCs w:val="28"/>
              </w:rPr>
              <w:t xml:space="preserve">: </w:t>
            </w:r>
            <w:r w:rsidR="00B839FE" w:rsidRPr="00AE39C8">
              <w:rPr>
                <w:sz w:val="28"/>
                <w:szCs w:val="28"/>
              </w:rPr>
              <w:t>Quy chế phối hợp phòng, chống xâm phạm quyền sở hữu trí tuệ trên địa bàn thành phố</w:t>
            </w:r>
          </w:p>
        </w:tc>
        <w:tc>
          <w:tcPr>
            <w:tcW w:w="3961" w:type="dxa"/>
            <w:vAlign w:val="center"/>
          </w:tcPr>
          <w:p w14:paraId="34A75CC4" w14:textId="12AAE11E" w:rsidR="00AD28AE" w:rsidRPr="00AE39C8" w:rsidRDefault="00AD28AE" w:rsidP="00AD28AE">
            <w:pPr>
              <w:jc w:val="both"/>
              <w:rPr>
                <w:sz w:val="28"/>
                <w:szCs w:val="28"/>
              </w:rPr>
            </w:pPr>
            <w:r w:rsidRPr="00AE39C8">
              <w:rPr>
                <w:sz w:val="28"/>
                <w:szCs w:val="28"/>
              </w:rPr>
              <w:t xml:space="preserve">Tên </w:t>
            </w:r>
            <w:r w:rsidR="00B839FE" w:rsidRPr="00AE39C8">
              <w:rPr>
                <w:sz w:val="28"/>
                <w:szCs w:val="28"/>
              </w:rPr>
              <w:t>Quy chế</w:t>
            </w:r>
            <w:r w:rsidRPr="00AE39C8">
              <w:rPr>
                <w:sz w:val="28"/>
                <w:szCs w:val="28"/>
              </w:rPr>
              <w:t xml:space="preserve">: </w:t>
            </w:r>
            <w:r w:rsidR="00B839FE" w:rsidRPr="00AE39C8">
              <w:rPr>
                <w:sz w:val="28"/>
                <w:szCs w:val="28"/>
              </w:rPr>
              <w:t>Quy chế phối hợp trong hoạt động thực thi quyền sở hữu trí tuệ trên địa bàn thành phố Hải Phòng</w:t>
            </w:r>
          </w:p>
        </w:tc>
        <w:tc>
          <w:tcPr>
            <w:tcW w:w="5057" w:type="dxa"/>
            <w:vAlign w:val="center"/>
          </w:tcPr>
          <w:p w14:paraId="139E95C3" w14:textId="56EA6B81" w:rsidR="00AD28AE" w:rsidRPr="00AE39C8" w:rsidRDefault="008A35F2" w:rsidP="00AD28AE">
            <w:pPr>
              <w:jc w:val="both"/>
              <w:rPr>
                <w:sz w:val="28"/>
                <w:szCs w:val="28"/>
              </w:rPr>
            </w:pPr>
            <w:r w:rsidRPr="00AE39C8">
              <w:rPr>
                <w:sz w:val="28"/>
                <w:szCs w:val="28"/>
              </w:rPr>
              <w:t xml:space="preserve">Cụm từ </w:t>
            </w:r>
            <w:r w:rsidR="005C3192">
              <w:rPr>
                <w:sz w:val="28"/>
                <w:szCs w:val="28"/>
              </w:rPr>
              <w:t>“</w:t>
            </w:r>
            <w:r w:rsidRPr="00AE39C8">
              <w:rPr>
                <w:sz w:val="28"/>
                <w:szCs w:val="28"/>
              </w:rPr>
              <w:t>Thực thi quyền sở hữu trí tuệ</w:t>
            </w:r>
            <w:r w:rsidR="005C3192">
              <w:rPr>
                <w:sz w:val="28"/>
                <w:szCs w:val="28"/>
              </w:rPr>
              <w:t>”</w:t>
            </w:r>
            <w:r w:rsidRPr="00AE39C8">
              <w:rPr>
                <w:sz w:val="28"/>
                <w:szCs w:val="28"/>
              </w:rPr>
              <w:t xml:space="preserve"> phản ánh chính xác, đầy đủ các biện pháp bảo vệ quyền do nhà nước bảo đảm, bao gồm cả biện pháp dân sự, hành chính, hình sự và kiểm soát hải quan tại biên giới, thay thế cho cụm từ </w:t>
            </w:r>
            <w:r w:rsidR="005C3192">
              <w:rPr>
                <w:sz w:val="28"/>
                <w:szCs w:val="28"/>
              </w:rPr>
              <w:t>“</w:t>
            </w:r>
            <w:r w:rsidRPr="00AE39C8">
              <w:rPr>
                <w:sz w:val="28"/>
                <w:szCs w:val="28"/>
              </w:rPr>
              <w:t>phòng, chống xâm phạm</w:t>
            </w:r>
            <w:r w:rsidR="005C3192">
              <w:rPr>
                <w:sz w:val="28"/>
                <w:szCs w:val="28"/>
              </w:rPr>
              <w:t>”</w:t>
            </w:r>
            <w:r w:rsidRPr="00AE39C8">
              <w:rPr>
                <w:sz w:val="28"/>
                <w:szCs w:val="28"/>
              </w:rPr>
              <w:t xml:space="preserve"> vốn có nội hàm hẹp hơn và chủ yếu chỉ hướng tới các biện pháp xử phạt đơn thuần.</w:t>
            </w:r>
          </w:p>
        </w:tc>
      </w:tr>
      <w:tr w:rsidR="00AE39C8" w:rsidRPr="00AE39C8" w14:paraId="688E10BD" w14:textId="77777777" w:rsidTr="001E1B12">
        <w:tc>
          <w:tcPr>
            <w:tcW w:w="590" w:type="dxa"/>
            <w:vAlign w:val="center"/>
          </w:tcPr>
          <w:p w14:paraId="0196729B" w14:textId="12140569" w:rsidR="00B839FE" w:rsidRPr="00AE39C8" w:rsidRDefault="008A35F2" w:rsidP="00AD28AE">
            <w:pPr>
              <w:rPr>
                <w:sz w:val="28"/>
                <w:szCs w:val="28"/>
              </w:rPr>
            </w:pPr>
            <w:r w:rsidRPr="00AE39C8">
              <w:rPr>
                <w:sz w:val="28"/>
                <w:szCs w:val="28"/>
              </w:rPr>
              <w:t>2</w:t>
            </w:r>
          </w:p>
        </w:tc>
        <w:tc>
          <w:tcPr>
            <w:tcW w:w="4952" w:type="dxa"/>
            <w:vAlign w:val="center"/>
          </w:tcPr>
          <w:p w14:paraId="03B74EF2" w14:textId="06A98455" w:rsidR="00B839FE" w:rsidRPr="00AE39C8" w:rsidRDefault="00B839FE" w:rsidP="00AD28AE">
            <w:pPr>
              <w:jc w:val="both"/>
              <w:rPr>
                <w:sz w:val="28"/>
                <w:szCs w:val="28"/>
              </w:rPr>
            </w:pPr>
            <w:r w:rsidRPr="00AE39C8">
              <w:rPr>
                <w:sz w:val="28"/>
                <w:szCs w:val="28"/>
              </w:rPr>
              <w:t>Căn cứ pháp lý</w:t>
            </w:r>
            <w:r w:rsidR="008A35F2" w:rsidRPr="00AE39C8">
              <w:rPr>
                <w:sz w:val="28"/>
                <w:szCs w:val="28"/>
              </w:rPr>
              <w:t xml:space="preserve"> thời điểm năm 2014</w:t>
            </w:r>
          </w:p>
        </w:tc>
        <w:tc>
          <w:tcPr>
            <w:tcW w:w="3961" w:type="dxa"/>
            <w:vAlign w:val="center"/>
          </w:tcPr>
          <w:p w14:paraId="2A5C5AF4" w14:textId="3D9B8397" w:rsidR="00B839FE" w:rsidRPr="00AE39C8" w:rsidRDefault="00B839FE" w:rsidP="00AD28AE">
            <w:pPr>
              <w:jc w:val="both"/>
              <w:rPr>
                <w:sz w:val="28"/>
                <w:szCs w:val="28"/>
              </w:rPr>
            </w:pPr>
            <w:r w:rsidRPr="00AE39C8">
              <w:rPr>
                <w:sz w:val="28"/>
                <w:szCs w:val="28"/>
              </w:rPr>
              <w:t>Căn cứ pháp lý</w:t>
            </w:r>
            <w:r w:rsidR="008A35F2" w:rsidRPr="00AE39C8">
              <w:rPr>
                <w:sz w:val="28"/>
                <w:szCs w:val="28"/>
              </w:rPr>
              <w:t xml:space="preserve"> thời điểm năm 2026</w:t>
            </w:r>
          </w:p>
        </w:tc>
        <w:tc>
          <w:tcPr>
            <w:tcW w:w="5057" w:type="dxa"/>
            <w:vAlign w:val="center"/>
          </w:tcPr>
          <w:p w14:paraId="341A1B17" w14:textId="42646B19" w:rsidR="00B839FE" w:rsidRPr="00AE39C8" w:rsidRDefault="00B839FE" w:rsidP="00AD28AE">
            <w:pPr>
              <w:jc w:val="both"/>
              <w:rPr>
                <w:sz w:val="28"/>
                <w:szCs w:val="28"/>
              </w:rPr>
            </w:pPr>
            <w:r w:rsidRPr="00AE39C8">
              <w:rPr>
                <w:sz w:val="28"/>
                <w:szCs w:val="28"/>
              </w:rPr>
              <w:t>Các căn cứ cũ đã hết hiệu lực. Việc cập nhật toàn bộ hệ thống Luật, Nghị định mới nhất là bắt buộc để đảm bảo tính hợp hiến, hợp pháp của Quyết định.</w:t>
            </w:r>
          </w:p>
        </w:tc>
      </w:tr>
      <w:tr w:rsidR="00AE39C8" w:rsidRPr="00AE39C8" w14:paraId="4EDF6378" w14:textId="77777777" w:rsidTr="001E1B12">
        <w:tc>
          <w:tcPr>
            <w:tcW w:w="590" w:type="dxa"/>
            <w:vAlign w:val="center"/>
          </w:tcPr>
          <w:p w14:paraId="4F4BE974" w14:textId="61590590" w:rsidR="00AD28AE" w:rsidRPr="00AE39C8" w:rsidRDefault="008A35F2" w:rsidP="00AD28AE">
            <w:pPr>
              <w:rPr>
                <w:sz w:val="28"/>
                <w:szCs w:val="28"/>
              </w:rPr>
            </w:pPr>
            <w:r w:rsidRPr="00AE39C8">
              <w:rPr>
                <w:sz w:val="28"/>
                <w:szCs w:val="28"/>
              </w:rPr>
              <w:t>3</w:t>
            </w:r>
          </w:p>
        </w:tc>
        <w:tc>
          <w:tcPr>
            <w:tcW w:w="4952" w:type="dxa"/>
            <w:vAlign w:val="center"/>
          </w:tcPr>
          <w:p w14:paraId="4257848A" w14:textId="77777777" w:rsidR="008A35F2" w:rsidRPr="00AE39C8" w:rsidRDefault="008A35F2" w:rsidP="00AD28AE">
            <w:pPr>
              <w:jc w:val="both"/>
              <w:rPr>
                <w:sz w:val="28"/>
                <w:szCs w:val="28"/>
              </w:rPr>
            </w:pPr>
            <w:r w:rsidRPr="00AE39C8">
              <w:rPr>
                <w:sz w:val="28"/>
                <w:szCs w:val="28"/>
              </w:rPr>
              <w:t xml:space="preserve">Điều 2. </w:t>
            </w:r>
            <w:r w:rsidR="00AD28AE" w:rsidRPr="00AE39C8">
              <w:rPr>
                <w:sz w:val="28"/>
                <w:szCs w:val="28"/>
              </w:rPr>
              <w:t xml:space="preserve">Đối tượng áp dụng </w:t>
            </w:r>
          </w:p>
          <w:p w14:paraId="2E47EAF2" w14:textId="390BA4B0" w:rsidR="00AD28AE" w:rsidRPr="00AE39C8" w:rsidRDefault="00AD28AE" w:rsidP="00AD28AE">
            <w:pPr>
              <w:jc w:val="both"/>
              <w:rPr>
                <w:b/>
                <w:bCs/>
                <w:sz w:val="28"/>
                <w:szCs w:val="28"/>
                <w:lang w:val="vi-VN"/>
              </w:rPr>
            </w:pPr>
            <w:r w:rsidRPr="00AE39C8">
              <w:rPr>
                <w:sz w:val="28"/>
                <w:szCs w:val="28"/>
              </w:rPr>
              <w:t xml:space="preserve">Áp dụng đối với: </w:t>
            </w:r>
            <w:r w:rsidR="008A35F2" w:rsidRPr="00AE39C8">
              <w:rPr>
                <w:sz w:val="28"/>
                <w:szCs w:val="28"/>
              </w:rPr>
              <w:t>Sở Khoa học và Công nghệ, Sở Văn hóa Thể thao và Du lịch, Sở Thông tin và Truyền thông, Sở Nông nghiệp và Phát triển nông thôn, Sở Công Thương, Công an thành phố, Cục Hải quan Hải Phòng, các sở, ngành và Ủy ban nhân dân cấp huyện, cấp xã.</w:t>
            </w:r>
          </w:p>
        </w:tc>
        <w:tc>
          <w:tcPr>
            <w:tcW w:w="3961" w:type="dxa"/>
            <w:vAlign w:val="center"/>
          </w:tcPr>
          <w:p w14:paraId="15956899" w14:textId="77777777" w:rsidR="008A35F2" w:rsidRPr="00AE39C8" w:rsidRDefault="008A35F2" w:rsidP="008A35F2">
            <w:pPr>
              <w:jc w:val="both"/>
              <w:rPr>
                <w:sz w:val="28"/>
                <w:szCs w:val="28"/>
              </w:rPr>
            </w:pPr>
            <w:r w:rsidRPr="00AE39C8">
              <w:rPr>
                <w:sz w:val="28"/>
                <w:szCs w:val="28"/>
              </w:rPr>
              <w:t>Điều 2. Đối tượng áp dụng</w:t>
            </w:r>
          </w:p>
          <w:p w14:paraId="180D1DA8" w14:textId="3B6B824E" w:rsidR="00AD28AE" w:rsidRPr="00AE39C8" w:rsidRDefault="009B5E0E" w:rsidP="008A35F2">
            <w:pPr>
              <w:jc w:val="both"/>
              <w:rPr>
                <w:b/>
                <w:bCs/>
                <w:sz w:val="28"/>
                <w:szCs w:val="28"/>
                <w:lang w:val="vi-VN"/>
              </w:rPr>
            </w:pPr>
            <w:r w:rsidRPr="00AE39C8">
              <w:rPr>
                <w:sz w:val="28"/>
                <w:szCs w:val="28"/>
              </w:rPr>
              <w:t>Áp dụng đối với: Sở Khoa học và Công nghệ, Sở Văn hóa Thể thao và Du lịch, Sở Nông nghiệp và Môi trường, Sở Công Thương, Công an thành phố, Chi cục Hải quan khu vực III, các sở, ngành và Ủy ban nhân dân cấp xã.</w:t>
            </w:r>
          </w:p>
        </w:tc>
        <w:tc>
          <w:tcPr>
            <w:tcW w:w="5057" w:type="dxa"/>
            <w:vAlign w:val="center"/>
          </w:tcPr>
          <w:p w14:paraId="4A378468" w14:textId="4AF276E9" w:rsidR="00AD28AE" w:rsidRPr="00AE39C8" w:rsidRDefault="009B5E0E" w:rsidP="00AD28AE">
            <w:pPr>
              <w:jc w:val="both"/>
              <w:rPr>
                <w:sz w:val="28"/>
                <w:szCs w:val="28"/>
                <w:lang w:val="vi-VN"/>
              </w:rPr>
            </w:pPr>
            <w:r w:rsidRPr="00AE39C8">
              <w:rPr>
                <w:sz w:val="28"/>
                <w:szCs w:val="28"/>
              </w:rPr>
              <w:t>Sửa đổi, bổ sung đối tượng áp dụng để phù hợp với sự thay đổi về tổ chức bộ máy hành chính nhà nước (sáp nhập các Sở, ngành, tổ chức lại lực lượng thanh tra chuyên ngành, quản lý thị trường) và việc sáp nhập địa giới hành chính của thành phố</w:t>
            </w:r>
          </w:p>
        </w:tc>
      </w:tr>
      <w:tr w:rsidR="00AE39C8" w:rsidRPr="00AE39C8" w14:paraId="6A97F6CF" w14:textId="77777777" w:rsidTr="001E1B12">
        <w:tc>
          <w:tcPr>
            <w:tcW w:w="590" w:type="dxa"/>
            <w:vAlign w:val="center"/>
          </w:tcPr>
          <w:p w14:paraId="5755DFD0" w14:textId="4CCBDE17" w:rsidR="00AD28AE" w:rsidRPr="001E1B12" w:rsidRDefault="001E1B12" w:rsidP="00AD28AE">
            <w:pPr>
              <w:rPr>
                <w:sz w:val="28"/>
                <w:szCs w:val="28"/>
              </w:rPr>
            </w:pPr>
            <w:r>
              <w:rPr>
                <w:sz w:val="28"/>
                <w:szCs w:val="28"/>
              </w:rPr>
              <w:lastRenderedPageBreak/>
              <w:t>4</w:t>
            </w:r>
          </w:p>
        </w:tc>
        <w:tc>
          <w:tcPr>
            <w:tcW w:w="4952" w:type="dxa"/>
            <w:vAlign w:val="center"/>
          </w:tcPr>
          <w:p w14:paraId="5EA5A4D0" w14:textId="1A14A95B" w:rsidR="00AB554C" w:rsidRPr="00AB554C" w:rsidRDefault="00AB554C" w:rsidP="00AB554C">
            <w:pPr>
              <w:jc w:val="both"/>
              <w:rPr>
                <w:sz w:val="28"/>
                <w:szCs w:val="28"/>
              </w:rPr>
            </w:pPr>
            <w:r w:rsidRPr="00AB554C">
              <w:rPr>
                <w:i/>
                <w:iCs/>
                <w:sz w:val="28"/>
                <w:szCs w:val="28"/>
              </w:rPr>
              <w:t>Khoản 3 và Khoản 4 Điều 6</w:t>
            </w:r>
            <w:r w:rsidRPr="00AE39C8">
              <w:rPr>
                <w:i/>
                <w:iCs/>
                <w:sz w:val="28"/>
                <w:szCs w:val="28"/>
              </w:rPr>
              <w:t>. Trách nhiệm của Sở Văn hóa, Thể thao và Du lịch và Sở Thông tin và Truyền thông</w:t>
            </w:r>
          </w:p>
          <w:p w14:paraId="22CF9660" w14:textId="77777777" w:rsidR="00AE39C8" w:rsidRDefault="00AB554C" w:rsidP="00AB554C">
            <w:pPr>
              <w:jc w:val="both"/>
              <w:rPr>
                <w:sz w:val="28"/>
                <w:szCs w:val="28"/>
              </w:rPr>
            </w:pPr>
            <w:r w:rsidRPr="00AB554C">
              <w:rPr>
                <w:sz w:val="28"/>
                <w:szCs w:val="28"/>
              </w:rPr>
              <w:t xml:space="preserve">- 3. Sở Văn hóa Thể thao và Du lịch: ... </w:t>
            </w:r>
          </w:p>
          <w:p w14:paraId="79221447" w14:textId="241DB5AE" w:rsidR="00AB554C" w:rsidRPr="00AB554C" w:rsidRDefault="00AB554C" w:rsidP="00AB554C">
            <w:pPr>
              <w:jc w:val="both"/>
              <w:rPr>
                <w:sz w:val="28"/>
                <w:szCs w:val="28"/>
              </w:rPr>
            </w:pPr>
            <w:r w:rsidRPr="00AB554C">
              <w:rPr>
                <w:sz w:val="28"/>
                <w:szCs w:val="28"/>
              </w:rPr>
              <w:t>a) Trực tiếp thực hiện chức năng quản lý nhà nước về quyền tác giả, quyền liên quan; bảo đảm chính sách... đối với tác phẩm văn học nghệ thuật...</w:t>
            </w:r>
          </w:p>
          <w:p w14:paraId="650CC55F" w14:textId="77777777" w:rsidR="00AB554C" w:rsidRPr="00AE39C8" w:rsidRDefault="00AB554C" w:rsidP="00AB554C">
            <w:pPr>
              <w:jc w:val="both"/>
              <w:rPr>
                <w:sz w:val="28"/>
                <w:szCs w:val="28"/>
              </w:rPr>
            </w:pPr>
            <w:r w:rsidRPr="00AB554C">
              <w:rPr>
                <w:sz w:val="28"/>
                <w:szCs w:val="28"/>
              </w:rPr>
              <w:t xml:space="preserve">- 4. Sở Thông tin và Truyền thông: ... </w:t>
            </w:r>
          </w:p>
          <w:p w14:paraId="228A1587" w14:textId="62D40DE6" w:rsidR="00AB554C" w:rsidRPr="00AB554C" w:rsidRDefault="00AB554C" w:rsidP="00AB554C">
            <w:pPr>
              <w:jc w:val="both"/>
              <w:rPr>
                <w:sz w:val="28"/>
                <w:szCs w:val="28"/>
              </w:rPr>
            </w:pPr>
            <w:r w:rsidRPr="00AB554C">
              <w:rPr>
                <w:sz w:val="28"/>
                <w:szCs w:val="28"/>
              </w:rPr>
              <w:t>a) Trực tiếp thực hiện chức năng quản lý nhà nước về quyền tác giả; bảo đảm chính sách... đối với sản phẩm báo chí, xuất bản, bản quyền về sản phẩm và dịch vụ công nghệ thông tin, truyền thông...</w:t>
            </w:r>
          </w:p>
          <w:p w14:paraId="14782374" w14:textId="1D72F820" w:rsidR="00AD28AE" w:rsidRPr="00AE39C8" w:rsidRDefault="00AD28AE" w:rsidP="00AD28AE">
            <w:pPr>
              <w:jc w:val="both"/>
              <w:rPr>
                <w:b/>
                <w:bCs/>
                <w:sz w:val="28"/>
                <w:szCs w:val="28"/>
                <w:lang w:val="vi-VN"/>
              </w:rPr>
            </w:pPr>
          </w:p>
        </w:tc>
        <w:tc>
          <w:tcPr>
            <w:tcW w:w="3961" w:type="dxa"/>
            <w:vAlign w:val="center"/>
          </w:tcPr>
          <w:p w14:paraId="16DFFA7F" w14:textId="1048443E" w:rsidR="00AB554C" w:rsidRPr="00AB554C" w:rsidRDefault="00AB554C" w:rsidP="00AB554C">
            <w:pPr>
              <w:jc w:val="both"/>
              <w:rPr>
                <w:sz w:val="28"/>
                <w:szCs w:val="28"/>
              </w:rPr>
            </w:pPr>
            <w:r w:rsidRPr="00AB554C">
              <w:rPr>
                <w:i/>
                <w:iCs/>
                <w:sz w:val="28"/>
                <w:szCs w:val="28"/>
              </w:rPr>
              <w:t>Khoản 3 Điều 6</w:t>
            </w:r>
            <w:r w:rsidRPr="00AE39C8">
              <w:rPr>
                <w:i/>
                <w:iCs/>
                <w:sz w:val="28"/>
                <w:szCs w:val="28"/>
              </w:rPr>
              <w:t>. Trách nhiệm của Sở Văn hóa, Thể thao và Du lịch</w:t>
            </w:r>
          </w:p>
          <w:p w14:paraId="03814A36" w14:textId="3ED0943F" w:rsidR="00AB554C" w:rsidRPr="00AB554C" w:rsidRDefault="00AB554C" w:rsidP="00AB554C">
            <w:pPr>
              <w:jc w:val="both"/>
              <w:rPr>
                <w:sz w:val="28"/>
                <w:szCs w:val="28"/>
              </w:rPr>
            </w:pPr>
            <w:r w:rsidRPr="00AB554C">
              <w:rPr>
                <w:sz w:val="28"/>
                <w:szCs w:val="28"/>
              </w:rPr>
              <w:t>3. Sở Văn hóa, Thể thao và Du lịch trực tiếp thực hiện chức năng quản lý nhà nước về quyền tác giả, quyền liên quan đối với các tác phẩm văn học, nghệ thuật, nghệ thuật biểu diễn, điện ảnh, mỹ thuật, nhiếp ảnh, quảng cáo và các hoạt động thể thao, du lịch trên địa bàn thành phố...</w:t>
            </w:r>
          </w:p>
          <w:p w14:paraId="7080D36D" w14:textId="7C2628A9" w:rsidR="00AB554C" w:rsidRPr="00AB554C" w:rsidRDefault="00AB554C" w:rsidP="00AB554C">
            <w:pPr>
              <w:jc w:val="both"/>
              <w:rPr>
                <w:sz w:val="28"/>
                <w:szCs w:val="28"/>
              </w:rPr>
            </w:pPr>
            <w:r w:rsidRPr="00AB554C">
              <w:rPr>
                <w:sz w:val="28"/>
                <w:szCs w:val="28"/>
              </w:rPr>
              <w:t>b) Về giải quyết yêu cầu xử lý vi phạm: Trực tiếp tiếp nhận, thụ lý và giải quyết các đơn yêu cầu xử lý vi phạm, đơn khiếu nại, tố cáo về quyền tác giả, quyền liên quan thuộc phạm vi quản lý...</w:t>
            </w:r>
          </w:p>
          <w:p w14:paraId="5FF4DA67" w14:textId="0C6196B9" w:rsidR="00AD28AE" w:rsidRPr="00AE39C8" w:rsidRDefault="00AD28AE" w:rsidP="009B5E0E">
            <w:pPr>
              <w:jc w:val="both"/>
              <w:rPr>
                <w:sz w:val="28"/>
                <w:szCs w:val="28"/>
                <w:lang w:val="vi-VN"/>
              </w:rPr>
            </w:pPr>
          </w:p>
        </w:tc>
        <w:tc>
          <w:tcPr>
            <w:tcW w:w="5057" w:type="dxa"/>
            <w:vAlign w:val="center"/>
          </w:tcPr>
          <w:p w14:paraId="4F6B8346" w14:textId="4704925C" w:rsidR="00AD28AE" w:rsidRPr="00AE39C8" w:rsidRDefault="00AB554C" w:rsidP="00AD28AE">
            <w:pPr>
              <w:jc w:val="both"/>
              <w:rPr>
                <w:sz w:val="28"/>
                <w:szCs w:val="28"/>
                <w:lang w:val="vi-VN"/>
              </w:rPr>
            </w:pPr>
            <w:r w:rsidRPr="00AE39C8">
              <w:rPr>
                <w:sz w:val="28"/>
                <w:szCs w:val="28"/>
              </w:rPr>
              <w:t>Căn cứ theo cơ cấu tổ chức mới (Sở Thông tin và Truyền thông đã sáp nhập với Sở Khoa học và Công nghệ, trong đó chức năng quản lý nhà nước về báo chí, xuất bản được giao về Sở Văn hóa, Thể thao và Du lịch) và quy định tại Nghị định số 17/2023/NĐ-CP, toàn bộ chức năng quản lý nhà nước về quyền tác giả, quyền liên quan đối với mọi loại hình tác phẩm được chuyển giao và quy về một đầu mối duy nhất là Sở Văn hóa, Thể thao và Du lịch. Việc này đảm bảo tính thống nhất, chuyên sâu trong quản lý và tạo thuận lợi cho các chủ thể quyền khi nộp đơn yêu cầu xử lý vi phạm.</w:t>
            </w:r>
          </w:p>
        </w:tc>
      </w:tr>
      <w:tr w:rsidR="001E1B12" w:rsidRPr="00AE39C8" w14:paraId="73517CBB" w14:textId="77777777" w:rsidTr="001E1B12">
        <w:tc>
          <w:tcPr>
            <w:tcW w:w="590" w:type="dxa"/>
            <w:vAlign w:val="center"/>
          </w:tcPr>
          <w:p w14:paraId="036483A8" w14:textId="441403F4" w:rsidR="001E1B12" w:rsidRPr="001E1B12" w:rsidRDefault="001E1B12" w:rsidP="00AD28AE">
            <w:pPr>
              <w:rPr>
                <w:sz w:val="28"/>
                <w:szCs w:val="28"/>
              </w:rPr>
            </w:pPr>
            <w:r>
              <w:rPr>
                <w:sz w:val="28"/>
                <w:szCs w:val="28"/>
              </w:rPr>
              <w:t>5</w:t>
            </w:r>
          </w:p>
        </w:tc>
        <w:tc>
          <w:tcPr>
            <w:tcW w:w="4952" w:type="dxa"/>
            <w:vAlign w:val="center"/>
          </w:tcPr>
          <w:p w14:paraId="421B879E" w14:textId="6CC5C67F" w:rsidR="001E1B12" w:rsidRPr="00AB554C" w:rsidRDefault="001E1B12" w:rsidP="00AB554C">
            <w:pPr>
              <w:jc w:val="both"/>
              <w:rPr>
                <w:i/>
                <w:iCs/>
                <w:sz w:val="28"/>
                <w:szCs w:val="28"/>
              </w:rPr>
            </w:pPr>
            <w:r w:rsidRPr="001E1B12">
              <w:rPr>
                <w:i/>
                <w:iCs/>
                <w:sz w:val="28"/>
                <w:szCs w:val="28"/>
              </w:rPr>
              <w:t>Điều 6. Trách nhiệm của các cơ quan quản lý nhà nước về sở hữu trí tuệ</w:t>
            </w:r>
          </w:p>
        </w:tc>
        <w:tc>
          <w:tcPr>
            <w:tcW w:w="3961" w:type="dxa"/>
            <w:vAlign w:val="center"/>
          </w:tcPr>
          <w:p w14:paraId="352E8C18" w14:textId="3DF409BE" w:rsidR="001E1B12" w:rsidRPr="00AB554C" w:rsidRDefault="001E1B12" w:rsidP="00AB554C">
            <w:pPr>
              <w:jc w:val="both"/>
              <w:rPr>
                <w:i/>
                <w:iCs/>
                <w:sz w:val="28"/>
                <w:szCs w:val="28"/>
              </w:rPr>
            </w:pPr>
            <w:r w:rsidRPr="001E1B12">
              <w:rPr>
                <w:i/>
                <w:iCs/>
                <w:sz w:val="28"/>
                <w:szCs w:val="28"/>
              </w:rPr>
              <w:t>Điều 6. Trách nhiệm của các cơ quan quản lý nhà nước về sở hữu trí tuệ</w:t>
            </w:r>
          </w:p>
        </w:tc>
        <w:tc>
          <w:tcPr>
            <w:tcW w:w="5057" w:type="dxa"/>
            <w:vAlign w:val="center"/>
          </w:tcPr>
          <w:p w14:paraId="55C14A70" w14:textId="69B1F183" w:rsidR="001E1B12" w:rsidRPr="00AE39C8" w:rsidRDefault="001E1B12" w:rsidP="00AD28AE">
            <w:pPr>
              <w:jc w:val="both"/>
              <w:rPr>
                <w:sz w:val="28"/>
                <w:szCs w:val="28"/>
              </w:rPr>
            </w:pPr>
            <w:r>
              <w:rPr>
                <w:sz w:val="28"/>
                <w:szCs w:val="28"/>
              </w:rPr>
              <w:t>Cụ thể hóa các nhiệm vụ của các cơ quan chuyên ngành theo từng lĩnh vực quản lý nhà nước về sở hữu trí tuệ</w:t>
            </w:r>
          </w:p>
        </w:tc>
      </w:tr>
      <w:tr w:rsidR="00AE39C8" w:rsidRPr="00AE39C8" w14:paraId="5F8831C0" w14:textId="77777777" w:rsidTr="001E1B12">
        <w:tc>
          <w:tcPr>
            <w:tcW w:w="590" w:type="dxa"/>
            <w:vAlign w:val="center"/>
          </w:tcPr>
          <w:p w14:paraId="638CC237" w14:textId="47CAA838" w:rsidR="00AD28AE" w:rsidRPr="001E1B12" w:rsidRDefault="001E1B12" w:rsidP="00AD28AE">
            <w:pPr>
              <w:rPr>
                <w:sz w:val="28"/>
                <w:szCs w:val="28"/>
              </w:rPr>
            </w:pPr>
            <w:r>
              <w:rPr>
                <w:sz w:val="28"/>
                <w:szCs w:val="28"/>
              </w:rPr>
              <w:t>6</w:t>
            </w:r>
          </w:p>
        </w:tc>
        <w:tc>
          <w:tcPr>
            <w:tcW w:w="4952" w:type="dxa"/>
            <w:vAlign w:val="center"/>
          </w:tcPr>
          <w:p w14:paraId="170E79EE" w14:textId="3A44B836" w:rsidR="00AB554C" w:rsidRPr="00AB554C" w:rsidRDefault="00AB554C" w:rsidP="00AB554C">
            <w:pPr>
              <w:tabs>
                <w:tab w:val="left" w:pos="0"/>
              </w:tabs>
              <w:spacing w:before="120"/>
              <w:jc w:val="both"/>
              <w:rPr>
                <w:sz w:val="28"/>
                <w:szCs w:val="28"/>
              </w:rPr>
            </w:pPr>
            <w:r w:rsidRPr="00AB554C">
              <w:rPr>
                <w:i/>
                <w:iCs/>
                <w:sz w:val="28"/>
                <w:szCs w:val="28"/>
              </w:rPr>
              <w:t>Khoản 1 Điều 7</w:t>
            </w:r>
            <w:r w:rsidRPr="00AE39C8">
              <w:rPr>
                <w:i/>
                <w:iCs/>
                <w:sz w:val="28"/>
                <w:szCs w:val="28"/>
              </w:rPr>
              <w:t>.</w:t>
            </w:r>
            <w:r w:rsidRPr="00AB554C">
              <w:rPr>
                <w:sz w:val="28"/>
                <w:szCs w:val="28"/>
              </w:rPr>
              <w:t xml:space="preserve"> Cơ quan Thanh tra chuyên ngành thuộc các cơ quan quản lý nhà nước về sở hữu trí tuệ</w:t>
            </w:r>
          </w:p>
          <w:p w14:paraId="3D506FAF" w14:textId="4B09C0D7" w:rsidR="00AB554C" w:rsidRPr="00AB554C" w:rsidRDefault="00AB554C" w:rsidP="00AB554C">
            <w:pPr>
              <w:tabs>
                <w:tab w:val="left" w:pos="0"/>
              </w:tabs>
              <w:spacing w:before="120"/>
              <w:jc w:val="both"/>
              <w:rPr>
                <w:sz w:val="28"/>
                <w:szCs w:val="28"/>
              </w:rPr>
            </w:pPr>
            <w:r w:rsidRPr="00AE39C8">
              <w:rPr>
                <w:sz w:val="28"/>
                <w:szCs w:val="28"/>
              </w:rPr>
              <w:t>-</w:t>
            </w:r>
            <w:r w:rsidRPr="00AB554C">
              <w:rPr>
                <w:sz w:val="28"/>
                <w:szCs w:val="28"/>
              </w:rPr>
              <w:t xml:space="preserve"> Thanh tra Sở Khoa học và Công nghệ: Có thẩm quyền xử phạt vi phạm hành chính về sở hữu công nghiệp...</w:t>
            </w:r>
          </w:p>
          <w:p w14:paraId="1AE79171" w14:textId="6D546748" w:rsidR="00AB554C" w:rsidRPr="00AB554C" w:rsidRDefault="00AB554C" w:rsidP="00AB554C">
            <w:pPr>
              <w:tabs>
                <w:tab w:val="left" w:pos="0"/>
              </w:tabs>
              <w:spacing w:before="120"/>
              <w:jc w:val="both"/>
              <w:rPr>
                <w:sz w:val="28"/>
                <w:szCs w:val="28"/>
              </w:rPr>
            </w:pPr>
            <w:r w:rsidRPr="00AE39C8">
              <w:rPr>
                <w:sz w:val="28"/>
                <w:szCs w:val="28"/>
              </w:rPr>
              <w:lastRenderedPageBreak/>
              <w:t>-</w:t>
            </w:r>
            <w:r w:rsidRPr="00AB554C">
              <w:rPr>
                <w:sz w:val="28"/>
                <w:szCs w:val="28"/>
              </w:rPr>
              <w:t xml:space="preserve"> Thanh tra Sở Văn hóa Thể thao và Du lịch: Có thẩm quyền xử phạt vi phạm hành chính trong lĩnh vực quyền tác giả...</w:t>
            </w:r>
          </w:p>
          <w:p w14:paraId="53B9DA70" w14:textId="23478814" w:rsidR="00AB554C" w:rsidRPr="00AB554C" w:rsidRDefault="00AB554C" w:rsidP="00AB554C">
            <w:pPr>
              <w:tabs>
                <w:tab w:val="left" w:pos="0"/>
              </w:tabs>
              <w:spacing w:before="120"/>
              <w:jc w:val="both"/>
              <w:rPr>
                <w:sz w:val="28"/>
                <w:szCs w:val="28"/>
              </w:rPr>
            </w:pPr>
            <w:r w:rsidRPr="00AE39C8">
              <w:rPr>
                <w:sz w:val="28"/>
                <w:szCs w:val="28"/>
              </w:rPr>
              <w:t>-</w:t>
            </w:r>
            <w:r w:rsidRPr="00AB554C">
              <w:rPr>
                <w:sz w:val="28"/>
                <w:szCs w:val="28"/>
              </w:rPr>
              <w:t xml:space="preserve"> Thanh tra Sở Nông nghiệp và Phát triển nông thôn...</w:t>
            </w:r>
          </w:p>
          <w:p w14:paraId="2A03AE4B" w14:textId="1AD0AC38" w:rsidR="00AD28AE" w:rsidRPr="00AE39C8" w:rsidRDefault="00AB554C" w:rsidP="00AD28AE">
            <w:pPr>
              <w:tabs>
                <w:tab w:val="left" w:pos="0"/>
              </w:tabs>
              <w:spacing w:before="120"/>
              <w:jc w:val="both"/>
              <w:rPr>
                <w:sz w:val="28"/>
                <w:szCs w:val="28"/>
              </w:rPr>
            </w:pPr>
            <w:r w:rsidRPr="00AE39C8">
              <w:rPr>
                <w:sz w:val="28"/>
                <w:szCs w:val="28"/>
              </w:rPr>
              <w:t xml:space="preserve">- </w:t>
            </w:r>
            <w:r w:rsidRPr="00AB554C">
              <w:rPr>
                <w:sz w:val="28"/>
                <w:szCs w:val="28"/>
              </w:rPr>
              <w:t>Thanh tra Sở Thông tin và Truyền thông...</w:t>
            </w:r>
          </w:p>
        </w:tc>
        <w:tc>
          <w:tcPr>
            <w:tcW w:w="3961" w:type="dxa"/>
            <w:vAlign w:val="center"/>
          </w:tcPr>
          <w:p w14:paraId="6F1A4EAF" w14:textId="2F0AEF20" w:rsidR="00AB554C" w:rsidRPr="00AB554C" w:rsidRDefault="00AB554C" w:rsidP="00AB554C">
            <w:pPr>
              <w:jc w:val="both"/>
              <w:rPr>
                <w:sz w:val="28"/>
                <w:szCs w:val="28"/>
              </w:rPr>
            </w:pPr>
            <w:r w:rsidRPr="00AB554C">
              <w:rPr>
                <w:i/>
                <w:iCs/>
                <w:sz w:val="28"/>
                <w:szCs w:val="28"/>
              </w:rPr>
              <w:lastRenderedPageBreak/>
              <w:t>Khoản 1 Điều 7</w:t>
            </w:r>
            <w:r w:rsidRPr="00AE39C8">
              <w:rPr>
                <w:i/>
                <w:iCs/>
                <w:sz w:val="28"/>
                <w:szCs w:val="28"/>
              </w:rPr>
              <w:t>.</w:t>
            </w:r>
            <w:r w:rsidRPr="00AB554C">
              <w:rPr>
                <w:sz w:val="28"/>
                <w:szCs w:val="28"/>
              </w:rPr>
              <w:t xml:space="preserve"> Thanh tra thành phố</w:t>
            </w:r>
          </w:p>
          <w:p w14:paraId="21129A04" w14:textId="77777777" w:rsidR="00AB554C" w:rsidRPr="00AB554C" w:rsidRDefault="00AB554C" w:rsidP="00AB554C">
            <w:pPr>
              <w:jc w:val="both"/>
              <w:rPr>
                <w:sz w:val="28"/>
                <w:szCs w:val="28"/>
              </w:rPr>
            </w:pPr>
            <w:r w:rsidRPr="00AB554C">
              <w:rPr>
                <w:sz w:val="28"/>
                <w:szCs w:val="28"/>
              </w:rPr>
              <w:t>Là cơ quan thực hiện chức năng thanh tra chuyên ngành tập trung trên địa bàn thành phố...</w:t>
            </w:r>
          </w:p>
          <w:p w14:paraId="022C9B8B" w14:textId="37F4F86D" w:rsidR="00AB554C" w:rsidRPr="00AB554C" w:rsidRDefault="0090757C" w:rsidP="00AB554C">
            <w:pPr>
              <w:jc w:val="both"/>
              <w:rPr>
                <w:sz w:val="28"/>
                <w:szCs w:val="28"/>
              </w:rPr>
            </w:pPr>
            <w:r w:rsidRPr="00AE39C8">
              <w:rPr>
                <w:sz w:val="28"/>
                <w:szCs w:val="28"/>
              </w:rPr>
              <w:t>a,</w:t>
            </w:r>
            <w:r w:rsidR="00AB554C" w:rsidRPr="00AB554C">
              <w:rPr>
                <w:sz w:val="28"/>
                <w:szCs w:val="28"/>
              </w:rPr>
              <w:t xml:space="preserve"> Về thanh tra và xử phạt vi phạm hành chính: Chủ trì tổ chức các cuộc thanh tra, kiểm tra chuyên ngành độc lập hoặc phối hợp... </w:t>
            </w:r>
            <w:r w:rsidR="00AB554C" w:rsidRPr="00AB554C">
              <w:rPr>
                <w:sz w:val="28"/>
                <w:szCs w:val="28"/>
              </w:rPr>
              <w:lastRenderedPageBreak/>
              <w:t>đối với mọi hành vi xâm phạm quyền sở hữu trí tuệ trên các lĩnh vực:</w:t>
            </w:r>
          </w:p>
          <w:p w14:paraId="360D6098" w14:textId="77777777" w:rsidR="00AB554C" w:rsidRPr="00AB554C" w:rsidRDefault="00AB554C" w:rsidP="00AB554C">
            <w:pPr>
              <w:jc w:val="both"/>
              <w:rPr>
                <w:sz w:val="28"/>
                <w:szCs w:val="28"/>
              </w:rPr>
            </w:pPr>
            <w:r w:rsidRPr="00AB554C">
              <w:rPr>
                <w:sz w:val="28"/>
                <w:szCs w:val="28"/>
              </w:rPr>
              <w:t>- Sở hữu công nghiệp...</w:t>
            </w:r>
          </w:p>
          <w:p w14:paraId="2EB16FDB" w14:textId="77777777" w:rsidR="00AB554C" w:rsidRPr="00AB554C" w:rsidRDefault="00AB554C" w:rsidP="00AB554C">
            <w:pPr>
              <w:jc w:val="both"/>
              <w:rPr>
                <w:sz w:val="28"/>
                <w:szCs w:val="28"/>
              </w:rPr>
            </w:pPr>
            <w:r w:rsidRPr="00AB554C">
              <w:rPr>
                <w:sz w:val="28"/>
                <w:szCs w:val="28"/>
              </w:rPr>
              <w:t>- Quyền tác giả, quyền liên quan...</w:t>
            </w:r>
          </w:p>
          <w:p w14:paraId="6A4245D1" w14:textId="250C15DA" w:rsidR="00AD28AE" w:rsidRPr="00AE39C8" w:rsidRDefault="00AB554C" w:rsidP="00AD28AE">
            <w:pPr>
              <w:jc w:val="both"/>
              <w:rPr>
                <w:sz w:val="28"/>
                <w:szCs w:val="28"/>
              </w:rPr>
            </w:pPr>
            <w:r w:rsidRPr="00AB554C">
              <w:rPr>
                <w:sz w:val="28"/>
                <w:szCs w:val="28"/>
              </w:rPr>
              <w:t>- Quyền đối với giống cây trồng...</w:t>
            </w:r>
          </w:p>
        </w:tc>
        <w:tc>
          <w:tcPr>
            <w:tcW w:w="5057" w:type="dxa"/>
            <w:vAlign w:val="center"/>
          </w:tcPr>
          <w:p w14:paraId="0B7D4336" w14:textId="6737F805" w:rsidR="00AD28AE" w:rsidRPr="00AE39C8" w:rsidRDefault="0090757C" w:rsidP="00AD28AE">
            <w:pPr>
              <w:jc w:val="both"/>
              <w:rPr>
                <w:sz w:val="28"/>
                <w:szCs w:val="28"/>
                <w:lang w:val="vi-VN"/>
              </w:rPr>
            </w:pPr>
            <w:r w:rsidRPr="00AE39C8">
              <w:rPr>
                <w:sz w:val="28"/>
                <w:szCs w:val="28"/>
              </w:rPr>
              <w:lastRenderedPageBreak/>
              <w:t>Sửa đổi thẩm quyền do sự thay đổi về tổ chức bộ máy của Thanh tra thành phố. Theo đó, chức năng, nhiệm vụ thanh tra chuyên ngành tại các Sở, ngành đã được chuyển giao tập trung toàn bộ về Thanh tra thành phố.</w:t>
            </w:r>
          </w:p>
        </w:tc>
      </w:tr>
      <w:tr w:rsidR="00AE39C8" w:rsidRPr="00AE39C8" w14:paraId="698BC9F7" w14:textId="77777777" w:rsidTr="001E1B12">
        <w:tc>
          <w:tcPr>
            <w:tcW w:w="590" w:type="dxa"/>
            <w:vAlign w:val="center"/>
          </w:tcPr>
          <w:p w14:paraId="00B4D1FB" w14:textId="6D3689F8" w:rsidR="00AD28AE" w:rsidRPr="00AE39C8" w:rsidRDefault="001E1B12" w:rsidP="00AD28AE">
            <w:pPr>
              <w:rPr>
                <w:sz w:val="28"/>
                <w:szCs w:val="28"/>
              </w:rPr>
            </w:pPr>
            <w:r>
              <w:rPr>
                <w:sz w:val="28"/>
                <w:szCs w:val="28"/>
              </w:rPr>
              <w:t>7</w:t>
            </w:r>
          </w:p>
        </w:tc>
        <w:tc>
          <w:tcPr>
            <w:tcW w:w="4952" w:type="dxa"/>
            <w:vAlign w:val="center"/>
          </w:tcPr>
          <w:p w14:paraId="24902FEC" w14:textId="77777777" w:rsidR="002853AD" w:rsidRPr="00AE39C8" w:rsidRDefault="002853AD" w:rsidP="002853AD">
            <w:pPr>
              <w:tabs>
                <w:tab w:val="left" w:pos="0"/>
              </w:tabs>
              <w:spacing w:before="120"/>
              <w:jc w:val="both"/>
              <w:rPr>
                <w:sz w:val="28"/>
                <w:szCs w:val="28"/>
              </w:rPr>
            </w:pPr>
            <w:r w:rsidRPr="002853AD">
              <w:rPr>
                <w:i/>
                <w:iCs/>
                <w:sz w:val="28"/>
                <w:szCs w:val="28"/>
              </w:rPr>
              <w:t>Khoản 2 Điều 7</w:t>
            </w:r>
            <w:r w:rsidRPr="002853AD">
              <w:rPr>
                <w:sz w:val="28"/>
                <w:szCs w:val="28"/>
              </w:rPr>
              <w:t xml:space="preserve">. Chi cục Quản lý thị trường </w:t>
            </w:r>
          </w:p>
          <w:p w14:paraId="737CFC65" w14:textId="4A8B2915" w:rsidR="002853AD" w:rsidRPr="002853AD" w:rsidRDefault="002853AD" w:rsidP="002853AD">
            <w:pPr>
              <w:tabs>
                <w:tab w:val="left" w:pos="0"/>
              </w:tabs>
              <w:spacing w:before="120"/>
              <w:jc w:val="both"/>
              <w:rPr>
                <w:sz w:val="28"/>
                <w:szCs w:val="28"/>
              </w:rPr>
            </w:pPr>
            <w:r w:rsidRPr="002853AD">
              <w:rPr>
                <w:sz w:val="28"/>
                <w:szCs w:val="28"/>
              </w:rPr>
              <w:t>Có thẩm quyền xử lý các hành vi vi phạm đối với hàng hóa giả mạo về sở hữu trí tuệ (giả mạo nhãn hiệu, chỉ dẫn địa lý, hàng hóa sao chép lậu) và các hành vi xâm phạm quyền sở hữu trí tuệ theo quy định...</w:t>
            </w:r>
          </w:p>
          <w:p w14:paraId="33E83FD5" w14:textId="569EEEF0" w:rsidR="00AD28AE" w:rsidRPr="00AE39C8" w:rsidRDefault="00AD28AE" w:rsidP="00AD28AE">
            <w:pPr>
              <w:tabs>
                <w:tab w:val="left" w:pos="0"/>
              </w:tabs>
              <w:spacing w:before="120"/>
              <w:jc w:val="both"/>
              <w:rPr>
                <w:sz w:val="28"/>
                <w:szCs w:val="28"/>
                <w:lang w:val="vi-VN"/>
              </w:rPr>
            </w:pPr>
          </w:p>
        </w:tc>
        <w:tc>
          <w:tcPr>
            <w:tcW w:w="3961" w:type="dxa"/>
            <w:vAlign w:val="center"/>
          </w:tcPr>
          <w:p w14:paraId="7DF4D53B" w14:textId="47256FF7" w:rsidR="002853AD" w:rsidRPr="002853AD" w:rsidRDefault="002853AD" w:rsidP="002853AD">
            <w:pPr>
              <w:jc w:val="both"/>
              <w:rPr>
                <w:sz w:val="28"/>
                <w:szCs w:val="28"/>
              </w:rPr>
            </w:pPr>
            <w:r w:rsidRPr="002853AD">
              <w:rPr>
                <w:i/>
                <w:iCs/>
                <w:sz w:val="28"/>
                <w:szCs w:val="28"/>
              </w:rPr>
              <w:t xml:space="preserve">Khoản 2 Điều 7 </w:t>
            </w:r>
            <w:r w:rsidRPr="002853AD">
              <w:rPr>
                <w:sz w:val="28"/>
                <w:szCs w:val="28"/>
              </w:rPr>
              <w:t>. Chi cục Quản lý thị trường</w:t>
            </w:r>
          </w:p>
          <w:p w14:paraId="6E0075D0" w14:textId="77777777" w:rsidR="00762A5C" w:rsidRPr="00AE39C8" w:rsidRDefault="002853AD" w:rsidP="00762A5C">
            <w:pPr>
              <w:jc w:val="both"/>
              <w:rPr>
                <w:sz w:val="28"/>
                <w:szCs w:val="28"/>
              </w:rPr>
            </w:pPr>
            <w:r w:rsidRPr="00AE39C8">
              <w:rPr>
                <w:sz w:val="28"/>
                <w:szCs w:val="28"/>
              </w:rPr>
              <w:t xml:space="preserve">- </w:t>
            </w:r>
            <w:r w:rsidRPr="002853AD">
              <w:rPr>
                <w:sz w:val="28"/>
                <w:szCs w:val="28"/>
              </w:rPr>
              <w:t>Là lực lượng chuyên trách kiểm tra, kiểm soát thị trường hàng hóa nội địa...</w:t>
            </w:r>
          </w:p>
          <w:p w14:paraId="6FE5AA51" w14:textId="0DA780AF" w:rsidR="00AD28AE" w:rsidRPr="00AE39C8" w:rsidRDefault="002853AD" w:rsidP="00762A5C">
            <w:pPr>
              <w:jc w:val="both"/>
              <w:rPr>
                <w:sz w:val="28"/>
                <w:szCs w:val="28"/>
              </w:rPr>
            </w:pPr>
            <w:r w:rsidRPr="00AE39C8">
              <w:rPr>
                <w:sz w:val="28"/>
                <w:szCs w:val="28"/>
              </w:rPr>
              <w:t>-</w:t>
            </w:r>
            <w:r w:rsidRPr="002853AD">
              <w:rPr>
                <w:sz w:val="28"/>
                <w:szCs w:val="28"/>
              </w:rPr>
              <w:t xml:space="preserve"> Về kiểm soát thương mại điện tử: Chủ trì, phối hợp với Sở Khoa học và Công nghệ, Công an thành phố trinh sát, theo dõi, kiểm tra và xử lý nghiêm các tổ chức, cá nhân có hành vi lợi dụng các sàn giao dịch thương mại điện tử, mạng xã hội, ứng dụng bán hàng trực tuyến để kinh doanh hàng giả, hàng xâm phạm quyền sở hữu trí tuệ...</w:t>
            </w:r>
          </w:p>
        </w:tc>
        <w:tc>
          <w:tcPr>
            <w:tcW w:w="5057" w:type="dxa"/>
            <w:vAlign w:val="center"/>
          </w:tcPr>
          <w:p w14:paraId="58C3C5E5" w14:textId="6E7633E5" w:rsidR="00AD28AE" w:rsidRPr="00AE39C8" w:rsidRDefault="002853AD" w:rsidP="00AD28AE">
            <w:pPr>
              <w:jc w:val="both"/>
              <w:rPr>
                <w:sz w:val="28"/>
                <w:szCs w:val="28"/>
                <w:lang w:val="vi-VN"/>
              </w:rPr>
            </w:pPr>
            <w:r w:rsidRPr="00AE39C8">
              <w:rPr>
                <w:sz w:val="28"/>
                <w:szCs w:val="28"/>
              </w:rPr>
              <w:t>Bổ sung nhiệm vụ quản lý vi phạm trên thương mại điện tử, vì hiện nay phương thức buôn bán hàng giả mạo sở hữu trí tuệ qua nền tảng trực tuyến, mạng xã hội, livestream đang diễn biến phức tạp và chiếm tỷ trọng lớn hơn thương mại truyền thống.</w:t>
            </w:r>
          </w:p>
        </w:tc>
      </w:tr>
      <w:tr w:rsidR="00AE39C8" w:rsidRPr="00AE39C8" w14:paraId="2FD4FAE6" w14:textId="77777777" w:rsidTr="001E1B12">
        <w:tc>
          <w:tcPr>
            <w:tcW w:w="590" w:type="dxa"/>
            <w:vAlign w:val="center"/>
          </w:tcPr>
          <w:p w14:paraId="219144C1" w14:textId="24BE33D0" w:rsidR="00AD28AE" w:rsidRPr="00AE39C8" w:rsidRDefault="001E1B12" w:rsidP="00AD28AE">
            <w:pPr>
              <w:rPr>
                <w:sz w:val="28"/>
                <w:szCs w:val="28"/>
              </w:rPr>
            </w:pPr>
            <w:r>
              <w:rPr>
                <w:sz w:val="28"/>
                <w:szCs w:val="28"/>
              </w:rPr>
              <w:t>8</w:t>
            </w:r>
          </w:p>
        </w:tc>
        <w:tc>
          <w:tcPr>
            <w:tcW w:w="4952" w:type="dxa"/>
            <w:vAlign w:val="center"/>
          </w:tcPr>
          <w:p w14:paraId="5046F0EF" w14:textId="77777777" w:rsidR="00762A5C" w:rsidRPr="00AE39C8" w:rsidRDefault="00762A5C" w:rsidP="00762A5C">
            <w:pPr>
              <w:tabs>
                <w:tab w:val="left" w:pos="0"/>
              </w:tabs>
              <w:spacing w:before="120"/>
              <w:jc w:val="both"/>
              <w:rPr>
                <w:sz w:val="28"/>
                <w:szCs w:val="28"/>
              </w:rPr>
            </w:pPr>
            <w:r w:rsidRPr="00762A5C">
              <w:rPr>
                <w:i/>
                <w:iCs/>
                <w:sz w:val="28"/>
                <w:szCs w:val="28"/>
              </w:rPr>
              <w:t>Khoản 3 Điều 7</w:t>
            </w:r>
            <w:r w:rsidRPr="00AE39C8">
              <w:rPr>
                <w:i/>
                <w:iCs/>
                <w:sz w:val="28"/>
                <w:szCs w:val="28"/>
              </w:rPr>
              <w:t xml:space="preserve">. </w:t>
            </w:r>
            <w:r w:rsidRPr="00762A5C">
              <w:rPr>
                <w:sz w:val="28"/>
                <w:szCs w:val="28"/>
              </w:rPr>
              <w:t>Công an thành phố</w:t>
            </w:r>
          </w:p>
          <w:p w14:paraId="4702E8FF" w14:textId="22B4AE44" w:rsidR="00762A5C" w:rsidRPr="00762A5C" w:rsidRDefault="00762A5C" w:rsidP="00762A5C">
            <w:pPr>
              <w:tabs>
                <w:tab w:val="left" w:pos="0"/>
              </w:tabs>
              <w:spacing w:before="120"/>
              <w:jc w:val="both"/>
              <w:rPr>
                <w:sz w:val="28"/>
                <w:szCs w:val="28"/>
              </w:rPr>
            </w:pPr>
            <w:r w:rsidRPr="00762A5C">
              <w:rPr>
                <w:sz w:val="28"/>
                <w:szCs w:val="28"/>
              </w:rPr>
              <w:t xml:space="preserve"> Phát hiện, xác minh, thu thập thông tin, chứng cứ về các hành vi xâm phạm quyền sở hữu trí tuệ cung cấp cho các cơ quan nêu trên để xử lý; đồng thời có thẩm quyền </w:t>
            </w:r>
            <w:r w:rsidRPr="00762A5C">
              <w:rPr>
                <w:sz w:val="28"/>
                <w:szCs w:val="28"/>
              </w:rPr>
              <w:lastRenderedPageBreak/>
              <w:t>xử lý các hành vi vi phạm đối với hàng hóa giả mạo về sở hữu trí tuệ...</w:t>
            </w:r>
          </w:p>
          <w:p w14:paraId="5D075589" w14:textId="5518EFCA" w:rsidR="00AD28AE" w:rsidRPr="00AE39C8" w:rsidRDefault="00AD28AE" w:rsidP="00AD28AE">
            <w:pPr>
              <w:tabs>
                <w:tab w:val="left" w:pos="0"/>
              </w:tabs>
              <w:spacing w:before="120"/>
              <w:jc w:val="both"/>
              <w:rPr>
                <w:sz w:val="28"/>
                <w:szCs w:val="28"/>
                <w:lang w:val="vi-VN"/>
              </w:rPr>
            </w:pPr>
          </w:p>
        </w:tc>
        <w:tc>
          <w:tcPr>
            <w:tcW w:w="3961" w:type="dxa"/>
            <w:vAlign w:val="center"/>
          </w:tcPr>
          <w:p w14:paraId="2DB7A885" w14:textId="56B6E10C" w:rsidR="00762A5C" w:rsidRPr="00762A5C" w:rsidRDefault="00762A5C" w:rsidP="00762A5C">
            <w:pPr>
              <w:jc w:val="both"/>
              <w:rPr>
                <w:sz w:val="28"/>
                <w:szCs w:val="28"/>
              </w:rPr>
            </w:pPr>
            <w:r w:rsidRPr="00762A5C">
              <w:rPr>
                <w:i/>
                <w:iCs/>
                <w:sz w:val="28"/>
                <w:szCs w:val="28"/>
              </w:rPr>
              <w:lastRenderedPageBreak/>
              <w:t>Khoản 3 Điều 7</w:t>
            </w:r>
            <w:r w:rsidRPr="00762A5C">
              <w:rPr>
                <w:sz w:val="28"/>
                <w:szCs w:val="28"/>
              </w:rPr>
              <w:t>. Công an thành phố</w:t>
            </w:r>
          </w:p>
          <w:p w14:paraId="24E402DD" w14:textId="2F2C0399" w:rsidR="00762A5C" w:rsidRPr="00762A5C" w:rsidRDefault="00762A5C" w:rsidP="00762A5C">
            <w:pPr>
              <w:jc w:val="both"/>
              <w:rPr>
                <w:sz w:val="28"/>
                <w:szCs w:val="28"/>
              </w:rPr>
            </w:pPr>
            <w:r w:rsidRPr="00AE39C8">
              <w:rPr>
                <w:sz w:val="28"/>
                <w:szCs w:val="28"/>
              </w:rPr>
              <w:t>-</w:t>
            </w:r>
            <w:r w:rsidRPr="00762A5C">
              <w:rPr>
                <w:sz w:val="28"/>
                <w:szCs w:val="28"/>
              </w:rPr>
              <w:t xml:space="preserve"> Về đấu tranh trên không gian mạng và môi trường số: Chỉ đạo lực lượng An ninh mạng và phòng, chống tội phạm sử dụng </w:t>
            </w:r>
            <w:r w:rsidRPr="00762A5C">
              <w:rPr>
                <w:sz w:val="28"/>
                <w:szCs w:val="28"/>
              </w:rPr>
              <w:lastRenderedPageBreak/>
              <w:t>công nghệ cao áp dụng các biện pháp nghiệp vụ chuyên sâu...</w:t>
            </w:r>
          </w:p>
          <w:p w14:paraId="7D695629" w14:textId="47B31E61" w:rsidR="00AD28AE" w:rsidRPr="00AE39C8" w:rsidRDefault="00762A5C" w:rsidP="00AD28AE">
            <w:pPr>
              <w:jc w:val="both"/>
              <w:rPr>
                <w:sz w:val="28"/>
                <w:szCs w:val="28"/>
              </w:rPr>
            </w:pPr>
            <w:r w:rsidRPr="00AE39C8">
              <w:rPr>
                <w:sz w:val="28"/>
                <w:szCs w:val="28"/>
              </w:rPr>
              <w:t>-</w:t>
            </w:r>
            <w:r w:rsidRPr="00762A5C">
              <w:rPr>
                <w:sz w:val="28"/>
                <w:szCs w:val="28"/>
              </w:rPr>
              <w:t xml:space="preserve"> Về tiếp nhận hồ sơ có dấu hiệu tội phạm: ... trường hợp qua điều tra xác định chưa đủ yếu tố cấu thành tội phạm nhưng có vi phạm hành chính thì chuyển trả hồ sơ cho cơ quan đã chuyển giao để tiến hành xử phạt hành chính theo quy định.</w:t>
            </w:r>
          </w:p>
        </w:tc>
        <w:tc>
          <w:tcPr>
            <w:tcW w:w="5057" w:type="dxa"/>
            <w:vAlign w:val="center"/>
          </w:tcPr>
          <w:p w14:paraId="147DEEAA" w14:textId="3E39BA76" w:rsidR="00762A5C" w:rsidRPr="00AE39C8" w:rsidRDefault="00762A5C" w:rsidP="00AD28AE">
            <w:pPr>
              <w:jc w:val="both"/>
              <w:rPr>
                <w:sz w:val="28"/>
                <w:szCs w:val="28"/>
              </w:rPr>
            </w:pPr>
            <w:r w:rsidRPr="00AE39C8">
              <w:rPr>
                <w:sz w:val="28"/>
                <w:szCs w:val="28"/>
              </w:rPr>
              <w:lastRenderedPageBreak/>
              <w:t>- Giao rõ trách nhiệm cho lực lượng An ninh mạng do tính chất phức tạp của tội phạm công nghệ cao.</w:t>
            </w:r>
          </w:p>
          <w:p w14:paraId="4D1B6A97" w14:textId="60B93BBA" w:rsidR="00AD28AE" w:rsidRPr="00AE39C8" w:rsidRDefault="00762A5C" w:rsidP="00AD28AE">
            <w:pPr>
              <w:jc w:val="both"/>
              <w:rPr>
                <w:sz w:val="28"/>
                <w:szCs w:val="28"/>
                <w:lang w:val="vi-VN"/>
              </w:rPr>
            </w:pPr>
            <w:r w:rsidRPr="00AE39C8">
              <w:rPr>
                <w:sz w:val="28"/>
                <w:szCs w:val="28"/>
              </w:rPr>
              <w:t>-</w:t>
            </w:r>
            <w:r w:rsidR="009D6873" w:rsidRPr="00AE39C8">
              <w:rPr>
                <w:sz w:val="28"/>
                <w:szCs w:val="28"/>
              </w:rPr>
              <w:t xml:space="preserve"> Bổ sung cơ chế chuyển hồ sơ tại Điểm d nhằm tuân thủ Điều 63 Luật Xử lý vi phạm hành chính (sửa đổi, bổ sung năm 2020). </w:t>
            </w:r>
            <w:r w:rsidR="009D6873" w:rsidRPr="00AE39C8">
              <w:rPr>
                <w:sz w:val="28"/>
                <w:szCs w:val="28"/>
              </w:rPr>
              <w:lastRenderedPageBreak/>
              <w:t xml:space="preserve">Việc quy định rõ trách nhiệm này buộc cơ quan điều tra khi có quyết định không khởi tố/đình chỉ vụ án hình sự thì phải chuyển ngay hồ sơ, tang vật đến người có thẩm quyền xử phạt hành chính tương ứng. Điều này khắc phục triệt để tình trạng hồ sơ bị </w:t>
            </w:r>
            <w:r w:rsidR="005C3192">
              <w:rPr>
                <w:sz w:val="28"/>
                <w:szCs w:val="28"/>
              </w:rPr>
              <w:t>“</w:t>
            </w:r>
            <w:r w:rsidR="009D6873" w:rsidRPr="00AE39C8">
              <w:rPr>
                <w:sz w:val="28"/>
                <w:szCs w:val="28"/>
              </w:rPr>
              <w:t>treo</w:t>
            </w:r>
            <w:r w:rsidR="005C3192">
              <w:rPr>
                <w:sz w:val="28"/>
                <w:szCs w:val="28"/>
              </w:rPr>
              <w:t>”</w:t>
            </w:r>
            <w:r w:rsidR="009D6873" w:rsidRPr="00AE39C8">
              <w:rPr>
                <w:sz w:val="28"/>
                <w:szCs w:val="28"/>
              </w:rPr>
              <w:t xml:space="preserve"> hoặc đùn đẩy sai thẩm quyền làm bỏ lọt vi phạm trên thực tế.</w:t>
            </w:r>
          </w:p>
        </w:tc>
      </w:tr>
      <w:tr w:rsidR="00AE39C8" w:rsidRPr="00AE39C8" w14:paraId="69B8D1A5" w14:textId="77777777" w:rsidTr="001E1B12">
        <w:tc>
          <w:tcPr>
            <w:tcW w:w="590" w:type="dxa"/>
            <w:vAlign w:val="center"/>
          </w:tcPr>
          <w:p w14:paraId="212FDCDF" w14:textId="50996DD8" w:rsidR="00AD28AE" w:rsidRPr="00AE39C8" w:rsidRDefault="001E1B12" w:rsidP="00AD28AE">
            <w:pPr>
              <w:rPr>
                <w:sz w:val="28"/>
                <w:szCs w:val="28"/>
              </w:rPr>
            </w:pPr>
            <w:r>
              <w:rPr>
                <w:sz w:val="28"/>
                <w:szCs w:val="28"/>
              </w:rPr>
              <w:lastRenderedPageBreak/>
              <w:t>9</w:t>
            </w:r>
          </w:p>
        </w:tc>
        <w:tc>
          <w:tcPr>
            <w:tcW w:w="4952" w:type="dxa"/>
            <w:vAlign w:val="center"/>
          </w:tcPr>
          <w:p w14:paraId="0765A44F" w14:textId="1AA30BA3" w:rsidR="006016CF" w:rsidRPr="006016CF" w:rsidRDefault="006016CF" w:rsidP="006016CF">
            <w:pPr>
              <w:tabs>
                <w:tab w:val="left" w:pos="0"/>
              </w:tabs>
              <w:spacing w:before="120"/>
              <w:jc w:val="both"/>
              <w:rPr>
                <w:sz w:val="28"/>
                <w:szCs w:val="28"/>
              </w:rPr>
            </w:pPr>
            <w:r w:rsidRPr="006016CF">
              <w:rPr>
                <w:i/>
                <w:iCs/>
                <w:sz w:val="28"/>
                <w:szCs w:val="28"/>
              </w:rPr>
              <w:t>Khoản 4 Điều 10</w:t>
            </w:r>
            <w:r w:rsidRPr="006016CF">
              <w:rPr>
                <w:sz w:val="28"/>
                <w:szCs w:val="28"/>
              </w:rPr>
              <w:t>. Đối với vụ việc thuộc thẩm quyền của nhiều cơ quan, cơ quan thụ lý đầu tiên sẽ chủ trì giải quyết, mời đại diện cơ quan Thanh tra chuyên ngành và đơn vị chuyên môn thuộc cơ quan quản lý nhà nước về sở hữu trí tuệ liên quan để phối hợp, thống nhất phương án trước khi ra quyết định...</w:t>
            </w:r>
          </w:p>
          <w:p w14:paraId="443925B0" w14:textId="7E1F7F66" w:rsidR="00AD28AE" w:rsidRPr="00AE39C8" w:rsidRDefault="00AD28AE" w:rsidP="00AD28AE">
            <w:pPr>
              <w:tabs>
                <w:tab w:val="left" w:pos="0"/>
              </w:tabs>
              <w:spacing w:before="120"/>
              <w:jc w:val="both"/>
              <w:rPr>
                <w:sz w:val="28"/>
                <w:szCs w:val="28"/>
                <w:lang w:val="vi-VN"/>
              </w:rPr>
            </w:pPr>
          </w:p>
        </w:tc>
        <w:tc>
          <w:tcPr>
            <w:tcW w:w="3961" w:type="dxa"/>
            <w:vAlign w:val="center"/>
          </w:tcPr>
          <w:p w14:paraId="4A55FD67" w14:textId="77777777" w:rsidR="006016CF" w:rsidRPr="00AE39C8" w:rsidRDefault="006016CF" w:rsidP="006016CF">
            <w:pPr>
              <w:jc w:val="both"/>
              <w:rPr>
                <w:i/>
                <w:iCs/>
                <w:sz w:val="28"/>
                <w:szCs w:val="28"/>
              </w:rPr>
            </w:pPr>
            <w:r w:rsidRPr="006016CF">
              <w:rPr>
                <w:i/>
                <w:iCs/>
                <w:sz w:val="28"/>
                <w:szCs w:val="28"/>
              </w:rPr>
              <w:t>Điều 11</w:t>
            </w:r>
            <w:r w:rsidRPr="00AE39C8">
              <w:rPr>
                <w:i/>
                <w:iCs/>
                <w:sz w:val="28"/>
                <w:szCs w:val="28"/>
              </w:rPr>
              <w:t>. Phối hợp tổ chức thanh tra, kiểm tra liên ngành</w:t>
            </w:r>
          </w:p>
          <w:p w14:paraId="3E8437D0" w14:textId="5FE7400B" w:rsidR="006016CF" w:rsidRPr="006016CF" w:rsidRDefault="006016CF" w:rsidP="006016CF">
            <w:pPr>
              <w:jc w:val="both"/>
              <w:rPr>
                <w:sz w:val="28"/>
                <w:szCs w:val="28"/>
              </w:rPr>
            </w:pPr>
            <w:r w:rsidRPr="00AE39C8">
              <w:rPr>
                <w:sz w:val="28"/>
                <w:szCs w:val="28"/>
              </w:rPr>
              <w:t>-</w:t>
            </w:r>
            <w:r w:rsidRPr="006016CF">
              <w:rPr>
                <w:sz w:val="28"/>
                <w:szCs w:val="28"/>
              </w:rPr>
              <w:t xml:space="preserve"> Nguyên tắc thành lập Đoàn liên ngành: Việc thành lập Đoàn thanh tra, kiểm tra liên ngành chỉ thực hiện đối với các vụ việc vi phạm có quy mô lớn, tính chất phức tạp... Không tổ chức kiểm tra liên ngành tràn lan, trùng lặp...</w:t>
            </w:r>
          </w:p>
          <w:p w14:paraId="5F67A023" w14:textId="10C8A344" w:rsidR="00AD28AE" w:rsidRPr="00AE39C8" w:rsidRDefault="006016CF" w:rsidP="00AD28AE">
            <w:pPr>
              <w:jc w:val="both"/>
              <w:rPr>
                <w:sz w:val="28"/>
                <w:szCs w:val="28"/>
              </w:rPr>
            </w:pPr>
            <w:r w:rsidRPr="00AE39C8">
              <w:rPr>
                <w:sz w:val="28"/>
                <w:szCs w:val="28"/>
              </w:rPr>
              <w:t>-</w:t>
            </w:r>
            <w:r w:rsidRPr="006016CF">
              <w:rPr>
                <w:sz w:val="28"/>
                <w:szCs w:val="28"/>
              </w:rPr>
              <w:t xml:space="preserve"> Trong trường hợp khẩn cấp (để ngăn chặn tẩu tán tang vật), cơ quan chủ trì có thể trao đổi trực tiếp qua điện thoại với lãnh đạo cơ quan phối hợp để cử lực lượng triển khai ngay, sau đó phải hoàn thiện văn bản đề nghị trong vòng 24 giờ.</w:t>
            </w:r>
          </w:p>
        </w:tc>
        <w:tc>
          <w:tcPr>
            <w:tcW w:w="5057" w:type="dxa"/>
            <w:vAlign w:val="center"/>
          </w:tcPr>
          <w:p w14:paraId="655FB359" w14:textId="77777777" w:rsidR="006016CF" w:rsidRPr="00AE39C8" w:rsidRDefault="006016CF" w:rsidP="006016CF">
            <w:pPr>
              <w:jc w:val="both"/>
              <w:rPr>
                <w:sz w:val="28"/>
                <w:szCs w:val="28"/>
              </w:rPr>
            </w:pPr>
            <w:r w:rsidRPr="00AE39C8">
              <w:rPr>
                <w:sz w:val="28"/>
                <w:szCs w:val="28"/>
              </w:rPr>
              <w:t>- Bổ sung nội dung hạn chế lập đoàn liên ngành tràn lan nhằm chấn chỉnh hoạt động kiểm tra, giảm phiền hà, sách nhiễu doanh nghiệp.</w:t>
            </w:r>
          </w:p>
          <w:p w14:paraId="25773855" w14:textId="59F7B889" w:rsidR="006016CF" w:rsidRPr="00AE39C8" w:rsidRDefault="006016CF" w:rsidP="006016CF">
            <w:pPr>
              <w:jc w:val="both"/>
              <w:rPr>
                <w:sz w:val="28"/>
                <w:szCs w:val="28"/>
                <w:lang w:val="vi-VN"/>
              </w:rPr>
            </w:pPr>
            <w:r w:rsidRPr="00AE39C8">
              <w:rPr>
                <w:sz w:val="28"/>
                <w:szCs w:val="28"/>
              </w:rPr>
              <w:t>- Bổ sung cơ chế đề nghị phối hợp trực tiếp thông qua phương tiện thông tin liên lạc đối với các trường hợp khẩn cấp. Quy định này nhằm đảm bảo tính kịp thời và bất ngờ trong công tác kiểm tra, áp dụng biện pháp ngăn chặn; khắc phục những hạn chế về thời gian của quy trình trao đổi văn bản hành chính truyền thống. Qua đó, đáp ứng yêu cầu thực tiễn đấu tranh, ngăn chặn kịp thời các hành vi tẩu tán, tiêu hủy tang vật, phương tiện vi phạm.</w:t>
            </w:r>
          </w:p>
        </w:tc>
      </w:tr>
      <w:tr w:rsidR="008C7E4D" w:rsidRPr="00AE39C8" w14:paraId="5ED5F1F5" w14:textId="77777777" w:rsidTr="001E1B12">
        <w:tc>
          <w:tcPr>
            <w:tcW w:w="590" w:type="dxa"/>
            <w:vAlign w:val="center"/>
          </w:tcPr>
          <w:p w14:paraId="1E5AA222" w14:textId="267D35AE" w:rsidR="008C7E4D" w:rsidRPr="00AE39C8" w:rsidRDefault="001E1B12" w:rsidP="00AD28AE">
            <w:pPr>
              <w:rPr>
                <w:sz w:val="28"/>
                <w:szCs w:val="28"/>
              </w:rPr>
            </w:pPr>
            <w:r>
              <w:rPr>
                <w:sz w:val="28"/>
                <w:szCs w:val="28"/>
              </w:rPr>
              <w:t>10</w:t>
            </w:r>
          </w:p>
        </w:tc>
        <w:tc>
          <w:tcPr>
            <w:tcW w:w="4952" w:type="dxa"/>
            <w:vAlign w:val="center"/>
          </w:tcPr>
          <w:p w14:paraId="342CE07E" w14:textId="29F6FFEC" w:rsidR="008C7E4D" w:rsidRPr="008C7E4D" w:rsidRDefault="008C7E4D" w:rsidP="008C7E4D">
            <w:pPr>
              <w:tabs>
                <w:tab w:val="left" w:pos="0"/>
              </w:tabs>
              <w:spacing w:before="120"/>
              <w:jc w:val="both"/>
              <w:rPr>
                <w:i/>
                <w:iCs/>
                <w:sz w:val="28"/>
                <w:szCs w:val="28"/>
              </w:rPr>
            </w:pPr>
            <w:r w:rsidRPr="008C7E4D">
              <w:rPr>
                <w:i/>
                <w:iCs/>
                <w:sz w:val="28"/>
                <w:szCs w:val="28"/>
              </w:rPr>
              <w:t>Điểm a Khoản 6 Điều 10</w:t>
            </w:r>
          </w:p>
          <w:p w14:paraId="60998F47" w14:textId="5B4FCF25" w:rsidR="008C7E4D" w:rsidRPr="008C7E4D" w:rsidRDefault="008C7E4D" w:rsidP="008C7E4D">
            <w:pPr>
              <w:tabs>
                <w:tab w:val="left" w:pos="0"/>
              </w:tabs>
              <w:spacing w:before="120"/>
              <w:jc w:val="both"/>
              <w:rPr>
                <w:i/>
                <w:iCs/>
                <w:sz w:val="28"/>
                <w:szCs w:val="28"/>
              </w:rPr>
            </w:pPr>
            <w:r w:rsidRPr="008C7E4D">
              <w:rPr>
                <w:i/>
                <w:iCs/>
                <w:sz w:val="28"/>
                <w:szCs w:val="28"/>
              </w:rPr>
              <w:lastRenderedPageBreak/>
              <w:t>6. Sử dụng kết quả xem xét, xử lý của cơ quan khác:</w:t>
            </w:r>
          </w:p>
          <w:p w14:paraId="160AC6CC" w14:textId="3CB377A3" w:rsidR="008C7E4D" w:rsidRPr="006016CF" w:rsidRDefault="008C7E4D" w:rsidP="008C7E4D">
            <w:pPr>
              <w:tabs>
                <w:tab w:val="left" w:pos="0"/>
              </w:tabs>
              <w:spacing w:before="120"/>
              <w:jc w:val="both"/>
              <w:rPr>
                <w:i/>
                <w:iCs/>
                <w:sz w:val="28"/>
                <w:szCs w:val="28"/>
              </w:rPr>
            </w:pPr>
            <w:r w:rsidRPr="008C7E4D">
              <w:rPr>
                <w:i/>
                <w:iCs/>
                <w:sz w:val="28"/>
                <w:szCs w:val="28"/>
              </w:rPr>
              <w:t>a) Cơ quan có thẩm quyền xử lý xâm phạm quyền sở hữu trí tuệ có quyền sử dụng kết quả xác định hành vi vi phạm, xác định giá trị hàng hóa vi phạm do cơ quan có thẩm quyền khác thực hiện nếu có; bảo đảm thống nhất về biện pháp xử lý...</w:t>
            </w:r>
          </w:p>
        </w:tc>
        <w:tc>
          <w:tcPr>
            <w:tcW w:w="3961" w:type="dxa"/>
            <w:vAlign w:val="center"/>
          </w:tcPr>
          <w:p w14:paraId="7104EB36" w14:textId="59C48FCD" w:rsidR="008C7E4D" w:rsidRPr="008C7E4D" w:rsidRDefault="008C7E4D" w:rsidP="008C7E4D">
            <w:pPr>
              <w:jc w:val="both"/>
              <w:rPr>
                <w:i/>
                <w:iCs/>
                <w:sz w:val="28"/>
                <w:szCs w:val="28"/>
              </w:rPr>
            </w:pPr>
            <w:r w:rsidRPr="008C7E4D">
              <w:rPr>
                <w:i/>
                <w:iCs/>
                <w:sz w:val="28"/>
                <w:szCs w:val="28"/>
              </w:rPr>
              <w:lastRenderedPageBreak/>
              <w:t>Khoản 3 Điều 12</w:t>
            </w:r>
          </w:p>
          <w:p w14:paraId="36794EC9" w14:textId="3F34B50F" w:rsidR="008C7E4D" w:rsidRPr="006016CF" w:rsidRDefault="008C7E4D" w:rsidP="006016CF">
            <w:pPr>
              <w:jc w:val="both"/>
              <w:rPr>
                <w:i/>
                <w:iCs/>
                <w:sz w:val="28"/>
                <w:szCs w:val="28"/>
              </w:rPr>
            </w:pPr>
            <w:r w:rsidRPr="008C7E4D">
              <w:rPr>
                <w:i/>
                <w:iCs/>
                <w:sz w:val="28"/>
                <w:szCs w:val="28"/>
              </w:rPr>
              <w:t xml:space="preserve">3. Việc sử dụng kết quả giám định: Các cơ quan thực thi pháp </w:t>
            </w:r>
            <w:r w:rsidRPr="008C7E4D">
              <w:rPr>
                <w:i/>
                <w:iCs/>
                <w:sz w:val="28"/>
                <w:szCs w:val="28"/>
              </w:rPr>
              <w:lastRenderedPageBreak/>
              <w:t>luật trên địa bàn thành phố được quyền kế thừa, sử dụng chung kết quả giám định, định giá tài sản của nhau đối với cùng một lô hàng, một vụ việc vi phạm để rút ngắn thời gian xử lý, tiết kiệm chi phí cho ngân sách và doanh nghiệp.</w:t>
            </w:r>
          </w:p>
        </w:tc>
        <w:tc>
          <w:tcPr>
            <w:tcW w:w="5057" w:type="dxa"/>
            <w:vAlign w:val="center"/>
          </w:tcPr>
          <w:p w14:paraId="66D04437" w14:textId="2499277E" w:rsidR="008C7E4D" w:rsidRPr="00AE39C8" w:rsidRDefault="008C7E4D" w:rsidP="006016CF">
            <w:pPr>
              <w:jc w:val="both"/>
              <w:rPr>
                <w:sz w:val="28"/>
                <w:szCs w:val="28"/>
              </w:rPr>
            </w:pPr>
            <w:r w:rsidRPr="008C7E4D">
              <w:rPr>
                <w:sz w:val="28"/>
                <w:szCs w:val="28"/>
              </w:rPr>
              <w:lastRenderedPageBreak/>
              <w:t xml:space="preserve">Cụ thể hóa việc </w:t>
            </w:r>
            <w:r w:rsidR="005C3192">
              <w:rPr>
                <w:sz w:val="28"/>
                <w:szCs w:val="28"/>
              </w:rPr>
              <w:t>“</w:t>
            </w:r>
            <w:r w:rsidRPr="008C7E4D">
              <w:rPr>
                <w:sz w:val="28"/>
                <w:szCs w:val="28"/>
              </w:rPr>
              <w:t>sử dụng kết quả</w:t>
            </w:r>
            <w:r w:rsidR="005C3192">
              <w:rPr>
                <w:sz w:val="28"/>
                <w:szCs w:val="28"/>
              </w:rPr>
              <w:t>”</w:t>
            </w:r>
            <w:r w:rsidRPr="008C7E4D">
              <w:rPr>
                <w:sz w:val="28"/>
                <w:szCs w:val="28"/>
              </w:rPr>
              <w:t xml:space="preserve"> thành quyền </w:t>
            </w:r>
            <w:r w:rsidR="005C3192" w:rsidRPr="005C3192">
              <w:rPr>
                <w:sz w:val="28"/>
                <w:szCs w:val="28"/>
              </w:rPr>
              <w:t>“</w:t>
            </w:r>
            <w:r w:rsidRPr="005C3192">
              <w:rPr>
                <w:sz w:val="28"/>
                <w:szCs w:val="28"/>
              </w:rPr>
              <w:t>kế thừa kết quả giám định</w:t>
            </w:r>
            <w:r w:rsidR="005C3192" w:rsidRPr="005C3192">
              <w:rPr>
                <w:sz w:val="28"/>
                <w:szCs w:val="28"/>
              </w:rPr>
              <w:t>”</w:t>
            </w:r>
            <w:r w:rsidRPr="005C3192">
              <w:rPr>
                <w:sz w:val="28"/>
                <w:szCs w:val="28"/>
              </w:rPr>
              <w:t>.</w:t>
            </w:r>
            <w:r w:rsidRPr="008C7E4D">
              <w:rPr>
                <w:sz w:val="28"/>
                <w:szCs w:val="28"/>
              </w:rPr>
              <w:t xml:space="preserve"> Chi phí giám định sở hữu trí tuệ (nhất là giám định </w:t>
            </w:r>
            <w:r w:rsidRPr="008C7E4D">
              <w:rPr>
                <w:sz w:val="28"/>
                <w:szCs w:val="28"/>
              </w:rPr>
              <w:lastRenderedPageBreak/>
              <w:t>sở hữu công nghiệp) hiện nay rất cao và thời gian kéo dài. Việc cho phép lực lượng sau được dùng kết quả giám định của lực lượng trước đối với cùng 1 lô hàng sẽ tiết kiệm ngân sách nhà nước, thời gian xử lý án và chi phí của chủ thể quyền.</w:t>
            </w:r>
          </w:p>
        </w:tc>
      </w:tr>
      <w:tr w:rsidR="001E1B12" w:rsidRPr="00AE39C8" w14:paraId="45ABC3DC" w14:textId="77777777" w:rsidTr="001E1B12">
        <w:tc>
          <w:tcPr>
            <w:tcW w:w="590" w:type="dxa"/>
            <w:vAlign w:val="center"/>
          </w:tcPr>
          <w:p w14:paraId="4DA97A0A" w14:textId="6DCE7412" w:rsidR="001E1B12" w:rsidRDefault="001E1B12" w:rsidP="00AD28AE">
            <w:pPr>
              <w:rPr>
                <w:sz w:val="28"/>
                <w:szCs w:val="28"/>
              </w:rPr>
            </w:pPr>
            <w:r>
              <w:rPr>
                <w:sz w:val="28"/>
                <w:szCs w:val="28"/>
              </w:rPr>
              <w:lastRenderedPageBreak/>
              <w:t>11</w:t>
            </w:r>
          </w:p>
        </w:tc>
        <w:tc>
          <w:tcPr>
            <w:tcW w:w="4952" w:type="dxa"/>
            <w:vAlign w:val="center"/>
          </w:tcPr>
          <w:p w14:paraId="4EA08770" w14:textId="77777777" w:rsidR="001E1B12" w:rsidRPr="001E1B12" w:rsidRDefault="001E1B12" w:rsidP="001E1B12">
            <w:pPr>
              <w:tabs>
                <w:tab w:val="left" w:pos="0"/>
              </w:tabs>
              <w:spacing w:before="120"/>
              <w:jc w:val="both"/>
              <w:rPr>
                <w:i/>
                <w:iCs/>
                <w:sz w:val="28"/>
                <w:szCs w:val="28"/>
              </w:rPr>
            </w:pPr>
            <w:r w:rsidRPr="001E1B12">
              <w:rPr>
                <w:b/>
                <w:bCs/>
                <w:i/>
                <w:iCs/>
                <w:sz w:val="28"/>
                <w:szCs w:val="28"/>
              </w:rPr>
              <w:t>Cơ chế chuyển giao hồ sơ vụ việc</w:t>
            </w:r>
          </w:p>
          <w:p w14:paraId="55E1EBFA" w14:textId="77777777" w:rsidR="001E1B12" w:rsidRPr="001E1B12" w:rsidRDefault="001E1B12" w:rsidP="001E1B12">
            <w:pPr>
              <w:tabs>
                <w:tab w:val="left" w:pos="0"/>
              </w:tabs>
              <w:spacing w:before="120"/>
              <w:jc w:val="both"/>
              <w:rPr>
                <w:i/>
                <w:iCs/>
                <w:sz w:val="28"/>
                <w:szCs w:val="28"/>
              </w:rPr>
            </w:pPr>
            <w:r w:rsidRPr="001E1B12">
              <w:rPr>
                <w:i/>
                <w:iCs/>
                <w:sz w:val="28"/>
                <w:szCs w:val="28"/>
              </w:rPr>
              <w:t>(Không có điều khoản quy định riêng trong QĐ 2913/2014, chỉ quy định chung tại Khoản 3 Điều 10):</w:t>
            </w:r>
          </w:p>
          <w:p w14:paraId="79BBAE04" w14:textId="76E2F552" w:rsidR="001E1B12" w:rsidRPr="008C7E4D" w:rsidRDefault="001E1B12" w:rsidP="008C7E4D">
            <w:pPr>
              <w:tabs>
                <w:tab w:val="left" w:pos="0"/>
              </w:tabs>
              <w:spacing w:before="120"/>
              <w:jc w:val="both"/>
              <w:rPr>
                <w:i/>
                <w:iCs/>
                <w:sz w:val="28"/>
                <w:szCs w:val="28"/>
              </w:rPr>
            </w:pPr>
            <w:r w:rsidRPr="001E1B12">
              <w:rPr>
                <w:i/>
                <w:iCs/>
                <w:sz w:val="28"/>
                <w:szCs w:val="28"/>
              </w:rPr>
              <w:t>3. Các cơ quan có thẩm quyền xử lý xâm phạm quyền sở hữu trí tuệ có trách nhiệm mời cơ quan Thanh tra chuyên ngành và cơ quan chuyên môn... phối hợp trong một hoặc nhiều giai đoạn trong quá trình kiểm tra, kiểm soát, điều tra, xử lý theo thẩm quyền.</w:t>
            </w:r>
          </w:p>
        </w:tc>
        <w:tc>
          <w:tcPr>
            <w:tcW w:w="3961" w:type="dxa"/>
            <w:vAlign w:val="center"/>
          </w:tcPr>
          <w:p w14:paraId="4C77C1FA" w14:textId="77777777" w:rsidR="001E1B12" w:rsidRPr="001E1B12" w:rsidRDefault="001E1B12" w:rsidP="001E1B12">
            <w:pPr>
              <w:jc w:val="both"/>
              <w:rPr>
                <w:i/>
                <w:iCs/>
                <w:sz w:val="28"/>
                <w:szCs w:val="28"/>
              </w:rPr>
            </w:pPr>
            <w:r w:rsidRPr="001E1B12">
              <w:rPr>
                <w:b/>
                <w:bCs/>
                <w:i/>
                <w:iCs/>
                <w:sz w:val="28"/>
                <w:szCs w:val="28"/>
              </w:rPr>
              <w:t>Phối hợp chuyển giao hồ sơ</w:t>
            </w:r>
          </w:p>
          <w:p w14:paraId="67B99397" w14:textId="77777777" w:rsidR="001E1B12" w:rsidRPr="001E1B12" w:rsidRDefault="001E1B12" w:rsidP="001E1B12">
            <w:pPr>
              <w:jc w:val="both"/>
              <w:rPr>
                <w:i/>
                <w:iCs/>
                <w:sz w:val="28"/>
                <w:szCs w:val="28"/>
              </w:rPr>
            </w:pPr>
            <w:r w:rsidRPr="001E1B12">
              <w:rPr>
                <w:i/>
                <w:iCs/>
                <w:sz w:val="28"/>
                <w:szCs w:val="28"/>
              </w:rPr>
              <w:t>(Khoản 2 Điều 13 Dự thảo):</w:t>
            </w:r>
          </w:p>
          <w:p w14:paraId="5C08C853" w14:textId="39A35B30" w:rsidR="001E1B12" w:rsidRPr="001E1B12" w:rsidRDefault="001E1B12" w:rsidP="001E1B12">
            <w:pPr>
              <w:jc w:val="both"/>
              <w:rPr>
                <w:i/>
                <w:iCs/>
                <w:sz w:val="28"/>
                <w:szCs w:val="28"/>
              </w:rPr>
            </w:pPr>
            <w:r w:rsidRPr="001E1B12">
              <w:rPr>
                <w:i/>
                <w:iCs/>
                <w:sz w:val="28"/>
                <w:szCs w:val="28"/>
              </w:rPr>
              <w:t>2. Mọi cơ quan khi phát hiện vụ việc vi phạm có dấu hiệu cấu thành tội phạm hình sự theo quy định của Bộ luật Hình sự đều phải đình chỉ ngay việc xử phạt vi phạm hành chính, lập hồ sơ và chuyển giao toàn bộ tang vật, phương tiện vi phạm cho cơ quan Cảnh sát điều tra Công an thành phố xử lý theo quy định tại Điều 62 Luật Xử lý vi phạm hành chính (đã được sửa đổi, bổ sung năm 2020).</w:t>
            </w:r>
          </w:p>
          <w:p w14:paraId="300FCE3C" w14:textId="77777777" w:rsidR="001E1B12" w:rsidRPr="008C7E4D" w:rsidRDefault="001E1B12" w:rsidP="008C7E4D">
            <w:pPr>
              <w:jc w:val="both"/>
              <w:rPr>
                <w:i/>
                <w:iCs/>
                <w:sz w:val="28"/>
                <w:szCs w:val="28"/>
              </w:rPr>
            </w:pPr>
          </w:p>
        </w:tc>
        <w:tc>
          <w:tcPr>
            <w:tcW w:w="5057" w:type="dxa"/>
            <w:vAlign w:val="center"/>
          </w:tcPr>
          <w:p w14:paraId="69679428" w14:textId="7EEEF030" w:rsidR="001E1B12" w:rsidRPr="008C7E4D" w:rsidRDefault="001E1B12" w:rsidP="006016CF">
            <w:pPr>
              <w:jc w:val="both"/>
              <w:rPr>
                <w:sz w:val="28"/>
                <w:szCs w:val="28"/>
              </w:rPr>
            </w:pPr>
            <w:r w:rsidRPr="001E1B12">
              <w:rPr>
                <w:sz w:val="28"/>
                <w:szCs w:val="28"/>
              </w:rPr>
              <w:t xml:space="preserve">Đây là điểm mới và tuân thủ </w:t>
            </w:r>
            <w:r>
              <w:rPr>
                <w:sz w:val="28"/>
                <w:szCs w:val="28"/>
              </w:rPr>
              <w:t xml:space="preserve">theo </w:t>
            </w:r>
            <w:r w:rsidRPr="001E1B12">
              <w:rPr>
                <w:sz w:val="28"/>
                <w:szCs w:val="28"/>
              </w:rPr>
              <w:t>Điều 62 Luật Xử lý vi phạm hành chính.</w:t>
            </w:r>
          </w:p>
        </w:tc>
      </w:tr>
      <w:tr w:rsidR="008276D3" w:rsidRPr="00AE39C8" w14:paraId="103AD6B8" w14:textId="77777777" w:rsidTr="001E1B12">
        <w:tc>
          <w:tcPr>
            <w:tcW w:w="590" w:type="dxa"/>
            <w:vAlign w:val="center"/>
          </w:tcPr>
          <w:p w14:paraId="490C13B2" w14:textId="72708F7E" w:rsidR="008276D3" w:rsidRDefault="001E1B12" w:rsidP="00AD28AE">
            <w:pPr>
              <w:rPr>
                <w:sz w:val="28"/>
                <w:szCs w:val="28"/>
              </w:rPr>
            </w:pPr>
            <w:r>
              <w:rPr>
                <w:sz w:val="28"/>
                <w:szCs w:val="28"/>
              </w:rPr>
              <w:t>12</w:t>
            </w:r>
          </w:p>
        </w:tc>
        <w:tc>
          <w:tcPr>
            <w:tcW w:w="4952" w:type="dxa"/>
            <w:vAlign w:val="center"/>
          </w:tcPr>
          <w:p w14:paraId="6FAF32DA" w14:textId="0DEF9405" w:rsidR="008276D3" w:rsidRPr="008276D3" w:rsidRDefault="008276D3" w:rsidP="008276D3">
            <w:pPr>
              <w:tabs>
                <w:tab w:val="left" w:pos="0"/>
              </w:tabs>
              <w:spacing w:before="120"/>
              <w:jc w:val="both"/>
              <w:rPr>
                <w:i/>
                <w:iCs/>
                <w:sz w:val="28"/>
                <w:szCs w:val="28"/>
              </w:rPr>
            </w:pPr>
            <w:r w:rsidRPr="008276D3">
              <w:rPr>
                <w:i/>
                <w:iCs/>
                <w:sz w:val="28"/>
                <w:szCs w:val="28"/>
              </w:rPr>
              <w:t>Khoản 1 Điều 1 QĐ 39/2019/QĐ-UBND</w:t>
            </w:r>
          </w:p>
          <w:p w14:paraId="18767CD7" w14:textId="0E6195C9" w:rsidR="008276D3" w:rsidRPr="008276D3" w:rsidRDefault="008276D3" w:rsidP="008276D3">
            <w:pPr>
              <w:tabs>
                <w:tab w:val="left" w:pos="0"/>
              </w:tabs>
              <w:spacing w:before="120"/>
              <w:jc w:val="both"/>
              <w:rPr>
                <w:i/>
                <w:iCs/>
                <w:sz w:val="28"/>
                <w:szCs w:val="28"/>
              </w:rPr>
            </w:pPr>
            <w:r w:rsidRPr="008276D3">
              <w:rPr>
                <w:i/>
                <w:iCs/>
                <w:sz w:val="28"/>
                <w:szCs w:val="28"/>
              </w:rPr>
              <w:t xml:space="preserve">1. Sở Khoa học và Công nghệ... có trách nhiệm theo dõi, tổng hợp tình hình thực hiện Quy chế này, định kỳ hàng năm báo </w:t>
            </w:r>
            <w:r w:rsidRPr="008276D3">
              <w:rPr>
                <w:i/>
                <w:iCs/>
                <w:sz w:val="28"/>
                <w:szCs w:val="28"/>
              </w:rPr>
              <w:lastRenderedPageBreak/>
              <w:t>cáo Ủy ban nhân dân thành phố để chỉ đạo</w:t>
            </w:r>
            <w:r w:rsidR="005C3192">
              <w:rPr>
                <w:i/>
                <w:iCs/>
                <w:sz w:val="28"/>
                <w:szCs w:val="28"/>
              </w:rPr>
              <w:t>”</w:t>
            </w:r>
            <w:r w:rsidRPr="008276D3">
              <w:rPr>
                <w:i/>
                <w:iCs/>
                <w:sz w:val="28"/>
                <w:szCs w:val="28"/>
              </w:rPr>
              <w:t>, cụ thể:</w:t>
            </w:r>
          </w:p>
          <w:p w14:paraId="5814FEDC" w14:textId="77777777" w:rsidR="008276D3" w:rsidRPr="008276D3" w:rsidRDefault="008276D3" w:rsidP="008276D3">
            <w:pPr>
              <w:tabs>
                <w:tab w:val="left" w:pos="0"/>
              </w:tabs>
              <w:spacing w:before="120"/>
              <w:jc w:val="both"/>
              <w:rPr>
                <w:i/>
                <w:iCs/>
                <w:sz w:val="28"/>
                <w:szCs w:val="28"/>
              </w:rPr>
            </w:pPr>
            <w:r w:rsidRPr="008276D3">
              <w:rPr>
                <w:i/>
                <w:iCs/>
                <w:sz w:val="28"/>
                <w:szCs w:val="28"/>
              </w:rPr>
              <w:t>- Thời điểm chốt số liệu báo cáo: ngày 10/12 hàng năm.</w:t>
            </w:r>
          </w:p>
          <w:p w14:paraId="74012C8D" w14:textId="77777777" w:rsidR="008276D3" w:rsidRPr="008276D3" w:rsidRDefault="008276D3" w:rsidP="008276D3">
            <w:pPr>
              <w:tabs>
                <w:tab w:val="left" w:pos="0"/>
              </w:tabs>
              <w:spacing w:before="120"/>
              <w:jc w:val="both"/>
              <w:rPr>
                <w:i/>
                <w:iCs/>
                <w:sz w:val="28"/>
                <w:szCs w:val="28"/>
              </w:rPr>
            </w:pPr>
            <w:r w:rsidRPr="008276D3">
              <w:rPr>
                <w:i/>
                <w:iCs/>
                <w:sz w:val="28"/>
                <w:szCs w:val="28"/>
              </w:rPr>
              <w:t>- Thời điểm gửi báo cáo: ngày 15/12 hàng năm.</w:t>
            </w:r>
          </w:p>
          <w:p w14:paraId="6F5C7F2F" w14:textId="7C58F8AD" w:rsidR="008276D3" w:rsidRPr="008C7E4D" w:rsidRDefault="008276D3" w:rsidP="008C7E4D">
            <w:pPr>
              <w:tabs>
                <w:tab w:val="left" w:pos="0"/>
              </w:tabs>
              <w:spacing w:before="120"/>
              <w:jc w:val="both"/>
              <w:rPr>
                <w:i/>
                <w:iCs/>
                <w:sz w:val="28"/>
                <w:szCs w:val="28"/>
              </w:rPr>
            </w:pPr>
            <w:r w:rsidRPr="008276D3">
              <w:rPr>
                <w:i/>
                <w:iCs/>
                <w:sz w:val="28"/>
                <w:szCs w:val="28"/>
              </w:rPr>
              <w:t>- Mẫu Đề cương Báo cáo...</w:t>
            </w:r>
          </w:p>
        </w:tc>
        <w:tc>
          <w:tcPr>
            <w:tcW w:w="3961" w:type="dxa"/>
            <w:vAlign w:val="center"/>
          </w:tcPr>
          <w:p w14:paraId="1E7F33C2" w14:textId="30D819A0" w:rsidR="008276D3" w:rsidRPr="008276D3" w:rsidRDefault="008276D3" w:rsidP="008276D3">
            <w:pPr>
              <w:jc w:val="both"/>
              <w:rPr>
                <w:i/>
                <w:iCs/>
                <w:sz w:val="28"/>
                <w:szCs w:val="28"/>
              </w:rPr>
            </w:pPr>
            <w:r w:rsidRPr="008276D3">
              <w:rPr>
                <w:i/>
                <w:iCs/>
                <w:sz w:val="28"/>
                <w:szCs w:val="28"/>
              </w:rPr>
              <w:lastRenderedPageBreak/>
              <w:t>Khoản 2 Điều 15</w:t>
            </w:r>
          </w:p>
          <w:p w14:paraId="10F15400" w14:textId="6D5BD45B" w:rsidR="008276D3" w:rsidRPr="008276D3" w:rsidRDefault="008276D3" w:rsidP="008276D3">
            <w:pPr>
              <w:jc w:val="both"/>
              <w:rPr>
                <w:i/>
                <w:iCs/>
                <w:sz w:val="28"/>
                <w:szCs w:val="28"/>
              </w:rPr>
            </w:pPr>
            <w:r w:rsidRPr="008276D3">
              <w:rPr>
                <w:i/>
                <w:iCs/>
                <w:sz w:val="28"/>
                <w:szCs w:val="28"/>
              </w:rPr>
              <w:t>2. Thời gian chốt số liệu và gửi báo cáo:</w:t>
            </w:r>
          </w:p>
          <w:p w14:paraId="7500FE2C" w14:textId="77777777" w:rsidR="008276D3" w:rsidRPr="008276D3" w:rsidRDefault="008276D3" w:rsidP="008276D3">
            <w:pPr>
              <w:jc w:val="both"/>
              <w:rPr>
                <w:i/>
                <w:iCs/>
                <w:sz w:val="28"/>
                <w:szCs w:val="28"/>
              </w:rPr>
            </w:pPr>
            <w:r w:rsidRPr="008276D3">
              <w:rPr>
                <w:i/>
                <w:iCs/>
                <w:sz w:val="28"/>
                <w:szCs w:val="28"/>
              </w:rPr>
              <w:t xml:space="preserve">a) Thời gian chốt số liệu báo cáo định kỳ hàng năm: Tính từ ngày </w:t>
            </w:r>
            <w:r w:rsidRPr="008276D3">
              <w:rPr>
                <w:i/>
                <w:iCs/>
                <w:sz w:val="28"/>
                <w:szCs w:val="28"/>
              </w:rPr>
              <w:lastRenderedPageBreak/>
              <w:t>15 tháng 12 năm trước kỳ báo cáo đến ngày 14 tháng 12 của năm kỳ báo cáo.</w:t>
            </w:r>
          </w:p>
          <w:p w14:paraId="4A882104" w14:textId="74FAD0A3" w:rsidR="008276D3" w:rsidRPr="008C7E4D" w:rsidRDefault="008276D3" w:rsidP="008C7E4D">
            <w:pPr>
              <w:jc w:val="both"/>
              <w:rPr>
                <w:i/>
                <w:iCs/>
                <w:sz w:val="28"/>
                <w:szCs w:val="28"/>
              </w:rPr>
            </w:pPr>
            <w:r w:rsidRPr="008276D3">
              <w:rPr>
                <w:i/>
                <w:iCs/>
                <w:sz w:val="28"/>
                <w:szCs w:val="28"/>
              </w:rPr>
              <w:t>b) Thời hạn gửi báo cáo: Các cơ quan, đơn vị gửi báo cáo về Sở Khoa học và Công nghệ chậm nhất vào ngày 25 tháng 12 hàng năm.</w:t>
            </w:r>
          </w:p>
        </w:tc>
        <w:tc>
          <w:tcPr>
            <w:tcW w:w="5057" w:type="dxa"/>
            <w:vAlign w:val="center"/>
          </w:tcPr>
          <w:p w14:paraId="63676281" w14:textId="5F408AB4" w:rsidR="008276D3" w:rsidRPr="008C7E4D" w:rsidRDefault="008276D3" w:rsidP="006016CF">
            <w:pPr>
              <w:jc w:val="both"/>
              <w:rPr>
                <w:sz w:val="28"/>
                <w:szCs w:val="28"/>
              </w:rPr>
            </w:pPr>
            <w:r>
              <w:rPr>
                <w:sz w:val="28"/>
                <w:szCs w:val="28"/>
              </w:rPr>
              <w:lastRenderedPageBreak/>
              <w:t>Theo</w:t>
            </w:r>
            <w:r w:rsidRPr="008276D3">
              <w:rPr>
                <w:sz w:val="28"/>
                <w:szCs w:val="28"/>
              </w:rPr>
              <w:t xml:space="preserve"> quy định tại Điều 12 Nghị định số 09/2019/NĐ-CP ngày 24/01/2019 của Chính phủ </w:t>
            </w:r>
            <w:r>
              <w:rPr>
                <w:sz w:val="28"/>
                <w:szCs w:val="28"/>
              </w:rPr>
              <w:t>Q</w:t>
            </w:r>
            <w:r w:rsidRPr="008276D3">
              <w:rPr>
                <w:sz w:val="28"/>
                <w:szCs w:val="28"/>
              </w:rPr>
              <w:t>uy định về chế độ báo cáo của cơ quan hành chính nhà nước</w:t>
            </w:r>
          </w:p>
        </w:tc>
      </w:tr>
    </w:tbl>
    <w:p w14:paraId="222F3D83" w14:textId="77777777" w:rsidR="00DF3DC8" w:rsidRPr="00AE39C8" w:rsidRDefault="00DF3DC8" w:rsidP="000B3F5A">
      <w:pPr>
        <w:jc w:val="both"/>
        <w:rPr>
          <w:b/>
          <w:bCs/>
          <w:sz w:val="28"/>
          <w:szCs w:val="28"/>
          <w:lang w:val="vi-VN"/>
        </w:rPr>
      </w:pPr>
    </w:p>
    <w:sectPr w:rsidR="00DF3DC8" w:rsidRPr="00AE39C8" w:rsidSect="00583FB1">
      <w:pgSz w:w="16838" w:h="11906" w:orient="landscape" w:code="9"/>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C8"/>
    <w:rsid w:val="00047BA3"/>
    <w:rsid w:val="00047D94"/>
    <w:rsid w:val="00050A0D"/>
    <w:rsid w:val="000B3F5A"/>
    <w:rsid w:val="0018666E"/>
    <w:rsid w:val="001B2210"/>
    <w:rsid w:val="001E1B12"/>
    <w:rsid w:val="001E5EBA"/>
    <w:rsid w:val="002066B4"/>
    <w:rsid w:val="00220E2D"/>
    <w:rsid w:val="002471B1"/>
    <w:rsid w:val="002853AD"/>
    <w:rsid w:val="002920C1"/>
    <w:rsid w:val="00292516"/>
    <w:rsid w:val="002E44FF"/>
    <w:rsid w:val="0030139F"/>
    <w:rsid w:val="00356C6C"/>
    <w:rsid w:val="003624E7"/>
    <w:rsid w:val="00481B8C"/>
    <w:rsid w:val="00553620"/>
    <w:rsid w:val="00583FB1"/>
    <w:rsid w:val="005C3192"/>
    <w:rsid w:val="005D1167"/>
    <w:rsid w:val="005E2949"/>
    <w:rsid w:val="006016CF"/>
    <w:rsid w:val="0061648E"/>
    <w:rsid w:val="00624C63"/>
    <w:rsid w:val="00643653"/>
    <w:rsid w:val="00673304"/>
    <w:rsid w:val="00762A5C"/>
    <w:rsid w:val="007B0758"/>
    <w:rsid w:val="008276D3"/>
    <w:rsid w:val="00866A22"/>
    <w:rsid w:val="0089132F"/>
    <w:rsid w:val="008A35F2"/>
    <w:rsid w:val="008C708C"/>
    <w:rsid w:val="008C7E4D"/>
    <w:rsid w:val="0090757C"/>
    <w:rsid w:val="00955C21"/>
    <w:rsid w:val="0095647A"/>
    <w:rsid w:val="00966186"/>
    <w:rsid w:val="0097270D"/>
    <w:rsid w:val="009B5E0E"/>
    <w:rsid w:val="009D6873"/>
    <w:rsid w:val="00A56F73"/>
    <w:rsid w:val="00AA00C6"/>
    <w:rsid w:val="00AB41B8"/>
    <w:rsid w:val="00AB554C"/>
    <w:rsid w:val="00AD28AE"/>
    <w:rsid w:val="00AE39C8"/>
    <w:rsid w:val="00B839FE"/>
    <w:rsid w:val="00BB76FC"/>
    <w:rsid w:val="00C87D02"/>
    <w:rsid w:val="00CC3EF9"/>
    <w:rsid w:val="00D07C93"/>
    <w:rsid w:val="00D13BA6"/>
    <w:rsid w:val="00D30DF9"/>
    <w:rsid w:val="00D844FB"/>
    <w:rsid w:val="00DA7991"/>
    <w:rsid w:val="00DF3DC8"/>
    <w:rsid w:val="00E53B4F"/>
    <w:rsid w:val="00E574A7"/>
    <w:rsid w:val="00E81154"/>
    <w:rsid w:val="00EF2D01"/>
    <w:rsid w:val="00FB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667A"/>
  <w15:chartTrackingRefBased/>
  <w15:docId w15:val="{751427B9-5785-4522-87E3-6A7B7BEE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C8"/>
    <w:pPr>
      <w:spacing w:after="0" w:line="240" w:lineRule="auto"/>
      <w:jc w:val="center"/>
    </w:pPr>
    <w:rPr>
      <w:rFonts w:ascii="Times New Roman" w:eastAsia="Calibri" w:hAnsi="Times New Roman" w:cs="Times New Roman"/>
      <w:szCs w:val="22"/>
      <w14:ligatures w14:val="none"/>
    </w:rPr>
  </w:style>
  <w:style w:type="paragraph" w:styleId="Heading1">
    <w:name w:val="heading 1"/>
    <w:basedOn w:val="Normal"/>
    <w:next w:val="Normal"/>
    <w:link w:val="Heading1Char"/>
    <w:uiPriority w:val="9"/>
    <w:qFormat/>
    <w:rsid w:val="00DF3D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3D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3D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3D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3D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3D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D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D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D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3D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3D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3D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3D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3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DC8"/>
    <w:rPr>
      <w:rFonts w:eastAsiaTheme="majorEastAsia" w:cstheme="majorBidi"/>
      <w:color w:val="272727" w:themeColor="text1" w:themeTint="D8"/>
    </w:rPr>
  </w:style>
  <w:style w:type="paragraph" w:styleId="Title">
    <w:name w:val="Title"/>
    <w:basedOn w:val="Normal"/>
    <w:next w:val="Normal"/>
    <w:link w:val="TitleChar"/>
    <w:uiPriority w:val="10"/>
    <w:qFormat/>
    <w:rsid w:val="00DF3D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DC8"/>
    <w:pPr>
      <w:spacing w:before="160"/>
    </w:pPr>
    <w:rPr>
      <w:i/>
      <w:iCs/>
      <w:color w:val="404040" w:themeColor="text1" w:themeTint="BF"/>
    </w:rPr>
  </w:style>
  <w:style w:type="character" w:customStyle="1" w:styleId="QuoteChar">
    <w:name w:val="Quote Char"/>
    <w:basedOn w:val="DefaultParagraphFont"/>
    <w:link w:val="Quote"/>
    <w:uiPriority w:val="29"/>
    <w:rsid w:val="00DF3DC8"/>
    <w:rPr>
      <w:i/>
      <w:iCs/>
      <w:color w:val="404040" w:themeColor="text1" w:themeTint="BF"/>
    </w:rPr>
  </w:style>
  <w:style w:type="paragraph" w:styleId="ListParagraph">
    <w:name w:val="List Paragraph"/>
    <w:basedOn w:val="Normal"/>
    <w:uiPriority w:val="34"/>
    <w:qFormat/>
    <w:rsid w:val="00DF3DC8"/>
    <w:pPr>
      <w:ind w:left="720"/>
      <w:contextualSpacing/>
    </w:pPr>
  </w:style>
  <w:style w:type="character" w:styleId="IntenseEmphasis">
    <w:name w:val="Intense Emphasis"/>
    <w:basedOn w:val="DefaultParagraphFont"/>
    <w:uiPriority w:val="21"/>
    <w:qFormat/>
    <w:rsid w:val="00DF3DC8"/>
    <w:rPr>
      <w:i/>
      <w:iCs/>
      <w:color w:val="2F5496" w:themeColor="accent1" w:themeShade="BF"/>
    </w:rPr>
  </w:style>
  <w:style w:type="paragraph" w:styleId="IntenseQuote">
    <w:name w:val="Intense Quote"/>
    <w:basedOn w:val="Normal"/>
    <w:next w:val="Normal"/>
    <w:link w:val="IntenseQuoteChar"/>
    <w:uiPriority w:val="30"/>
    <w:qFormat/>
    <w:rsid w:val="00DF3DC8"/>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DF3DC8"/>
    <w:rPr>
      <w:i/>
      <w:iCs/>
      <w:color w:val="2F5496" w:themeColor="accent1" w:themeShade="BF"/>
    </w:rPr>
  </w:style>
  <w:style w:type="character" w:styleId="IntenseReference">
    <w:name w:val="Intense Reference"/>
    <w:basedOn w:val="DefaultParagraphFont"/>
    <w:uiPriority w:val="32"/>
    <w:qFormat/>
    <w:rsid w:val="00DF3DC8"/>
    <w:rPr>
      <w:b/>
      <w:bCs/>
      <w:smallCaps/>
      <w:color w:val="2F5496" w:themeColor="accent1" w:themeShade="BF"/>
      <w:spacing w:val="5"/>
    </w:rPr>
  </w:style>
  <w:style w:type="table" w:styleId="TableGrid">
    <w:name w:val="Table Grid"/>
    <w:basedOn w:val="TableNormal"/>
    <w:uiPriority w:val="39"/>
    <w:rsid w:val="00DF3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6</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hp.skhcn36</dc:creator>
  <cp:keywords/>
  <dc:description/>
  <cp:lastModifiedBy>Administrator</cp:lastModifiedBy>
  <cp:revision>9</cp:revision>
  <cp:lastPrinted>2026-03-12T04:20:00Z</cp:lastPrinted>
  <dcterms:created xsi:type="dcterms:W3CDTF">2026-03-11T08:29:00Z</dcterms:created>
  <dcterms:modified xsi:type="dcterms:W3CDTF">2026-04-22T03:13:00Z</dcterms:modified>
</cp:coreProperties>
</file>