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16" w:type="dxa"/>
        <w:tblInd w:w="5" w:type="dxa"/>
        <w:tblLayout w:type="fixed"/>
        <w:tblCellMar>
          <w:left w:w="0" w:type="dxa"/>
          <w:right w:w="0" w:type="dxa"/>
        </w:tblCellMar>
        <w:tblLook w:val="04A0" w:firstRow="1" w:lastRow="0" w:firstColumn="1" w:lastColumn="0" w:noHBand="0" w:noVBand="1"/>
      </w:tblPr>
      <w:tblGrid>
        <w:gridCol w:w="3828"/>
        <w:gridCol w:w="4506"/>
        <w:gridCol w:w="5982"/>
      </w:tblGrid>
      <w:tr w:rsidR="00194A89" w14:paraId="48768812" w14:textId="77777777">
        <w:trPr>
          <w:cantSplit/>
          <w:trHeight w:val="840"/>
        </w:trPr>
        <w:tc>
          <w:tcPr>
            <w:tcW w:w="3828" w:type="dxa"/>
          </w:tcPr>
          <w:p w14:paraId="517212D1" w14:textId="77777777" w:rsidR="00194A89" w:rsidRDefault="00000000">
            <w:pPr>
              <w:tabs>
                <w:tab w:val="left" w:pos="567"/>
              </w:tabs>
              <w:autoSpaceDE w:val="0"/>
              <w:autoSpaceDN w:val="0"/>
              <w:spacing w:after="0" w:line="252" w:lineRule="auto"/>
              <w:jc w:val="center"/>
              <w:rPr>
                <w:rFonts w:ascii="Times New Roman" w:eastAsia="SimSun" w:hAnsi="Times New Roman" w:cs="Times New Roman"/>
                <w:sz w:val="26"/>
                <w:szCs w:val="26"/>
              </w:rPr>
            </w:pPr>
            <w:r>
              <w:rPr>
                <w:rFonts w:ascii="Times New Roman" w:eastAsia="SimSun" w:hAnsi="Times New Roman" w:cs="Times New Roman"/>
                <w:sz w:val="26"/>
                <w:szCs w:val="26"/>
              </w:rPr>
              <w:t>BỘ CÔNG AN</w:t>
            </w:r>
          </w:p>
          <w:p w14:paraId="2048C55A" w14:textId="77777777" w:rsidR="00194A89" w:rsidRDefault="00000000">
            <w:pPr>
              <w:tabs>
                <w:tab w:val="left" w:pos="567"/>
              </w:tabs>
              <w:autoSpaceDE w:val="0"/>
              <w:autoSpaceDN w:val="0"/>
              <w:spacing w:after="0" w:line="252" w:lineRule="auto"/>
              <w:jc w:val="center"/>
              <w:rPr>
                <w:rFonts w:ascii="Times New Roman" w:eastAsia="SimSun" w:hAnsi="Times New Roman" w:cs="Times New Roman"/>
                <w:b/>
                <w:sz w:val="24"/>
                <w:szCs w:val="24"/>
              </w:rPr>
            </w:pPr>
            <w:r>
              <w:rPr>
                <w:rFonts w:ascii="Times New Roman" w:eastAsia="SimSun" w:hAnsi="Times New Roman" w:cs="Times New Roman"/>
                <w:b/>
                <w:sz w:val="26"/>
                <w:szCs w:val="26"/>
              </w:rPr>
              <w:t>CÔNG AN TP HẢI PHÒNG</w:t>
            </w:r>
          </w:p>
          <w:p w14:paraId="22C7D6FA" w14:textId="77777777" w:rsidR="00194A89" w:rsidRDefault="00000000">
            <w:pPr>
              <w:tabs>
                <w:tab w:val="left" w:pos="567"/>
              </w:tabs>
              <w:autoSpaceDE w:val="0"/>
              <w:autoSpaceDN w:val="0"/>
              <w:spacing w:after="0" w:line="252" w:lineRule="auto"/>
              <w:jc w:val="center"/>
              <w:rPr>
                <w:rFonts w:ascii="Times New Roman" w:eastAsia="SimSun" w:hAnsi="Times New Roman" w:cs="Times New Roman"/>
                <w:b/>
                <w:bCs/>
                <w:sz w:val="24"/>
                <w:szCs w:val="24"/>
              </w:rPr>
            </w:pPr>
            <w:r>
              <w:rPr>
                <w:rFonts w:ascii="Times New Roman" w:eastAsia="SimSun" w:hAnsi="Times New Roman" w:cs="Times New Roman"/>
                <w:noProof/>
                <w:sz w:val="28"/>
                <w:szCs w:val="28"/>
              </w:rPr>
              <mc:AlternateContent>
                <mc:Choice Requires="wps">
                  <w:drawing>
                    <wp:anchor distT="0" distB="0" distL="114300" distR="114300" simplePos="0" relativeHeight="251659264" behindDoc="0" locked="0" layoutInCell="1" allowOverlap="1" wp14:anchorId="7D7BF2BE" wp14:editId="171C5059">
                      <wp:simplePos x="0" y="0"/>
                      <wp:positionH relativeFrom="column">
                        <wp:posOffset>757555</wp:posOffset>
                      </wp:positionH>
                      <wp:positionV relativeFrom="paragraph">
                        <wp:posOffset>26035</wp:posOffset>
                      </wp:positionV>
                      <wp:extent cx="864235" cy="0"/>
                      <wp:effectExtent l="0" t="5080" r="0" b="444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235" cy="0"/>
                              </a:xfrm>
                              <a:prstGeom prst="line">
                                <a:avLst/>
                              </a:prstGeom>
                              <a:noFill/>
                              <a:ln w="9525">
                                <a:solidFill>
                                  <a:srgbClr val="000000"/>
                                </a:solidFill>
                                <a:round/>
                              </a:ln>
                              <a:effectLst/>
                            </wps:spPr>
                            <wps:bodyPr/>
                          </wps:wsp>
                        </a:graphicData>
                      </a:graphic>
                    </wp:anchor>
                  </w:drawing>
                </mc:Choice>
                <mc:Fallback xmlns:wpsCustomData="http://www.wps.cn/officeDocument/2013/wpsCustomData">
                  <w:pict>
                    <v:line id="_x0000_s1026" o:spid="_x0000_s1026" o:spt="20" style="position:absolute;left:0pt;margin-left:59.65pt;margin-top:2.05pt;height:0pt;width:68.05pt;z-index:251659264;mso-width-relative:page;mso-height-relative:page;" filled="f" stroked="t" coordsize="21600,21600" o:gfxdata="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rzXJ9QAAAAHAQAADwAAAAAAAAABACAA&#10;AAAiAAAAZHJzL2Rvd25yZXYueG1sUEsBAhQAFAAAAAgAh07iQEZ545HYAQAAugMAAA4AAAAAAAAA&#10;AQAgAAAAIwEAAGRycy9lMm9Eb2MueG1sUEsFBgAAAAAGAAYAWQEAAG0FAAAAAA==&#10;">
                      <v:fill on="f" focussize="0,0"/>
                      <v:stroke color="#000000" joinstyle="round"/>
                      <v:imagedata o:title=""/>
                      <o:lock v:ext="edit" aspectratio="f"/>
                    </v:line>
                  </w:pict>
                </mc:Fallback>
              </mc:AlternateContent>
            </w:r>
          </w:p>
        </w:tc>
        <w:tc>
          <w:tcPr>
            <w:tcW w:w="4506" w:type="dxa"/>
          </w:tcPr>
          <w:p w14:paraId="678F0105" w14:textId="77777777" w:rsidR="00194A89" w:rsidRDefault="00194A89">
            <w:pPr>
              <w:tabs>
                <w:tab w:val="left" w:pos="567"/>
              </w:tabs>
              <w:autoSpaceDE w:val="0"/>
              <w:autoSpaceDN w:val="0"/>
              <w:spacing w:after="0" w:line="252" w:lineRule="auto"/>
              <w:jc w:val="center"/>
              <w:rPr>
                <w:rFonts w:ascii="Times New Roman" w:eastAsia="SimSun" w:hAnsi="Times New Roman" w:cs="Times New Roman"/>
                <w:sz w:val="28"/>
                <w:szCs w:val="28"/>
              </w:rPr>
            </w:pPr>
          </w:p>
        </w:tc>
        <w:tc>
          <w:tcPr>
            <w:tcW w:w="5982" w:type="dxa"/>
          </w:tcPr>
          <w:p w14:paraId="7427129A" w14:textId="77777777" w:rsidR="00194A89" w:rsidRDefault="00000000">
            <w:pPr>
              <w:tabs>
                <w:tab w:val="left" w:pos="567"/>
              </w:tabs>
              <w:autoSpaceDE w:val="0"/>
              <w:autoSpaceDN w:val="0"/>
              <w:spacing w:after="0" w:line="252" w:lineRule="auto"/>
              <w:ind w:hanging="5"/>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CỘNG HÒA XÃ HỘI CHỦ NGHĨA VIỆT NAM</w:t>
            </w:r>
          </w:p>
          <w:p w14:paraId="1A018C78" w14:textId="77777777" w:rsidR="00194A89" w:rsidRDefault="00000000">
            <w:pPr>
              <w:tabs>
                <w:tab w:val="left" w:pos="567"/>
              </w:tabs>
              <w:autoSpaceDE w:val="0"/>
              <w:autoSpaceDN w:val="0"/>
              <w:spacing w:after="0" w:line="252" w:lineRule="auto"/>
              <w:ind w:firstLine="567"/>
              <w:jc w:val="center"/>
              <w:rPr>
                <w:rFonts w:ascii="Times New Roman" w:eastAsia="SimSun" w:hAnsi="Times New Roman" w:cs="Times New Roman"/>
                <w:b/>
                <w:bCs/>
                <w:sz w:val="26"/>
                <w:szCs w:val="26"/>
              </w:rPr>
            </w:pPr>
            <w:r>
              <w:rPr>
                <w:rFonts w:ascii="Times New Roman" w:eastAsia="SimSun" w:hAnsi="Times New Roman" w:cs="Times New Roman"/>
                <w:noProof/>
                <w:sz w:val="28"/>
                <w:szCs w:val="28"/>
              </w:rPr>
              <mc:AlternateContent>
                <mc:Choice Requires="wps">
                  <w:drawing>
                    <wp:anchor distT="0" distB="0" distL="114300" distR="114300" simplePos="0" relativeHeight="251660288" behindDoc="0" locked="0" layoutInCell="1" allowOverlap="1" wp14:anchorId="34431A69" wp14:editId="0D58EAD7">
                      <wp:simplePos x="0" y="0"/>
                      <wp:positionH relativeFrom="column">
                        <wp:posOffset>1019175</wp:posOffset>
                      </wp:positionH>
                      <wp:positionV relativeFrom="paragraph">
                        <wp:posOffset>235585</wp:posOffset>
                      </wp:positionV>
                      <wp:extent cx="2115185" cy="0"/>
                      <wp:effectExtent l="0" t="5080" r="0" b="4445"/>
                      <wp:wrapNone/>
                      <wp:docPr id="1" name="Straight Connector 1"/>
                      <wp:cNvGraphicFramePr/>
                      <a:graphic xmlns:a="http://schemas.openxmlformats.org/drawingml/2006/main">
                        <a:graphicData uri="http://schemas.microsoft.com/office/word/2010/wordprocessingShape">
                          <wps:wsp>
                            <wps:cNvCnPr/>
                            <wps:spPr>
                              <a:xfrm>
                                <a:off x="0" y="0"/>
                                <a:ext cx="2115047"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margin-left:80.25pt;margin-top:18.55pt;height:0pt;width:166.55pt;z-index:251660288;mso-width-relative:page;mso-height-relative:page;" filled="f" stroked="t" coordsize="21600,21600" o:gfxdata="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tdeN1gAAAAkB&#10;AAAPAAAAAAAAAAEAIAAAACIAAABkcnMvZG93bnJldi54bWxQSwECFAAUAAAACACHTuJA/Qn2UuQB&#10;AADWAwAADgAAAAAAAAABACAAAAAlAQAAZHJzL2Uyb0RvYy54bWxQSwUGAAAAAAYABgBZAQAAewUA&#10;AAAA&#10;">
                      <v:fill on="f" focussize="0,0"/>
                      <v:stroke weight="0.5pt" color="#000000" miterlimit="8" joinstyle="miter"/>
                      <v:imagedata o:title=""/>
                      <o:lock v:ext="edit" aspectratio="f"/>
                    </v:line>
                  </w:pict>
                </mc:Fallback>
              </mc:AlternateContent>
            </w:r>
            <w:r>
              <w:rPr>
                <w:rFonts w:ascii="Times New Roman" w:eastAsia="SimSun" w:hAnsi="Times New Roman" w:cs="Times New Roman"/>
                <w:b/>
                <w:bCs/>
                <w:sz w:val="28"/>
                <w:szCs w:val="24"/>
              </w:rPr>
              <w:t>Độc lập - Tự do - Hạnh phúc</w:t>
            </w:r>
          </w:p>
        </w:tc>
      </w:tr>
      <w:tr w:rsidR="00194A89" w14:paraId="0D2E6FA3" w14:textId="77777777">
        <w:trPr>
          <w:cantSplit/>
          <w:trHeight w:val="350"/>
        </w:trPr>
        <w:tc>
          <w:tcPr>
            <w:tcW w:w="3828" w:type="dxa"/>
          </w:tcPr>
          <w:p w14:paraId="064F0863" w14:textId="77777777" w:rsidR="00194A89" w:rsidRDefault="00194A89">
            <w:pPr>
              <w:tabs>
                <w:tab w:val="left" w:pos="567"/>
              </w:tabs>
              <w:autoSpaceDE w:val="0"/>
              <w:autoSpaceDN w:val="0"/>
              <w:spacing w:after="0" w:line="252" w:lineRule="auto"/>
              <w:jc w:val="center"/>
              <w:rPr>
                <w:rFonts w:ascii="Times New Roman" w:eastAsia="SimSun" w:hAnsi="Times New Roman" w:cs="Times New Roman"/>
                <w:sz w:val="28"/>
                <w:szCs w:val="28"/>
              </w:rPr>
            </w:pPr>
          </w:p>
        </w:tc>
        <w:tc>
          <w:tcPr>
            <w:tcW w:w="4506" w:type="dxa"/>
          </w:tcPr>
          <w:p w14:paraId="21017C62" w14:textId="77777777" w:rsidR="00194A89" w:rsidRDefault="00194A89">
            <w:pPr>
              <w:tabs>
                <w:tab w:val="left" w:pos="567"/>
              </w:tabs>
              <w:autoSpaceDE w:val="0"/>
              <w:autoSpaceDN w:val="0"/>
              <w:spacing w:after="0" w:line="252" w:lineRule="auto"/>
              <w:jc w:val="center"/>
              <w:rPr>
                <w:rFonts w:ascii="Times New Roman" w:eastAsia="SimSun" w:hAnsi="Times New Roman" w:cs="Times New Roman"/>
                <w:sz w:val="28"/>
                <w:szCs w:val="28"/>
              </w:rPr>
            </w:pPr>
          </w:p>
        </w:tc>
        <w:tc>
          <w:tcPr>
            <w:tcW w:w="5982" w:type="dxa"/>
          </w:tcPr>
          <w:p w14:paraId="510D7AD7" w14:textId="77777777" w:rsidR="00194A89" w:rsidRDefault="00000000">
            <w:pPr>
              <w:tabs>
                <w:tab w:val="left" w:pos="567"/>
              </w:tabs>
              <w:autoSpaceDE w:val="0"/>
              <w:autoSpaceDN w:val="0"/>
              <w:spacing w:after="0" w:line="252" w:lineRule="auto"/>
              <w:ind w:firstLine="567"/>
              <w:jc w:val="both"/>
              <w:rPr>
                <w:rFonts w:ascii="Times New Roman" w:eastAsia="SimSun" w:hAnsi="Times New Roman" w:cs="Times New Roman"/>
                <w:sz w:val="28"/>
                <w:szCs w:val="28"/>
              </w:rPr>
            </w:pPr>
            <w:r>
              <w:rPr>
                <w:rFonts w:ascii="Times New Roman" w:hAnsi="Times New Roman" w:cs="Times New Roman"/>
                <w:i/>
                <w:iCs/>
                <w:sz w:val="28"/>
                <w:szCs w:val="28"/>
              </w:rPr>
              <w:t>Hải Phòng, ngày      tháng     năm 2026</w:t>
            </w:r>
          </w:p>
        </w:tc>
      </w:tr>
    </w:tbl>
    <w:p w14:paraId="497D7869" w14:textId="77777777" w:rsidR="00194A89" w:rsidRDefault="00194A89">
      <w:pPr>
        <w:spacing w:after="0" w:line="264" w:lineRule="auto"/>
        <w:jc w:val="center"/>
        <w:rPr>
          <w:rFonts w:ascii="Times New Roman" w:hAnsi="Times New Roman" w:cs="Times New Roman"/>
          <w:b/>
          <w:sz w:val="28"/>
          <w:szCs w:val="28"/>
        </w:rPr>
      </w:pPr>
    </w:p>
    <w:p w14:paraId="6D8136D3" w14:textId="77777777" w:rsidR="00194A89" w:rsidRDefault="00000000">
      <w:pPr>
        <w:spacing w:after="0" w:line="264" w:lineRule="auto"/>
        <w:jc w:val="center"/>
        <w:rPr>
          <w:rFonts w:ascii="Times New Roman" w:hAnsi="Times New Roman" w:cs="Times New Roman"/>
          <w:b/>
          <w:sz w:val="28"/>
          <w:szCs w:val="28"/>
        </w:rPr>
      </w:pPr>
      <w:r>
        <w:rPr>
          <w:rFonts w:ascii="Times New Roman" w:hAnsi="Times New Roman" w:cs="Times New Roman"/>
          <w:b/>
          <w:sz w:val="28"/>
          <w:szCs w:val="28"/>
        </w:rPr>
        <w:t>BẢN TỔNG HỢP, GIẢI TRÌNH, TIẾP THU</w:t>
      </w:r>
    </w:p>
    <w:p w14:paraId="11211EF6" w14:textId="77777777" w:rsidR="00194A89" w:rsidRDefault="00000000">
      <w:pPr>
        <w:spacing w:after="0" w:line="264" w:lineRule="auto"/>
        <w:jc w:val="center"/>
        <w:rPr>
          <w:rFonts w:ascii="Times New Roman" w:eastAsia="Times New Roman" w:hAnsi="Times New Roman"/>
          <w:b/>
          <w:sz w:val="28"/>
          <w:szCs w:val="28"/>
        </w:rPr>
      </w:pPr>
      <w:r>
        <w:rPr>
          <w:rFonts w:ascii="Times New Roman" w:hAnsi="Times New Roman" w:cs="Times New Roman"/>
          <w:b/>
          <w:sz w:val="28"/>
          <w:szCs w:val="28"/>
        </w:rPr>
        <w:t>Ý kiến tham gia dự thảo xây dựng Nghị quyết</w:t>
      </w:r>
      <w:r>
        <w:rPr>
          <w:rFonts w:ascii="Times New Roman" w:eastAsia="Times New Roman" w:hAnsi="Times New Roman"/>
          <w:b/>
          <w:sz w:val="28"/>
          <w:szCs w:val="28"/>
        </w:rPr>
        <w:t xml:space="preserve"> của HĐND thành phố </w:t>
      </w:r>
    </w:p>
    <w:p w14:paraId="3EAD82D5" w14:textId="77777777" w:rsidR="00194A89" w:rsidRDefault="00000000">
      <w:pPr>
        <w:spacing w:after="0" w:line="264" w:lineRule="auto"/>
        <w:jc w:val="center"/>
        <w:rPr>
          <w:b/>
          <w:bCs/>
          <w:sz w:val="28"/>
          <w:szCs w:val="28"/>
        </w:rPr>
      </w:pPr>
      <w:r>
        <w:rPr>
          <w:rFonts w:ascii="Times New Roman" w:eastAsia="Times New Roman" w:hAnsi="Times New Roman"/>
          <w:b/>
          <w:sz w:val="28"/>
          <w:szCs w:val="28"/>
        </w:rPr>
        <w:t>q</w:t>
      </w:r>
      <w:r>
        <w:rPr>
          <w:rFonts w:ascii="Times New Roman" w:hAnsi="Times New Roman" w:cs="Times New Roman"/>
          <w:b/>
          <w:sz w:val="28"/>
          <w:szCs w:val="28"/>
        </w:rPr>
        <w:t>uy định chính sách hỗ trợ công tác phòng, chống ma túy trên địa bàn thành phố Hải Phòng</w:t>
      </w:r>
      <w:r>
        <w:rPr>
          <w:b/>
          <w:bCs/>
          <w:sz w:val="28"/>
          <w:szCs w:val="28"/>
        </w:rPr>
        <w:t xml:space="preserve"> </w:t>
      </w:r>
    </w:p>
    <w:p w14:paraId="2180F973" w14:textId="77777777" w:rsidR="00194A89" w:rsidRDefault="00000000">
      <w:pPr>
        <w:spacing w:after="0" w:line="264" w:lineRule="auto"/>
        <w:jc w:val="center"/>
        <w:rPr>
          <w:rFonts w:ascii="Times New Roman" w:hAnsi="Times New Roman" w:cs="Times New Roman"/>
          <w:b/>
          <w:sz w:val="28"/>
          <w:szCs w:val="28"/>
        </w:rPr>
      </w:pPr>
      <w:r>
        <w:rPr>
          <w:rFonts w:ascii="Times New Roman" w:eastAsia="SimSun" w:hAnsi="Times New Roman" w:cs="Times New Roman"/>
          <w:noProof/>
          <w:sz w:val="28"/>
          <w:szCs w:val="28"/>
        </w:rPr>
        <mc:AlternateContent>
          <mc:Choice Requires="wps">
            <w:drawing>
              <wp:anchor distT="0" distB="0" distL="114300" distR="114300" simplePos="0" relativeHeight="251661312" behindDoc="0" locked="0" layoutInCell="1" allowOverlap="1" wp14:anchorId="2735F287" wp14:editId="5BA5F644">
                <wp:simplePos x="0" y="0"/>
                <wp:positionH relativeFrom="column">
                  <wp:posOffset>3342640</wp:posOffset>
                </wp:positionH>
                <wp:positionV relativeFrom="paragraph">
                  <wp:posOffset>41910</wp:posOffset>
                </wp:positionV>
                <wp:extent cx="2115185" cy="0"/>
                <wp:effectExtent l="0" t="5080" r="0" b="4445"/>
                <wp:wrapNone/>
                <wp:docPr id="2" name="Straight Connector 2"/>
                <wp:cNvGraphicFramePr/>
                <a:graphic xmlns:a="http://schemas.openxmlformats.org/drawingml/2006/main">
                  <a:graphicData uri="http://schemas.microsoft.com/office/word/2010/wordprocessingShape">
                    <wps:wsp>
                      <wps:cNvCnPr/>
                      <wps:spPr>
                        <a:xfrm>
                          <a:off x="0" y="0"/>
                          <a:ext cx="211518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_x0000_s1026" o:spid="_x0000_s1026" o:spt="20" style="position:absolute;left:0pt;margin-left:263.2pt;margin-top:3.3pt;height:0pt;width:166.55pt;z-index:251661312;mso-width-relative:page;mso-height-relative:page;" filled="f" stroked="t" coordsize="21600,21600" o:gfxdata="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3IWoKNQAAAAHAQAA&#10;DwAAAAAAAAABACAAAAAiAAAAZHJzL2Rvd25yZXYueG1sUEsBAhQAFAAAAAgAh07iQGmvOq7kAQAA&#10;1gMAAA4AAAAAAAAAAQAgAAAAIwEAAGRycy9lMm9Eb2MueG1sUEsFBgAAAAAGAAYAWQEAAHkFAAAA&#10;AA==&#10;">
                <v:fill on="f" focussize="0,0"/>
                <v:stroke weight="0.5pt" color="#000000" miterlimit="8" joinstyle="miter"/>
                <v:imagedata o:title=""/>
                <o:lock v:ext="edit" aspectratio="f"/>
              </v:line>
            </w:pict>
          </mc:Fallback>
        </mc:AlternateContent>
      </w:r>
    </w:p>
    <w:p w14:paraId="6BEE82F9" w14:textId="77777777" w:rsidR="00194A89" w:rsidRDefault="00000000">
      <w:pPr>
        <w:shd w:val="clear" w:color="auto" w:fill="FFFFFF"/>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Căn cứ Luật Ban hành văn bản quy phạm pháp luật; Quyết định số 192/2025/QĐ-UBND ngày 17/10/2025 của Ủy ban nhân dân thành phố quyết định ban hành quy chế về xây dựng và ban hành văn bản quy phạm pháp luật của thành phố Hải Phòng.</w:t>
      </w:r>
    </w:p>
    <w:p w14:paraId="38236E43" w14:textId="77777777" w:rsidR="00194A89" w:rsidRDefault="00000000">
      <w:pPr>
        <w:shd w:val="clear" w:color="auto" w:fill="FFFFFF"/>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Ngày 02/10/2026, Công an thành phố đã ban hành Công văn số 12946/CAHP-PC04 về việc xin ý kiến tham gia vào hồ sơ dự thảo Nghị quyết của HĐND thành phố quy định chính sách hỗ trợ công tác phòng, chống ma túy trên địa bàn thành phố Hải Phòng (lần 2).</w:t>
      </w:r>
    </w:p>
    <w:p w14:paraId="4249D815" w14:textId="77777777" w:rsidR="00194A89" w:rsidRDefault="00000000">
      <w:pPr>
        <w:shd w:val="clear" w:color="auto" w:fill="FFFFFF"/>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Tổng số cơ quan, đơn vị đã gửi xin ý kiến: Ủy ban Mặt trận Tổ quốc Việt Nam thành phố; Các sở, ban, ngành thành phố; các đơn vị chịu tác động của Nghị quyết và Ủy ban nhân dân các xã, phường, đặc khu trên địa bàn thành phố.</w:t>
      </w:r>
    </w:p>
    <w:p w14:paraId="25F36C01" w14:textId="77777777" w:rsidR="00194A89" w:rsidRDefault="00000000">
      <w:pPr>
        <w:shd w:val="clear" w:color="auto" w:fill="FFFFFF"/>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Tổng số ý kiến nhận được: Đến hết thời gian xin ý kiến, Công an thành phố đã nhận được tổng số 34 ý kiến tham gia của các cơ quan, đơn vị, trong đó 27 đơn vị nhất trí với dự thảo, 07 Sở, ban ngành có ý kiến tham gia góp ý. Trên Cổng thông tin điện tử thành phố không có ý kiến tham gia.</w:t>
      </w:r>
    </w:p>
    <w:p w14:paraId="06833C0E" w14:textId="77777777" w:rsidR="00194A89" w:rsidRDefault="00000000">
      <w:pPr>
        <w:shd w:val="clear" w:color="auto" w:fill="FFFFFF"/>
        <w:spacing w:before="120" w:after="0" w:line="360" w:lineRule="exact"/>
        <w:ind w:firstLine="567"/>
        <w:jc w:val="both"/>
        <w:rPr>
          <w:rFonts w:ascii="Times New Roman" w:hAnsi="Times New Roman" w:cs="Times New Roman"/>
          <w:sz w:val="28"/>
          <w:szCs w:val="28"/>
        </w:rPr>
      </w:pPr>
      <w:r>
        <w:rPr>
          <w:rFonts w:ascii="Times New Roman" w:hAnsi="Times New Roman" w:cs="Times New Roman"/>
          <w:sz w:val="28"/>
          <w:szCs w:val="28"/>
        </w:rPr>
        <w:t>Trên cơ sở tham gia ý kiến của Sở, ban, ngành thành phố và các đơn vị thụ hưởng chính sách, Công an thành phố báo cáo kết quả tổng hợp, giải trình, tiếp thu ý kiến tham gia hồ sơ dự thảo Nghị quyết của Hội đồng nhân dân thành phố cụ thể như sau:</w:t>
      </w:r>
    </w:p>
    <w:p w14:paraId="73A3A8D1" w14:textId="77777777" w:rsidR="00194A89" w:rsidRDefault="00194A89">
      <w:pPr>
        <w:shd w:val="clear" w:color="auto" w:fill="FFFFFF"/>
        <w:spacing w:before="120" w:after="0" w:line="360" w:lineRule="exact"/>
        <w:ind w:firstLine="567"/>
        <w:jc w:val="both"/>
        <w:rPr>
          <w:rFonts w:ascii="Times New Roman" w:hAnsi="Times New Roman" w:cs="Times New Roman"/>
        </w:rPr>
      </w:pPr>
    </w:p>
    <w:tbl>
      <w:tblPr>
        <w:tblStyle w:val="TableGrid"/>
        <w:tblW w:w="14874" w:type="dxa"/>
        <w:tblLayout w:type="fixed"/>
        <w:tblLook w:val="04A0" w:firstRow="1" w:lastRow="0" w:firstColumn="1" w:lastColumn="0" w:noHBand="0" w:noVBand="1"/>
      </w:tblPr>
      <w:tblGrid>
        <w:gridCol w:w="648"/>
        <w:gridCol w:w="1407"/>
        <w:gridCol w:w="1658"/>
        <w:gridCol w:w="5226"/>
        <w:gridCol w:w="5935"/>
      </w:tblGrid>
      <w:tr w:rsidR="00194A89" w14:paraId="40C9A732" w14:textId="77777777">
        <w:trPr>
          <w:tblHeader/>
        </w:trPr>
        <w:tc>
          <w:tcPr>
            <w:tcW w:w="648" w:type="dxa"/>
            <w:vAlign w:val="center"/>
          </w:tcPr>
          <w:p w14:paraId="689061EB" w14:textId="77777777" w:rsidR="00194A89" w:rsidRDefault="00000000">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lastRenderedPageBreak/>
              <w:t>TT</w:t>
            </w:r>
          </w:p>
        </w:tc>
        <w:tc>
          <w:tcPr>
            <w:tcW w:w="1407" w:type="dxa"/>
            <w:vAlign w:val="center"/>
          </w:tcPr>
          <w:p w14:paraId="0609684A" w14:textId="77777777" w:rsidR="00194A89" w:rsidRDefault="00000000">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Đơn vị</w:t>
            </w:r>
          </w:p>
        </w:tc>
        <w:tc>
          <w:tcPr>
            <w:tcW w:w="1658" w:type="dxa"/>
            <w:vAlign w:val="center"/>
          </w:tcPr>
          <w:p w14:paraId="31F29249" w14:textId="77777777" w:rsidR="00194A89" w:rsidRDefault="00000000">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Số/ ngày văn bản tham gia ý kiến</w:t>
            </w:r>
          </w:p>
        </w:tc>
        <w:tc>
          <w:tcPr>
            <w:tcW w:w="5226" w:type="dxa"/>
            <w:vAlign w:val="center"/>
          </w:tcPr>
          <w:p w14:paraId="41E2C539" w14:textId="77777777" w:rsidR="00194A89" w:rsidRDefault="00000000">
            <w:pPr>
              <w:spacing w:before="120" w:after="120" w:line="360" w:lineRule="exact"/>
              <w:jc w:val="center"/>
              <w:rPr>
                <w:rFonts w:ascii="Times New Roman" w:hAnsi="Times New Roman" w:cs="Times New Roman"/>
                <w:b/>
                <w:sz w:val="26"/>
                <w:szCs w:val="26"/>
              </w:rPr>
            </w:pPr>
            <w:r>
              <w:rPr>
                <w:rFonts w:ascii="Times New Roman" w:hAnsi="Times New Roman" w:cs="Times New Roman"/>
                <w:b/>
                <w:sz w:val="26"/>
                <w:szCs w:val="26"/>
              </w:rPr>
              <w:t>Nội dung tham gia ý kiến</w:t>
            </w:r>
          </w:p>
        </w:tc>
        <w:tc>
          <w:tcPr>
            <w:tcW w:w="5935" w:type="dxa"/>
            <w:vAlign w:val="center"/>
          </w:tcPr>
          <w:p w14:paraId="33B4F938" w14:textId="77777777" w:rsidR="00194A89" w:rsidRDefault="00000000">
            <w:pPr>
              <w:spacing w:before="120" w:after="120" w:line="360" w:lineRule="exact"/>
              <w:jc w:val="center"/>
              <w:rPr>
                <w:rFonts w:ascii="Times New Roman" w:hAnsi="Times New Roman" w:cs="Times New Roman"/>
                <w:b/>
                <w:sz w:val="26"/>
                <w:szCs w:val="26"/>
              </w:rPr>
            </w:pPr>
            <w:r>
              <w:rPr>
                <w:rFonts w:ascii="Times New Roman" w:hAnsi="Times New Roman" w:cs="Times New Roman"/>
                <w:b/>
                <w:sz w:val="26"/>
                <w:szCs w:val="26"/>
              </w:rPr>
              <w:t>Tiếp thu, giải trình</w:t>
            </w:r>
          </w:p>
        </w:tc>
      </w:tr>
      <w:tr w:rsidR="00194A89" w14:paraId="4AA127CF" w14:textId="77777777">
        <w:tc>
          <w:tcPr>
            <w:tcW w:w="648" w:type="dxa"/>
            <w:vMerge w:val="restart"/>
            <w:vAlign w:val="center"/>
          </w:tcPr>
          <w:p w14:paraId="131FF871"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val="restart"/>
            <w:vAlign w:val="center"/>
          </w:tcPr>
          <w:p w14:paraId="4C8AC145"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Tư pháp</w:t>
            </w:r>
          </w:p>
        </w:tc>
        <w:tc>
          <w:tcPr>
            <w:tcW w:w="1658" w:type="dxa"/>
            <w:vMerge w:val="restart"/>
            <w:vAlign w:val="center"/>
          </w:tcPr>
          <w:p w14:paraId="02255314"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2233/STP-XDVB ngày 21/5/2026</w:t>
            </w:r>
          </w:p>
        </w:tc>
        <w:tc>
          <w:tcPr>
            <w:tcW w:w="5226" w:type="dxa"/>
          </w:tcPr>
          <w:p w14:paraId="6CF0E607" w14:textId="77777777" w:rsidR="00194A89" w:rsidRDefault="00000000">
            <w:pPr>
              <w:numPr>
                <w:ilvl w:val="0"/>
                <w:numId w:val="2"/>
              </w:num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Đối với dự thảo Nghị quyết</w:t>
            </w:r>
          </w:p>
          <w:p w14:paraId="70B58A7C" w14:textId="77777777" w:rsidR="00194A89" w:rsidRDefault="00000000">
            <w:p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 Khoản 2 Điều 2 quy định: “2. Hỗ trợ cán bộ, chiến sĩ thuộc Công an thành phố được giao thực hiện nhiệm vụ chuyên trách công tác tham mưu phòng, chống ma túy; cán bộ, chiến sĩ, lao động hợp đồng thuộc Công an thành phố làm việc tại các cơ sở cai nghiện ma túy công lập: 2 lần mức lương cơ sở/người/tháng.” </w:t>
            </w:r>
          </w:p>
          <w:p w14:paraId="7F8EB632" w14:textId="77777777" w:rsidR="00194A89" w:rsidRDefault="00000000">
            <w:p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 xml:space="preserve">Tại khoản 5 Điều 9 Luật Ngân sách nhà nước số 89/2025/QH15 quy định: “Nhiệm vụ chi thuộc ngân sách cấp nào do ngân sách cấp đó bảo đảm, trừ các trường hợp sau: b) Các đơn vị cấp trên quản lý đóng trên địa bàn khi thực hiện chức năng của mình, kết hợp thực hiện một số nhiệm vụ theo yêu cầu của cấp dưới”. Hiện nay, Chính phủ đã ban hành Nghị định số 08/2026/NĐ-CP ngày 29 tháng 6 năm 2026 của Chính phủ quy định về quản lý, sử dụng ngân sách nhà nước đối với một số hoạt động thuộc lĩnh vực quốc phòng, an ninh (thay thế cho Nghị định số 163/2015/NĐ-CP được Công an thành phố nêu ra tại phần căn cứ ban hành Nghị quyết). Tại dự thảo Tờ trình, Công an thành phố chưa làm rõ được nội dung hỗ trợ nêu trên thuộc quy định về </w:t>
            </w:r>
            <w:r>
              <w:rPr>
                <w:rFonts w:ascii="Times New Roman" w:eastAsia="Times New Roman" w:hAnsi="Times New Roman" w:cs="Times New Roman"/>
                <w:iCs/>
                <w:sz w:val="26"/>
                <w:szCs w:val="26"/>
              </w:rPr>
              <w:lastRenderedPageBreak/>
              <w:t>nội dung chi nào của Nghị định số 08/2026/NĐ-CP. </w:t>
            </w:r>
          </w:p>
          <w:p w14:paraId="20F0A5CF" w14:textId="77777777" w:rsidR="00194A89" w:rsidRDefault="00000000">
            <w:p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Bên cạnh đó, tại Khoản 6 Điều 3 Luật Phòng chống ma tuý số 120/2025/QH15 ngày 10 tháng 12 năm 2025 quy định: “Cán bộ, chiến sĩ thuộc cơ quan chuyên trách phòng, chống tội phạm về ma túy, người làm công tác cai nghiện ma túy trong các cơ sở cai nghiện ma túy công lập, trường giáo dưỡng được hưởng chế độ, chính sách ưu đãi phù hợp với tính chất nhiệm vụ, địa bàn hoạt động theo quy định của Chính phủ”. </w:t>
            </w:r>
          </w:p>
          <w:p w14:paraId="4B15C39A" w14:textId="77777777" w:rsidR="00194A89" w:rsidRDefault="00000000">
            <w:p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Do đó, đề nghị Công an thành phố làm rõ căn cứ pháp lý để đề xuất quy định nội dung này trong Tờ trình ban hành Nghị quyết để Hội đồng nhân dân thành phố xem xét, quyết định. </w:t>
            </w:r>
          </w:p>
        </w:tc>
        <w:tc>
          <w:tcPr>
            <w:tcW w:w="5935" w:type="dxa"/>
          </w:tcPr>
          <w:p w14:paraId="1CFDB6C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Cơ quan chủ trì soạn thảo trân trọng tiếp thu nội dung tham gia ý kiến điều chỉnh dự thảo Nghị quyết, dự thảo tờ trình và giải trình như sau:</w:t>
            </w:r>
          </w:p>
          <w:p w14:paraId="4C599CE0" w14:textId="77777777" w:rsidR="00194A89" w:rsidRDefault="00000000">
            <w:pPr>
              <w:spacing w:before="120" w:after="120" w:line="360" w:lineRule="exact"/>
              <w:jc w:val="both"/>
              <w:rPr>
                <w:rFonts w:ascii="Times New Roman" w:eastAsia="Times New Roman" w:hAnsi="Times New Roman" w:cs="Times New Roman"/>
                <w:i/>
                <w:sz w:val="26"/>
                <w:szCs w:val="26"/>
              </w:rPr>
            </w:pPr>
            <w:r>
              <w:rPr>
                <w:rFonts w:ascii="Times New Roman" w:eastAsia="Calibri" w:hAnsi="Times New Roman" w:cs="Times New Roman"/>
                <w:b/>
                <w:bCs/>
                <w:i/>
                <w:iCs/>
                <w:color w:val="000000"/>
                <w:sz w:val="26"/>
                <w:szCs w:val="26"/>
              </w:rPr>
              <w:t xml:space="preserve">Thứ nhất: </w:t>
            </w:r>
            <w:r>
              <w:rPr>
                <w:rFonts w:ascii="Times New Roman" w:eastAsia="Times New Roman" w:hAnsi="Times New Roman" w:cs="Times New Roman"/>
                <w:iCs/>
                <w:sz w:val="26"/>
                <w:szCs w:val="26"/>
              </w:rPr>
              <w:t xml:space="preserve">Tại Điều 39 Luật Ngân sách nhà nước số 89/2025/QH15 quy định: </w:t>
            </w:r>
            <w:r>
              <w:rPr>
                <w:rFonts w:ascii="Times New Roman" w:eastAsia="Times New Roman" w:hAnsi="Times New Roman" w:cs="Times New Roman"/>
                <w:i/>
                <w:sz w:val="26"/>
                <w:szCs w:val="26"/>
              </w:rPr>
              <w:t xml:space="preserve">“Nhiệm vụ chi của ngân sách địa phương: “Chi thường xuyên của ngân sách địa phương được phân cấp trong các lĩnh vực: quốc phòng, an ninh, trật tự, an toàn xã hội phần giao địa phương quản lý; hỗ trợ thực hiện một số nhiệm vụ chi thuộc nhiệm vụ của ngân sách trung ương </w:t>
            </w:r>
            <w:r>
              <w:rPr>
                <w:rFonts w:ascii="Times New Roman" w:eastAsia="Times New Roman" w:hAnsi="Times New Roman" w:cs="Times New Roman"/>
                <w:iCs/>
                <w:sz w:val="26"/>
                <w:szCs w:val="26"/>
              </w:rPr>
              <w:t>(Điểm c khoản 2)</w:t>
            </w:r>
            <w:r>
              <w:rPr>
                <w:rFonts w:ascii="Times New Roman" w:eastAsia="Times New Roman" w:hAnsi="Times New Roman" w:cs="Times New Roman"/>
                <w:i/>
                <w:sz w:val="26"/>
                <w:szCs w:val="26"/>
              </w:rPr>
              <w:t xml:space="preserve">; chi hỗ trợ một số nhiệm vụ quy định tại các điểm a, b và c khoản 5 Điều 9 của Luật này </w:t>
            </w:r>
            <w:r>
              <w:rPr>
                <w:rFonts w:ascii="Times New Roman" w:eastAsia="Times New Roman" w:hAnsi="Times New Roman" w:cs="Times New Roman"/>
                <w:iCs/>
                <w:sz w:val="26"/>
                <w:szCs w:val="26"/>
              </w:rPr>
              <w:t>(Khoản 9)</w:t>
            </w:r>
            <w:r>
              <w:rPr>
                <w:rFonts w:ascii="Times New Roman" w:eastAsia="Times New Roman" w:hAnsi="Times New Roman" w:cs="Times New Roman"/>
                <w:i/>
                <w:sz w:val="26"/>
                <w:szCs w:val="26"/>
              </w:rPr>
              <w:t>”.</w:t>
            </w:r>
          </w:p>
          <w:p w14:paraId="24E41A23" w14:textId="77777777" w:rsidR="00194A89" w:rsidRDefault="00000000">
            <w:pPr>
              <w:spacing w:before="120" w:after="120" w:line="360" w:lineRule="exact"/>
              <w:jc w:val="both"/>
              <w:rPr>
                <w:rFonts w:ascii="Times New Roman" w:eastAsia="Times New Roman" w:hAnsi="Times New Roman" w:cs="Times New Roman"/>
                <w:iCs/>
                <w:sz w:val="26"/>
                <w:szCs w:val="26"/>
              </w:rPr>
            </w:pPr>
            <w:r>
              <w:rPr>
                <w:rFonts w:ascii="Times New Roman" w:eastAsia="Times New Roman" w:hAnsi="Times New Roman" w:cs="Times New Roman"/>
                <w:iCs/>
                <w:sz w:val="26"/>
                <w:szCs w:val="26"/>
              </w:rPr>
              <w:t xml:space="preserve">- Tại Mục 13 </w:t>
            </w:r>
            <w:hyperlink r:id="rId9" w:tgtFrame="_blank" w:history="1">
              <w:r>
                <w:rPr>
                  <w:rFonts w:ascii="Times New Roman" w:eastAsia="Times New Roman" w:hAnsi="Times New Roman" w:cs="Times New Roman"/>
                  <w:iCs/>
                  <w:sz w:val="26"/>
                  <w:szCs w:val="26"/>
                </w:rPr>
                <w:t>Nghị quyết số 227/2025/QH15 ngày 27/6/2025</w:t>
              </w:r>
            </w:hyperlink>
            <w:r>
              <w:rPr>
                <w:rFonts w:ascii="Times New Roman" w:eastAsia="Times New Roman" w:hAnsi="Times New Roman" w:cs="Times New Roman"/>
                <w:iCs/>
                <w:sz w:val="26"/>
                <w:szCs w:val="26"/>
              </w:rPr>
              <w:t xml:space="preserve"> quy định: </w:t>
            </w:r>
            <w:r>
              <w:rPr>
                <w:rFonts w:ascii="Times New Roman" w:eastAsia="Times New Roman" w:hAnsi="Times New Roman" w:cs="Times New Roman"/>
                <w:i/>
                <w:sz w:val="26"/>
                <w:szCs w:val="26"/>
              </w:rPr>
              <w:t>“</w:t>
            </w:r>
            <w:r>
              <w:rPr>
                <w:rFonts w:ascii="Times New Roman" w:eastAsia="Times New Roman" w:hAnsi="Times New Roman" w:cs="Times New Roman"/>
                <w:iCs/>
                <w:sz w:val="26"/>
                <w:szCs w:val="26"/>
              </w:rPr>
              <w:t>…</w:t>
            </w:r>
            <w:r>
              <w:rPr>
                <w:rFonts w:ascii="Times New Roman" w:eastAsia="Times New Roman" w:hAnsi="Times New Roman" w:cs="Times New Roman"/>
                <w:i/>
                <w:sz w:val="26"/>
                <w:szCs w:val="26"/>
              </w:rPr>
              <w:t>Từ năm ngân sách 2026 trở đi, Bộ Công an chịu trách nhiệm lập dự toán, quản lý, sử dụng, thanh quyết toán ngân sách nhà nước đảm bảo cho các cơ sở, trung tâm cai nghiện ma túy trong dự toán ngân sách nhà nước hằng năm của Bộ Công an theo quy định của </w:t>
            </w:r>
            <w:hyperlink r:id="rId10" w:tgtFrame="https://luatvietnam.vn/hanh-chinh/_blank" w:tooltip="Luật Ngân sách Nhà nước 2025" w:history="1">
              <w:r>
                <w:rPr>
                  <w:rFonts w:ascii="Times New Roman" w:eastAsia="Times New Roman" w:hAnsi="Times New Roman" w:cs="Times New Roman"/>
                  <w:i/>
                  <w:sz w:val="26"/>
                  <w:szCs w:val="26"/>
                </w:rPr>
                <w:t>Luật Ngân sách nhà nước</w:t>
              </w:r>
            </w:hyperlink>
            <w:r>
              <w:rPr>
                <w:rFonts w:ascii="Times New Roman" w:eastAsia="Times New Roman" w:hAnsi="Times New Roman" w:cs="Times New Roman"/>
                <w:i/>
                <w:sz w:val="26"/>
                <w:szCs w:val="26"/>
              </w:rPr>
              <w:t xml:space="preserve"> và các văn bản hướng dẫn liên quan. Căn cứ khả năng cân đối của ngân sách địa phương, địa phương tiếp tục hỗ trợ kinh phí cho các cơ sở, trung tâm cai nghiện ma túy và chế độ, chính sách hỗ trợ cho cán bộ, chiến sĩ, công chức, viên chức, người lao động, học viên đang tham gia công </w:t>
            </w:r>
            <w:r>
              <w:rPr>
                <w:rFonts w:ascii="Times New Roman" w:eastAsia="Times New Roman" w:hAnsi="Times New Roman" w:cs="Times New Roman"/>
                <w:i/>
                <w:sz w:val="26"/>
                <w:szCs w:val="26"/>
              </w:rPr>
              <w:lastRenderedPageBreak/>
              <w:t>tác cai nghiện ma túy trong các cơ sở, trung tâm cai nghiện ma túy tại địa phương như đối với các chính sách, chế độ hỗ trợ hiện nay đang áp dụng…”</w:t>
            </w:r>
          </w:p>
          <w:p w14:paraId="5DCB859B" w14:textId="77777777" w:rsidR="00194A89" w:rsidRDefault="00000000">
            <w:pPr>
              <w:spacing w:before="120" w:after="120" w:line="360" w:lineRule="exact"/>
              <w:jc w:val="both"/>
              <w:rPr>
                <w:rFonts w:ascii="Times New Roman" w:eastAsia="Calibri" w:hAnsi="Times New Roman" w:cs="Times New Roman"/>
                <w:i/>
                <w:iCs/>
                <w:color w:val="000000"/>
                <w:spacing w:val="4"/>
                <w:sz w:val="26"/>
                <w:szCs w:val="26"/>
              </w:rPr>
            </w:pPr>
            <w:r>
              <w:rPr>
                <w:rFonts w:ascii="Times New Roman" w:eastAsia="Calibri" w:hAnsi="Times New Roman" w:cs="Times New Roman"/>
                <w:bCs/>
                <w:iCs/>
                <w:color w:val="000000"/>
                <w:spacing w:val="4"/>
                <w:sz w:val="26"/>
                <w:szCs w:val="26"/>
                <w:shd w:val="clear" w:color="auto" w:fill="FFFFFF"/>
              </w:rPr>
              <w:t>- C</w:t>
            </w:r>
            <w:r>
              <w:rPr>
                <w:rFonts w:ascii="Times New Roman" w:eastAsia="Calibri" w:hAnsi="Times New Roman" w:cs="Times New Roman"/>
                <w:color w:val="000000"/>
                <w:sz w:val="26"/>
                <w:szCs w:val="26"/>
              </w:rPr>
              <w:t xml:space="preserve">ông tác phòng, chống ma túy gồm nhiều nội dung khác nhau, bao gồm: tham mưu phòng, chống ma túy; trinh sát ma túy; điều tra vụ án ma túy; cai nghiện ma túy; quản lý người nghiện, người sử dụng trái phép chất ma túy, người sau cai nghiện ma túy… Từ đó có thể thấy tính chất thường xuyên, liên tục, xuyên suốt và đan xen nhiệm vụ trong công tác phòng, chống ma túy nhất là lực lượng chuyên trách  phải thực hiện đầy đủ, toàn bộ các mặt công tác phòng, chống ma túy. </w:t>
            </w:r>
            <w:r>
              <w:rPr>
                <w:rFonts w:ascii="Times New Roman" w:eastAsia="Calibri" w:hAnsi="Times New Roman" w:cs="Times New Roman"/>
                <w:color w:val="000000"/>
                <w:spacing w:val="4"/>
                <w:sz w:val="26"/>
                <w:szCs w:val="26"/>
                <w:lang w:val="de-DE"/>
              </w:rPr>
              <w:t>C</w:t>
            </w:r>
            <w:r>
              <w:rPr>
                <w:rFonts w:ascii="Times New Roman" w:eastAsia="Calibri" w:hAnsi="Times New Roman" w:cs="Times New Roman"/>
                <w:color w:val="000000"/>
                <w:spacing w:val="4"/>
                <w:sz w:val="26"/>
                <w:szCs w:val="26"/>
              </w:rPr>
              <w:t xml:space="preserve">án bộ, chiến sĩ lực lượng chuyên trách phòng, chống ma tuý </w:t>
            </w:r>
            <w:r>
              <w:rPr>
                <w:rFonts w:ascii="Times New Roman" w:eastAsia="Calibri" w:hAnsi="Times New Roman" w:cs="Times New Roman"/>
                <w:color w:val="000000"/>
                <w:spacing w:val="4"/>
                <w:sz w:val="26"/>
                <w:szCs w:val="26"/>
                <w:lang w:val="pt-BR"/>
              </w:rPr>
              <w:t xml:space="preserve">hiện nay đang được hưởng phụ cấp đặc thù của ngành Công an </w:t>
            </w:r>
            <w:r>
              <w:rPr>
                <w:rFonts w:ascii="Times New Roman" w:eastAsia="Calibri" w:hAnsi="Times New Roman" w:cs="Times New Roman"/>
                <w:color w:val="000000"/>
                <w:spacing w:val="4"/>
                <w:sz w:val="26"/>
                <w:szCs w:val="26"/>
              </w:rPr>
              <w:t xml:space="preserve">theo Quyết định số 91/2009/QĐ-TTg ngày 06/7/2009 của Thủ tướng Chính phủ quy định chế độ phụ cấp đặc thù đối với cán bộ, chiến sĩ trong CAND, trong đó tại Khoản 3 Điều 1 quy định: </w:t>
            </w:r>
            <w:r>
              <w:rPr>
                <w:rFonts w:ascii="Times New Roman" w:eastAsia="Calibri" w:hAnsi="Times New Roman" w:cs="Times New Roman"/>
                <w:i/>
                <w:iCs/>
                <w:color w:val="000000"/>
                <w:spacing w:val="4"/>
                <w:sz w:val="26"/>
                <w:szCs w:val="26"/>
              </w:rPr>
              <w:t xml:space="preserve">“3. Cán bộ, chiến sĩ lực lượng chuyên trách phòng, chống tội phạm về ma tuý. a) Mức phụ cấp 20% áp dụng đối với cán bộ, chiến sĩ trực tiếp đấu tranh phòng, chống tội phạm về ma tuý. b) Mức phụ cấp 15% áp dụng đối với cán bộ, chiến sĩ trực tiếp phục vụ đấu tranh phòng, chống tội phạm về ma tuý (cán bộ tham mưu chuyên trách).”; CBCS thực hiện công tác khám, điều trị, tư </w:t>
            </w:r>
            <w:r>
              <w:rPr>
                <w:rFonts w:ascii="Times New Roman" w:eastAsia="Calibri" w:hAnsi="Times New Roman" w:cs="Times New Roman"/>
                <w:i/>
                <w:iCs/>
                <w:color w:val="000000"/>
                <w:spacing w:val="4"/>
                <w:sz w:val="26"/>
                <w:szCs w:val="26"/>
              </w:rPr>
              <w:lastRenderedPageBreak/>
              <w:t>vấn, giáo dục, dạy nghề, dạy văn hóa, lao động trị liệu, quản lý học viên cai nghiện ma túy chưa có quy định hưởng chế độ phụ cấp đặc thù. Ngày 25/9/2026, Chính phủ đã ban hành Nghị định số 370/2026/NĐ-CP quy định chế độ phụ cấp đặc thù đối với CBCS lực lượng CAND thay thế Nghị định số 91/2009/NĐ-TTg, có hiệu lực từ ngày 01/12/2026, trong đó quy định: Khoản 1 quy định mức phụ cấp 45% đối với Điều tra viên, CBCS làm nhiệm vụ trinh sát, đấu tranh phòng, chống tội phạm ma túy; Khoản 2 quy định mức phụ cấp 35% đối với CBCS Tổ Y tế và Tổ Quản lý học viên &amp; giáo dục dạy nghề tại Cơ sở cai nghiện ma túy; Khoản 3 quy định mức phụ cấp 25% đối với CBCS Tổ tham mưu tổng hợp tại Cơ sở cai nghiện ma túy; Khoản 4 quy định mức phụ cấp 20% đối với CBCS thực hiện công tác tham mưu phòng, chống tội phạm ma túy.</w:t>
            </w:r>
          </w:p>
          <w:p w14:paraId="63D183CB" w14:textId="77777777" w:rsidR="00194A89" w:rsidRDefault="00000000">
            <w:pPr>
              <w:spacing w:before="120" w:after="120" w:line="360" w:lineRule="exact"/>
              <w:jc w:val="both"/>
              <w:rPr>
                <w:rFonts w:ascii="Times New Roman" w:eastAsia="Calibri" w:hAnsi="Times New Roman" w:cs="Times New Roman"/>
                <w:color w:val="000000"/>
                <w:spacing w:val="4"/>
                <w:sz w:val="26"/>
                <w:szCs w:val="26"/>
              </w:rPr>
            </w:pPr>
            <w:r>
              <w:rPr>
                <w:rFonts w:ascii="Times New Roman" w:eastAsia="Calibri" w:hAnsi="Times New Roman" w:cs="Times New Roman"/>
                <w:color w:val="000000"/>
                <w:spacing w:val="4"/>
                <w:sz w:val="26"/>
                <w:szCs w:val="26"/>
              </w:rPr>
              <w:t xml:space="preserve"> Thông tư số 57/2025/TT-BCA, ngày 01/7/2025 của Bộ Công an quy định tiêu chuẩn, định lượng ăn đối với cán bộ, chiến sĩ đảm nhiệm công việc đặc biệt nặng nhọc, nguy hiểm hoặc nặng nhọc, nguy hiểm; bị thương, ốm đau điều trị, điều dưỡng tại bệnh viện, bệnh xá, nhà nghỉ dưỡng trong CAND quy định: </w:t>
            </w:r>
            <w:r>
              <w:rPr>
                <w:rFonts w:ascii="Times New Roman" w:eastAsia="Calibri" w:hAnsi="Times New Roman" w:cs="Times New Roman"/>
                <w:i/>
                <w:iCs/>
                <w:color w:val="000000"/>
                <w:spacing w:val="4"/>
                <w:sz w:val="26"/>
                <w:szCs w:val="26"/>
              </w:rPr>
              <w:t xml:space="preserve">Cán bộ, chiến sĩ lực lượng chuyên trách phòng, chống tội phạm về ma tuý hưởng mức tiền ăn: </w:t>
            </w:r>
            <w:r>
              <w:rPr>
                <w:rFonts w:ascii="Times New Roman" w:eastAsia="Calibri" w:hAnsi="Times New Roman" w:cs="Times New Roman"/>
                <w:i/>
                <w:iCs/>
                <w:color w:val="000000"/>
                <w:spacing w:val="4"/>
                <w:sz w:val="26"/>
                <w:szCs w:val="26"/>
              </w:rPr>
              <w:lastRenderedPageBreak/>
              <w:t>86.000/người/ngày; Cán bộ, chiến sĩ thực hiện công tác khám, điều trị, tư vấn, giáo dục, dạy nghề, dạy văn hóa, lao động trị liệu, quản lý học viên cai nghiện ma túy hưởng mức tiền ăn: 63.000/người/ngày; cán bộ, chiến sĩ trực tiếp phục vụ đấu tranh phòng, chống tội phạm về ma tuý (cán bộ tham mưu chuyên trách) không được hưởng mức hỗ trợ tiền ăn</w:t>
            </w:r>
            <w:r>
              <w:rPr>
                <w:rFonts w:ascii="Times New Roman" w:eastAsia="Calibri" w:hAnsi="Times New Roman" w:cs="Times New Roman"/>
                <w:color w:val="000000"/>
                <w:spacing w:val="4"/>
                <w:sz w:val="26"/>
                <w:szCs w:val="26"/>
              </w:rPr>
              <w:t xml:space="preserve">. </w:t>
            </w:r>
          </w:p>
          <w:p w14:paraId="77B9DF94" w14:textId="77777777" w:rsidR="00194A89" w:rsidRDefault="00000000">
            <w:pPr>
              <w:spacing w:before="120" w:after="120" w:line="360" w:lineRule="exact"/>
              <w:jc w:val="both"/>
              <w:rPr>
                <w:rFonts w:ascii="Times New Roman" w:eastAsia="Calibri" w:hAnsi="Times New Roman" w:cs="Times New Roman"/>
                <w:color w:val="000000"/>
                <w:sz w:val="26"/>
                <w:szCs w:val="26"/>
                <w:shd w:val="clear" w:color="auto" w:fill="FFFFFF"/>
              </w:rPr>
            </w:pPr>
            <w:r>
              <w:rPr>
                <w:rFonts w:ascii="Times New Roman" w:eastAsia="Calibri" w:hAnsi="Times New Roman" w:cs="Times New Roman"/>
                <w:color w:val="000000"/>
                <w:spacing w:val="4"/>
                <w:sz w:val="26"/>
                <w:szCs w:val="26"/>
              </w:rPr>
              <w:t>Tuy nhiên, đây là phụ cấp được hưởng</w:t>
            </w:r>
            <w:r>
              <w:rPr>
                <w:rFonts w:ascii="Times New Roman" w:eastAsia="Calibri" w:hAnsi="Times New Roman" w:cs="Times New Roman"/>
                <w:color w:val="000000"/>
                <w:spacing w:val="4"/>
                <w:sz w:val="26"/>
                <w:szCs w:val="26"/>
                <w:lang w:val="pt-BR"/>
              </w:rPr>
              <w:t xml:space="preserve"> như các lực lượng khác của ngành Công an; trong khi đó, tính chất công việc, mức độ nguy hiểm phải đối mặt có nhiều khác biệt với mức độ cao hơn. Tội phạm ma túy cũng luôn được xác định là nguyên nhân phát sinh nhiều loại tội phạm khác, gây mất trật tự an toàn xã hội; trong tình hình hiện nay, tội phạm ma túy còn tác động trực tiếp đến an ninh con người, làm suy giảm nòi giống, ảnh hưởng trực tiếp đến tương lai phát triển của đất nước, do đó, cần có chính sách đặc thù để động viên tương xứng cho lực lượng phòng, chống ma túy.</w:t>
            </w:r>
          </w:p>
          <w:p w14:paraId="30C332FE" w14:textId="77777777" w:rsidR="00194A89" w:rsidRDefault="00000000">
            <w:pPr>
              <w:spacing w:before="120" w:after="120" w:line="360" w:lineRule="exact"/>
              <w:jc w:val="both"/>
              <w:rPr>
                <w:rFonts w:ascii="Times New Roman" w:eastAsia="Calibri" w:hAnsi="Times New Roman" w:cs="Times New Roman"/>
                <w:color w:val="000000"/>
                <w:spacing w:val="4"/>
                <w:sz w:val="26"/>
                <w:szCs w:val="26"/>
              </w:rPr>
            </w:pPr>
            <w:r>
              <w:rPr>
                <w:rFonts w:ascii="Times New Roman" w:eastAsia="Calibri" w:hAnsi="Times New Roman" w:cs="Times New Roman"/>
                <w:b/>
                <w:i/>
                <w:color w:val="000000"/>
                <w:spacing w:val="4"/>
                <w:sz w:val="26"/>
                <w:szCs w:val="26"/>
                <w:shd w:val="clear" w:color="auto" w:fill="FFFFFF"/>
              </w:rPr>
              <w:t>-</w:t>
            </w:r>
            <w:r>
              <w:rPr>
                <w:rFonts w:ascii="Times New Roman" w:eastAsia="Calibri" w:hAnsi="Times New Roman" w:cs="Times New Roman"/>
                <w:color w:val="000000"/>
                <w:spacing w:val="4"/>
                <w:sz w:val="26"/>
                <w:szCs w:val="26"/>
                <w:shd w:val="clear" w:color="auto" w:fill="FFFFFF"/>
              </w:rPr>
              <w:t xml:space="preserve"> K</w:t>
            </w:r>
            <w:r>
              <w:rPr>
                <w:rFonts w:ascii="Times New Roman" w:eastAsia="Calibri" w:hAnsi="Times New Roman" w:cs="Times New Roman"/>
                <w:color w:val="000000"/>
                <w:spacing w:val="4"/>
                <w:sz w:val="26"/>
                <w:szCs w:val="26"/>
              </w:rPr>
              <w:t xml:space="preserve">hoản hỗ trợ quy định tại dự thảo Nghị quyết không phải là tiền lương, phụ cấp hay chế độ theo pháp luật về cán bộ, công chức, viên chức hoặc lực lượng vũ trang mà là chính sách đặc thù của địa phương theo thẩm quyền của HĐND tỉnh nhằm động viên lực </w:t>
            </w:r>
            <w:r>
              <w:rPr>
                <w:rFonts w:ascii="Times New Roman" w:eastAsia="Calibri" w:hAnsi="Times New Roman" w:cs="Times New Roman"/>
                <w:color w:val="000000"/>
                <w:spacing w:val="4"/>
                <w:sz w:val="26"/>
                <w:szCs w:val="26"/>
              </w:rPr>
              <w:lastRenderedPageBreak/>
              <w:t xml:space="preserve">lượng trực tiếp thực hiện nhiệm vụ phòng, chống ma túy. </w:t>
            </w:r>
          </w:p>
          <w:p w14:paraId="4B88086C" w14:textId="77777777" w:rsidR="00194A89" w:rsidRDefault="00000000">
            <w:pPr>
              <w:spacing w:before="120" w:after="120" w:line="360" w:lineRule="exact"/>
              <w:jc w:val="both"/>
              <w:rPr>
                <w:rFonts w:ascii="Times New Roman" w:eastAsia="Calibri" w:hAnsi="Times New Roman" w:cs="Times New Roman"/>
                <w:color w:val="000000"/>
                <w:spacing w:val="4"/>
                <w:sz w:val="26"/>
                <w:szCs w:val="26"/>
              </w:rPr>
            </w:pPr>
            <w:r>
              <w:rPr>
                <w:rFonts w:ascii="Times New Roman" w:eastAsia="Calibri" w:hAnsi="Times New Roman" w:cs="Times New Roman"/>
                <w:spacing w:val="4"/>
                <w:sz w:val="26"/>
                <w:szCs w:val="26"/>
              </w:rPr>
              <w:t>- Quá</w:t>
            </w:r>
            <w:r>
              <w:rPr>
                <w:rFonts w:ascii="Times New Roman" w:eastAsia="Calibri" w:hAnsi="Times New Roman" w:cs="Times New Roman"/>
                <w:spacing w:val="4"/>
                <w:sz w:val="26"/>
                <w:szCs w:val="26"/>
                <w:lang w:val="pt-BR"/>
              </w:rPr>
              <w:t xml:space="preserve"> trình xây dựng dự thảo Nghị quyết, Công an </w:t>
            </w:r>
            <w:r>
              <w:rPr>
                <w:rFonts w:ascii="Times New Roman" w:eastAsia="Calibri" w:hAnsi="Times New Roman" w:cs="Times New Roman"/>
                <w:spacing w:val="4"/>
                <w:sz w:val="26"/>
                <w:szCs w:val="26"/>
              </w:rPr>
              <w:t xml:space="preserve">thành phố </w:t>
            </w:r>
            <w:r>
              <w:rPr>
                <w:rFonts w:ascii="Times New Roman" w:eastAsia="Calibri" w:hAnsi="Times New Roman" w:cs="Times New Roman"/>
                <w:spacing w:val="4"/>
                <w:sz w:val="26"/>
                <w:szCs w:val="26"/>
                <w:lang w:val="pt-BR"/>
              </w:rPr>
              <w:t>đã tham khảo một số địa phương khác</w:t>
            </w:r>
            <w:r>
              <w:rPr>
                <w:rFonts w:ascii="Times New Roman" w:eastAsia="Calibri" w:hAnsi="Times New Roman" w:cs="Times New Roman"/>
                <w:spacing w:val="4"/>
                <w:sz w:val="26"/>
                <w:szCs w:val="26"/>
              </w:rPr>
              <w:t xml:space="preserve"> </w:t>
            </w:r>
            <w:r>
              <w:rPr>
                <w:rFonts w:ascii="Times New Roman" w:hAnsi="Times New Roman" w:cs="Times New Roman"/>
                <w:sz w:val="26"/>
                <w:szCs w:val="26"/>
              </w:rPr>
              <w:t xml:space="preserve">có tính chất tương đồng như Hải Phòng đều đã ban hành nghị quyết hỗ trợ chính sách đối với CBCS thuộc Công an thành phố thực hiện công tác phòng, chống ma túy như: (1) thành phố Hà Nội hỗ trợ 01 mức lương tối thiểu vùng (5.310.000đ)/người/tháng ;  (2) tỉnh Bắc Ninh Ninh hỗ trợ 5.000.000/người/tháng; (3) tỉnh Thanh Hóa hỗ trợ 4.700.000/người/tháng; (4) tỉnh Lào Cai hỗ trợ 3.510.000/người/tháng. Bên cạnh đó, thành phố Hải Phòng là một trong ba tỉnh thành phố thu ngân sách đứng đầu cả nước, là đơn vị đi đầu trong việc thực hiện các chính sách đặc thù đối với các lực lượng và là đơn vị đi đầu trong xây dựng thành phố không ma túy, các tỉnh, thành phố trên liên hệ học tập kinh nghiệm của thành phố Hải Phòng. </w:t>
            </w:r>
          </w:p>
          <w:p w14:paraId="3CB80262" w14:textId="77777777" w:rsidR="00194A89" w:rsidRDefault="00000000">
            <w:pPr>
              <w:spacing w:before="120" w:after="120" w:line="360" w:lineRule="exact"/>
              <w:jc w:val="both"/>
              <w:rPr>
                <w:rFonts w:ascii="Times New Roman" w:eastAsia="Calibri" w:hAnsi="Times New Roman" w:cs="Times New Roman"/>
                <w:bCs/>
                <w:color w:val="000000"/>
                <w:spacing w:val="-4"/>
                <w:sz w:val="26"/>
                <w:szCs w:val="26"/>
              </w:rPr>
            </w:pPr>
            <w:r>
              <w:rPr>
                <w:rFonts w:ascii="Times New Roman" w:eastAsia="Calibri" w:hAnsi="Times New Roman" w:cs="Times New Roman"/>
                <w:bCs/>
                <w:color w:val="000000"/>
                <w:spacing w:val="-4"/>
                <w:sz w:val="26"/>
                <w:szCs w:val="26"/>
              </w:rPr>
              <w:t>Từ những căn cứ nêu trên,</w:t>
            </w:r>
            <w:r>
              <w:rPr>
                <w:rFonts w:ascii="Times New Roman" w:eastAsia="Calibri" w:hAnsi="Times New Roman" w:cs="Times New Roman"/>
                <w:color w:val="000000"/>
                <w:spacing w:val="-4"/>
                <w:sz w:val="26"/>
                <w:szCs w:val="26"/>
              </w:rPr>
              <w:t xml:space="preserve"> Công an thành phố có quan điểm </w:t>
            </w:r>
            <w:r>
              <w:rPr>
                <w:rFonts w:ascii="Times New Roman" w:eastAsia="Calibri" w:hAnsi="Times New Roman" w:cs="Times New Roman"/>
                <w:iCs/>
                <w:color w:val="000000"/>
                <w:spacing w:val="-4"/>
                <w:sz w:val="26"/>
                <w:szCs w:val="26"/>
              </w:rPr>
              <w:t>nội dung</w:t>
            </w:r>
            <w:r>
              <w:rPr>
                <w:rFonts w:ascii="Times New Roman" w:eastAsia="Calibri" w:hAnsi="Times New Roman" w:cs="Times New Roman"/>
                <w:color w:val="000000"/>
                <w:spacing w:val="-4"/>
                <w:sz w:val="26"/>
                <w:szCs w:val="26"/>
                <w:lang w:val="en-GB"/>
              </w:rPr>
              <w:t xml:space="preserve"> chi hỗ trợ lực lượng chuyên trách phòng, chống tội phạm ma tuý </w:t>
            </w:r>
            <w:r>
              <w:rPr>
                <w:rFonts w:ascii="Times New Roman" w:eastAsia="Calibri" w:hAnsi="Times New Roman" w:cs="Times New Roman"/>
                <w:iCs/>
                <w:color w:val="000000"/>
                <w:spacing w:val="-4"/>
                <w:sz w:val="26"/>
                <w:szCs w:val="26"/>
                <w:lang w:val="en-GB"/>
              </w:rPr>
              <w:t xml:space="preserve">là chi </w:t>
            </w:r>
            <w:r>
              <w:rPr>
                <w:rFonts w:ascii="Times New Roman" w:eastAsia="Calibri" w:hAnsi="Times New Roman" w:cs="Times New Roman"/>
                <w:color w:val="000000"/>
                <w:spacing w:val="-4"/>
                <w:sz w:val="26"/>
                <w:szCs w:val="26"/>
                <w:lang w:val="pt-BR"/>
              </w:rPr>
              <w:t>để động viên, khích lệ cho lực lượng chuyên trách phòng, chống ma tuý và</w:t>
            </w:r>
            <w:r>
              <w:rPr>
                <w:rFonts w:ascii="Times New Roman" w:eastAsia="Calibri" w:hAnsi="Times New Roman" w:cs="Times New Roman"/>
                <w:bCs/>
                <w:color w:val="000000"/>
                <w:spacing w:val="-4"/>
                <w:sz w:val="26"/>
                <w:szCs w:val="26"/>
              </w:rPr>
              <w:t xml:space="preserve"> </w:t>
            </w:r>
            <w:r>
              <w:rPr>
                <w:rFonts w:ascii="Times New Roman" w:eastAsia="Calibri" w:hAnsi="Times New Roman" w:cs="Times New Roman"/>
                <w:b/>
                <w:bCs/>
                <w:color w:val="000000"/>
                <w:spacing w:val="-4"/>
                <w:sz w:val="26"/>
                <w:szCs w:val="26"/>
              </w:rPr>
              <w:t>không có tính chất tiền công, tiền lương</w:t>
            </w:r>
            <w:r>
              <w:rPr>
                <w:rFonts w:ascii="Times New Roman" w:eastAsia="Calibri" w:hAnsi="Times New Roman" w:cs="Times New Roman"/>
                <w:bCs/>
                <w:color w:val="000000"/>
                <w:spacing w:val="-4"/>
                <w:sz w:val="26"/>
                <w:szCs w:val="26"/>
              </w:rPr>
              <w:t>.</w:t>
            </w:r>
          </w:p>
          <w:p w14:paraId="7A4039B2" w14:textId="77777777" w:rsidR="00194A89" w:rsidRDefault="00000000">
            <w:pPr>
              <w:spacing w:before="120" w:after="120" w:line="360" w:lineRule="exact"/>
              <w:jc w:val="both"/>
              <w:rPr>
                <w:rFonts w:ascii="Times New Roman" w:hAnsi="Times New Roman" w:cs="Times New Roman"/>
                <w:sz w:val="26"/>
                <w:szCs w:val="26"/>
              </w:rPr>
            </w:pPr>
            <w:r>
              <w:rPr>
                <w:rFonts w:ascii="Times New Roman" w:eastAsia="Calibri" w:hAnsi="Times New Roman" w:cs="Times New Roman"/>
                <w:b/>
                <w:i/>
                <w:iCs/>
                <w:color w:val="000000"/>
                <w:spacing w:val="-4"/>
                <w:sz w:val="26"/>
                <w:szCs w:val="26"/>
              </w:rPr>
              <w:lastRenderedPageBreak/>
              <w:t xml:space="preserve">Thứ hai, </w:t>
            </w:r>
            <w:r>
              <w:rPr>
                <w:rFonts w:ascii="Times New Roman" w:eastAsia="Calibri" w:hAnsi="Times New Roman" w:cs="Times New Roman"/>
                <w:bCs/>
                <w:color w:val="000000"/>
                <w:spacing w:val="-4"/>
                <w:sz w:val="26"/>
                <w:szCs w:val="26"/>
              </w:rPr>
              <w:t xml:space="preserve">Điều chỉnh nội dung dự thảo Nghị quyết, đưa nội dung chính sách hỗ trợ </w:t>
            </w:r>
            <w:r>
              <w:rPr>
                <w:rFonts w:ascii="Times New Roman" w:eastAsia="Times New Roman" w:hAnsi="Times New Roman" w:cs="Times New Roman"/>
                <w:iCs/>
                <w:sz w:val="26"/>
                <w:szCs w:val="26"/>
              </w:rPr>
              <w:t xml:space="preserve">chiến sĩ thuộc Công an thành phố được giao thực hiện nhiệm vụ chuyên trách công tác tham mưu phòng, chống ma túy ra khỏi dự thảo Nghị quyết. </w:t>
            </w:r>
            <w:r>
              <w:rPr>
                <w:rFonts w:ascii="Times New Roman" w:hAnsi="Times New Roman" w:cs="Times New Roman"/>
                <w:sz w:val="26"/>
                <w:szCs w:val="26"/>
              </w:rPr>
              <w:t>Công an thành phố sẽ tiếp tục phối hợp với các đơn vị có liên quan nghiên cứu, tham mưu đề xuất hình thức biểu dương, khen thưởng, động viên phù hợp nhằm ghi nhận, khuyến khích các cá nhân có đóng góp tích cực trong thực hiện nhiệm vụ.</w:t>
            </w:r>
          </w:p>
          <w:p w14:paraId="0CF2688A"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b/>
                <w:bCs/>
                <w:sz w:val="26"/>
                <w:szCs w:val="26"/>
              </w:rPr>
              <w:t xml:space="preserve">Thứ ba, </w:t>
            </w:r>
            <w:r>
              <w:rPr>
                <w:rFonts w:ascii="Times New Roman" w:hAnsi="Times New Roman" w:cs="Times New Roman"/>
                <w:sz w:val="26"/>
                <w:szCs w:val="26"/>
              </w:rPr>
              <w:t>Đối với nội dung làm rõ quy định</w:t>
            </w:r>
            <w:r>
              <w:rPr>
                <w:rFonts w:ascii="Times New Roman" w:hAnsi="Times New Roman" w:cs="Times New Roman"/>
                <w:b/>
                <w:bCs/>
                <w:sz w:val="26"/>
                <w:szCs w:val="26"/>
              </w:rPr>
              <w:t xml:space="preserve"> </w:t>
            </w:r>
            <w:r>
              <w:rPr>
                <w:rFonts w:ascii="Times New Roman" w:eastAsia="Times New Roman" w:hAnsi="Times New Roman" w:cs="Times New Roman"/>
                <w:iCs/>
                <w:sz w:val="26"/>
                <w:szCs w:val="26"/>
              </w:rPr>
              <w:t>Nghị định số 08/2026/NĐ-CP ngày 29 tháng 6 năm 2026 của Chính phủ quy định về quản lý, sử dụng ngân sách nhà nước đối với một số hoạt động thuộc lĩnh vực quốc phòng, an ninh (thay thế cho Nghị định số 163/2015/NĐ-CP được Công an thành phố nêu ra tại phần căn cứ ban hành Nghị quyết). Ngày 28/10/2026, Sở Tài Chính có Công văn số 11586/STC-TCHCSN gửi Công an thành phố về tham gia ý kiến hồ sơ dự thảo Nghị quyết, trong đó Sở Tài chính “</w:t>
            </w:r>
            <w:r>
              <w:rPr>
                <w:rFonts w:ascii="Times New Roman" w:eastAsia="Times New Roman" w:hAnsi="Times New Roman" w:cs="Times New Roman"/>
                <w:i/>
                <w:sz w:val="26"/>
                <w:szCs w:val="26"/>
              </w:rPr>
              <w:t>đ</w:t>
            </w:r>
            <w:r>
              <w:rPr>
                <w:rFonts w:ascii="Times New Roman" w:hAnsi="Times New Roman" w:cs="Times New Roman"/>
                <w:i/>
                <w:sz w:val="26"/>
                <w:szCs w:val="26"/>
              </w:rPr>
              <w:t xml:space="preserve">ề nghị </w:t>
            </w:r>
            <w:r>
              <w:rPr>
                <w:rFonts w:ascii="Times New Roman" w:hAnsi="Times New Roman" w:cs="Times New Roman"/>
                <w:i/>
                <w:iCs/>
                <w:sz w:val="26"/>
                <w:szCs w:val="26"/>
              </w:rPr>
              <w:t xml:space="preserve">bỏ Căn cứ Nghị định số 165/2016/NĐ-CP ngày 24/12/2016 của Chính phủ quy định về quản lý, sử dụng ngân sách nhà nước đối với một số hoạt động thuộc lĩnh vực quốc phòng, an ninh được sửa đổi bổ sung bởi Nghị định số </w:t>
            </w:r>
            <w:r>
              <w:rPr>
                <w:rFonts w:ascii="Times New Roman" w:hAnsi="Times New Roman" w:cs="Times New Roman"/>
                <w:i/>
                <w:iCs/>
                <w:sz w:val="26"/>
                <w:szCs w:val="26"/>
              </w:rPr>
              <w:lastRenderedPageBreak/>
              <w:t xml:space="preserve">01/2020/NĐ-CP ngày 14/5/2020 vì Nghị định này không phải là căn cứ để xây dựng Nghị quyết </w:t>
            </w:r>
            <w:r>
              <w:rPr>
                <w:rFonts w:ascii="Times New Roman" w:hAnsi="Times New Roman" w:cs="Times New Roman"/>
                <w:sz w:val="26"/>
                <w:szCs w:val="26"/>
              </w:rPr>
              <w:t>(Mục 1)</w:t>
            </w:r>
            <w:r>
              <w:rPr>
                <w:rFonts w:ascii="Times New Roman" w:eastAsia="Times New Roman" w:hAnsi="Times New Roman" w:cs="Times New Roman"/>
                <w:iCs/>
                <w:sz w:val="26"/>
                <w:szCs w:val="26"/>
              </w:rPr>
              <w:t>”</w:t>
            </w:r>
            <w:r>
              <w:rPr>
                <w:rFonts w:ascii="Times New Roman" w:hAnsi="Times New Roman" w:cs="Times New Roman"/>
                <w:sz w:val="26"/>
                <w:szCs w:val="26"/>
              </w:rPr>
              <w:t xml:space="preserve">. </w:t>
            </w:r>
          </w:p>
        </w:tc>
      </w:tr>
      <w:tr w:rsidR="00194A89" w14:paraId="26D94172" w14:textId="77777777">
        <w:tc>
          <w:tcPr>
            <w:tcW w:w="648" w:type="dxa"/>
            <w:vMerge/>
          </w:tcPr>
          <w:p w14:paraId="23811A73"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2AE076FC"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004166C9"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6810DA33"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Khoản 3 Điều 2 quy định: "Hỗ trợ địa bàn xã, phường, đặc khu được công nhận đạt tiêu chuẩn không ma túy hoặc duy trì địa bàn không ma túy theo Quyết định Chủ tịch Ủy ban nhân dân tỉnh hằng năm, mức hỗ trợ: 30.000.000 đồng/xã, phường, đặc khu/năm” là không rõ hỗ trợ cho cơ quan, tổ chức nào. Bên cạnh đó, theo quy định tại khoản 5 Điều 9 Luật Ngân sách nhà nước năm 2025 về Nguyên tắc phân cấp quản lý nguồn thu, nhiệm vụ chi và quan hệ giữa các cấp ngân sách thì: “Nhiệm vụ chi thuộc ngân sách cấp nào do ngân sách cấp đó bảo đảm”. Các nội dung loại trừ không có trường hợp ngân sách cấp trên hỗ trợ cho ngân sách cấp dưới. Đề nghị rà soát, làm rõ cơ sở pháp lý của nội dung quy định nêu trên. </w:t>
            </w:r>
          </w:p>
          <w:p w14:paraId="698FC4A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Chỉnh lý cụm từ “Quyết định Chủ tịch Uỷ ban nhân dân tỉnh” thành “Quyết định của Chủ tịch Ủy ban nhân dân thành phố” cho chính xác. </w:t>
            </w:r>
          </w:p>
        </w:tc>
        <w:tc>
          <w:tcPr>
            <w:tcW w:w="5935" w:type="dxa"/>
          </w:tcPr>
          <w:p w14:paraId="4B78E32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ý kiến tham gia trên và thống nhất đưa nội dung chính sách nêu trên ra khỏi dự thảo Nghị quyết. Công an thành phố sẽ tiếp tục phối hợp với các đơn vị có liên quan nghiên cứu, tham mưu đề xuất hình thức biểu dương, khen thưởng, động viên phù hợp nhằm ghi nhận, khuyến khích các tập thể, cá nhân có đóng góp tích cực trong thực hiện nhiệm vụ.</w:t>
            </w:r>
          </w:p>
          <w:p w14:paraId="77AF6C37" w14:textId="77777777" w:rsidR="00194A89" w:rsidRDefault="00194A89">
            <w:pPr>
              <w:spacing w:before="120" w:after="120" w:line="360" w:lineRule="exact"/>
              <w:jc w:val="both"/>
              <w:rPr>
                <w:rFonts w:ascii="Times New Roman" w:hAnsi="Times New Roman" w:cs="Times New Roman"/>
                <w:sz w:val="26"/>
                <w:szCs w:val="26"/>
              </w:rPr>
            </w:pPr>
          </w:p>
          <w:p w14:paraId="1FD76F65" w14:textId="77777777" w:rsidR="00194A89" w:rsidRDefault="00194A89">
            <w:pPr>
              <w:spacing w:before="120" w:after="120" w:line="360" w:lineRule="exact"/>
              <w:jc w:val="both"/>
              <w:rPr>
                <w:rFonts w:ascii="Times New Roman" w:hAnsi="Times New Roman" w:cs="Times New Roman"/>
                <w:sz w:val="26"/>
                <w:szCs w:val="26"/>
              </w:rPr>
            </w:pPr>
          </w:p>
        </w:tc>
      </w:tr>
      <w:tr w:rsidR="00194A89" w14:paraId="59617FB1" w14:textId="77777777">
        <w:tc>
          <w:tcPr>
            <w:tcW w:w="648" w:type="dxa"/>
            <w:vMerge/>
          </w:tcPr>
          <w:p w14:paraId="77B07E63"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48EDA336"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5F9B2336"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5DA2AB3A"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Tại khoản 1 Điều 130 Nghị định số 163/2026/NĐ-CP ngày 15/5/2026 của Chính phủ quy định: “Căn cứ số lượng người cai nghiện </w:t>
            </w:r>
            <w:r>
              <w:rPr>
                <w:rFonts w:ascii="Times New Roman" w:hAnsi="Times New Roman" w:cs="Times New Roman"/>
                <w:sz w:val="26"/>
                <w:szCs w:val="26"/>
              </w:rPr>
              <w:lastRenderedPageBreak/>
              <w:t>tự nguyện, Chủ tịch Ủy ban nhân dân cấp xã phân công ít nhất 01 người để thực hiện nhiệm vụ tư vấn tâm lý, xã hội, quản lý, hỗ trợ người cai nghiện ma túy tự nguyện tại gia đình, cộng đồng”; theo đó, không có nội dung “cứ 10 người nêu trên trở xuống, Chủ tịch Ủy ban nhân dân cấp xã phân công 01 người trực tiếp theo dõi, quản lý” như quy định của dự thảo. Đề nghị giải trình, làm rõ căn cứ pháp lý để quy định nội dung này.  </w:t>
            </w:r>
          </w:p>
        </w:tc>
        <w:tc>
          <w:tcPr>
            <w:tcW w:w="5935" w:type="dxa"/>
          </w:tcPr>
          <w:p w14:paraId="448FBD6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 xml:space="preserve">Cơ quan chủ trì soạn thảo tiếp thu một phần ý kiến. Khoản 1 Điều 130 Nghị định 163/2026/NĐ-CP giao Chủ tịch UBND cấp xã căn cứ số lượng người cai </w:t>
            </w:r>
            <w:r>
              <w:rPr>
                <w:rFonts w:ascii="Times New Roman" w:hAnsi="Times New Roman" w:cs="Times New Roman"/>
                <w:sz w:val="26"/>
                <w:szCs w:val="26"/>
              </w:rPr>
              <w:lastRenderedPageBreak/>
              <w:t>nghiện để phân công ít nhất 01 người, nhưng không quy định số người tối đa được hưởng thù lao. Khoản 4 Điều 130 Nghị định 163 và khoản 2 Điều 7 Thông tư 133/2026/TT-BTC giao HĐND cấp tỉnh quyết định mức thù lao trong khung tối đa 0,6 lần lương cơ sở, phù hợp khả năng cân đối ngân sách. Điểm h, điểm l khoản 9 Điều 31 Luật Ngân sách nhà nước năm 2025 và điểm b, c khoản 1 Điều 21 Luật Ban hành văn bản QPPL cho phép HĐND cấp tỉnh quy định định mức chi để làm căn cứ lập, giao dự toán. Định mức 01 người/10 đối tượng không hạn chế thẩm quyền phân công của Chủ tịch UBND cấp xã. Định mức này chỉ giới hạn số người được hưởng thù lao từ ngân sách, nhằm bảo đảm chi đúng định mức, tránh chi dàn trải và gắn thù lao với khối lượng công việc thực tế. Cơ quan soạn thảo đã chỉnh lý câu chữ, chuyển nội dung thành định mức số người được hưởng thù lao và cập nhật căn cứ theo Nghị định 163/2026/NĐ-CP và Thông tư 133/2026/TT-BTC.</w:t>
            </w:r>
          </w:p>
        </w:tc>
      </w:tr>
      <w:tr w:rsidR="00194A89" w14:paraId="5093A486" w14:textId="77777777">
        <w:tc>
          <w:tcPr>
            <w:tcW w:w="648" w:type="dxa"/>
            <w:vMerge/>
          </w:tcPr>
          <w:p w14:paraId="0C6C8564"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3A4609DF"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2BF580DC"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045D516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color w:val="000000"/>
                <w:sz w:val="26"/>
                <w:szCs w:val="26"/>
              </w:rPr>
              <w:t xml:space="preserve">- Khoản 2 Điều 3 nội dung </w:t>
            </w:r>
            <w:r>
              <w:rPr>
                <w:rFonts w:ascii="Times New Roman" w:hAnsi="Times New Roman" w:cs="Times New Roman"/>
                <w:i/>
                <w:iCs/>
                <w:color w:val="000000"/>
                <w:sz w:val="26"/>
                <w:szCs w:val="26"/>
              </w:rPr>
              <w:t xml:space="preserve">“Cơ quan chủ trì thực hiện nhiệm vụ/Cơ quan viện kiểm sát nhân dân/Ủy ban nhân dân cấp xã/Công an thành phố có văn bản đề nghị hỗ trợ…” </w:t>
            </w:r>
            <w:r>
              <w:rPr>
                <w:rFonts w:ascii="Times New Roman" w:hAnsi="Times New Roman" w:cs="Times New Roman"/>
                <w:color w:val="000000"/>
                <w:sz w:val="26"/>
                <w:szCs w:val="26"/>
              </w:rPr>
              <w:t xml:space="preserve">tại điểm a, c, d, đ, e, g, h: theo đó, nội dung diễn đạt như trên sẽ dẫn đến cách hiểu: cần phải có văn bản đề nghị hỗ </w:t>
            </w:r>
            <w:r>
              <w:rPr>
                <w:rFonts w:ascii="Times New Roman" w:hAnsi="Times New Roman" w:cs="Times New Roman"/>
                <w:color w:val="000000"/>
                <w:sz w:val="26"/>
                <w:szCs w:val="26"/>
              </w:rPr>
              <w:lastRenderedPageBreak/>
              <w:t>trợ và gửi đến cơ quan tiếp nhận. Tuy nhiên, tại dự thảo Nghị quyết không có quy định về cơ quan nhận các văn bản đề nghị nêu trên. Do vậy, đề nghị chỉnh lý lại nội dung trên cho phù hợp</w:t>
            </w:r>
          </w:p>
        </w:tc>
        <w:tc>
          <w:tcPr>
            <w:tcW w:w="5935" w:type="dxa"/>
          </w:tcPr>
          <w:p w14:paraId="0B08182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Cơ quan chủ trì soạn thảo trân trọng tiếp thu ý kiến và điều chỉnh nội dung dự thảo Nghị quyết và dự thảo  Tờ trình theo hướng bổ sung Sở Tài Chính là cơ quan tiếp nhận hồ sơ và thẩm định tham mưu Ủy ban nhân dân thành phố quyết định hỗ trợ.</w:t>
            </w:r>
          </w:p>
        </w:tc>
      </w:tr>
      <w:tr w:rsidR="00194A89" w14:paraId="67F8A4F6" w14:textId="77777777">
        <w:tc>
          <w:tcPr>
            <w:tcW w:w="648" w:type="dxa"/>
            <w:vMerge/>
          </w:tcPr>
          <w:p w14:paraId="4B1B9B65"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7D254F0C"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1B568C01"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6245B39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Khoản 3 Điều 2 dự thảo quy định hỗ trợ đối với “địa bàn xã, phường, đặc khu được công nhận đạt tiêu chuẩn không ma tuý hoặc duy trì địa bàn không ma túy theo Quyết định Chủ tịch Ủy ban nhân dân tỉnh hằng năm, mức hỗ trợ: 30.000.000 đồng/xã, phường, đặc khu/năm”. Tuy nhiên, tại điểm c khoản 2 Điều 3 mới chỉ hướng dẫn thành phần hồ sơ đối với trường hợp xã, phường, đặc khu “được công nhận đạt tiêu chuẩn không ma tuý”, chưa có hướng dẫn hồ sơ đối với trường hợp “duy trì địa bàn không ma túy”; đề nghị rà soát, bổ sung.</w:t>
            </w:r>
          </w:p>
        </w:tc>
        <w:tc>
          <w:tcPr>
            <w:tcW w:w="5935" w:type="dxa"/>
          </w:tcPr>
          <w:p w14:paraId="27078EA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nội dung tham gia và đã tiếp thu giải trình ở nội dung tham gia ý kiến thứ 2.</w:t>
            </w:r>
          </w:p>
        </w:tc>
      </w:tr>
      <w:tr w:rsidR="00194A89" w14:paraId="072A75EF" w14:textId="77777777">
        <w:tc>
          <w:tcPr>
            <w:tcW w:w="648" w:type="dxa"/>
            <w:vMerge/>
          </w:tcPr>
          <w:p w14:paraId="48DD5AB7"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6EEE0727"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3C9559DB"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48A4F59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Dự thảo có một số nội dung hỗ trợ được xác định theo mức lương cơ sở như khoản 2, khoản 6, khoản 8 Điều 2: Hiện nay, Bộ Nội vụ đang xây dựng Đề án trả lương theo vị trí việc làm, bỏ mức lương cơ sở. Do vậy, đối với các nội dung hỗ trợ nêu trên, đề nghị chỉnh lý lại theo hướng quy định mức hỗ trợ theo số tiền cụ thể để đảm bảo </w:t>
            </w:r>
            <w:r>
              <w:rPr>
                <w:rFonts w:ascii="Times New Roman" w:hAnsi="Times New Roman" w:cs="Times New Roman"/>
                <w:sz w:val="26"/>
                <w:szCs w:val="26"/>
              </w:rPr>
              <w:lastRenderedPageBreak/>
              <w:t>tính ổn định của Nghị quyết sau khi được ban hành. </w:t>
            </w:r>
          </w:p>
        </w:tc>
        <w:tc>
          <w:tcPr>
            <w:tcW w:w="5935" w:type="dxa"/>
          </w:tcPr>
          <w:p w14:paraId="7B6F2D5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 xml:space="preserve">Cơ quan chủ trì soạn thảo tiếp thu ý kiến. Thực hiện định hướng cải cách chính sách tiền lương theo vị trí việc làm, trong đó dự kiến không tiếp tục sử dụng mức lương cơ sở làm căn cứ tính lương và các khoản hỗ trợ, đồng thời để bảo đảm tính ổn định của Nghị quyết và chủ động trong cân đối ngân sách thành phố, dự thảo </w:t>
            </w:r>
            <w:r>
              <w:rPr>
                <w:rFonts w:ascii="Times New Roman" w:hAnsi="Times New Roman" w:cs="Times New Roman"/>
                <w:sz w:val="26"/>
                <w:szCs w:val="26"/>
              </w:rPr>
              <w:lastRenderedPageBreak/>
              <w:t>Nghị quyết đã được chỉnh lý theo hướng quy định mức hỗ trợ bằng số tiền cụ thể, như sau:</w:t>
            </w:r>
          </w:p>
          <w:p w14:paraId="732B9AB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(1) Khoản 2 Điều 2: hỗ trợ 5.000.000 đồng/người/tháng (thay cho 2 lần mức lương cơ sở/người/tháng). Mức hỗ trợ này cơ bản giữ nguyên giá trị so với dự thảo, phù hợp mặt bằng chính sách của các địa phương (Quảng Ninh 4.700.000 đồng, Khánh Hòa 4.000.000 đồng, Đồng Nai 3.500.000 đồng, Bắc Ninh 5.000.000 đồng/tháng) và khả năng cân đối của ngân sách thành phố.</w:t>
            </w:r>
          </w:p>
          <w:p w14:paraId="6ADAD07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 Khoản 6 Điều 2: hỗ trợ 650.000 đồng/người/tháng (thay cho 0,25 mức lương cơ sở). Đồng thời, bổ sung quy định: trường hợp mức tối thiểu do Chính phủ quy định cao hơn thì thực hiện theo mức tối thiểu đó, để bảo đảm phù hợp khoản 5 Điều 65 Nghị định số 163/2026/NĐ-CP.</w:t>
            </w:r>
          </w:p>
          <w:p w14:paraId="677C66C8"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(3) Khoản 8 Điều 2: hỗ trợ 1.000.000 đồng/người/tháng (thay cho 0,4 mức lương cơ sở), trong giới hạn tối đa 0,6 lần mức lương cơ sở theo khoản 4 Điều 130 Nghị định số 163/2026/NĐ-CP.</w:t>
            </w:r>
          </w:p>
          <w:p w14:paraId="2A7FE2BF"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(4) Để bảo đảm đồng bộ, khoản 7 Điều 2 cũng được chỉnh lý thành mức hỗ trợ 3.800.000 đồng/người (thay </w:t>
            </w:r>
            <w:r>
              <w:rPr>
                <w:rFonts w:ascii="Times New Roman" w:hAnsi="Times New Roman" w:cs="Times New Roman"/>
                <w:sz w:val="26"/>
                <w:szCs w:val="26"/>
              </w:rPr>
              <w:lastRenderedPageBreak/>
              <w:t>cho 1,5 lần mức lương cơ sở), kèm quy định bảo đảm không thấp hơn mức tối thiểu do Chính phủ quy định.</w:t>
            </w:r>
          </w:p>
        </w:tc>
      </w:tr>
      <w:tr w:rsidR="00194A89" w14:paraId="162FED92" w14:textId="77777777">
        <w:tc>
          <w:tcPr>
            <w:tcW w:w="648" w:type="dxa"/>
            <w:vMerge/>
          </w:tcPr>
          <w:p w14:paraId="02FAFC50"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71AE3C29"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4446EC74"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6FE9FCC6" w14:textId="77777777" w:rsidR="00194A89" w:rsidRDefault="00000000">
            <w:pPr>
              <w:widowControl w:val="0"/>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Điều 5 tách thành 2 điều: Hiệu lực thi hành (khoản 1, 2), tổ chức thực hiện (khoản 3, 4). </w:t>
            </w:r>
          </w:p>
          <w:p w14:paraId="7E932193" w14:textId="77777777" w:rsidR="00194A89" w:rsidRDefault="00000000">
            <w:pPr>
              <w:widowControl w:val="0"/>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Ngày 12/7/2024, Hội đồng nhân dân tỉnh Hải Dương (cũ) ban hành Nghị quyết số 08/2024/NQ-HĐND ban hành Quy định một số nội dung chi, mức chi thực hiện công tác phòng, chống ma túy trên địa bàn tỉnh Hải Dương. Trong đó, tại Điều 8 Nghị quyết có nội dung sửa đổi, bổ sung một số điều của Nghị quyết số 09/2023/NQ-HĐND. Do vậy, đề nghị rà soát, bổ sung nội dung xử lý Nghị quyết số 08/2024/NQ-HĐND vào Điều khoản về hiệu lực thi hành cho đầy đủ. </w:t>
            </w:r>
          </w:p>
        </w:tc>
        <w:tc>
          <w:tcPr>
            <w:tcW w:w="5935" w:type="dxa"/>
          </w:tcPr>
          <w:p w14:paraId="6D7C091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một phần ý kiến và điều chỉnh nội dung dự thảo Nghị quyết và giải trình như sau:</w:t>
            </w:r>
          </w:p>
          <w:p w14:paraId="4A75F84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Khoản 1, Điều 8 Nghị quyết số 08/2024/NQ-HĐND ngày 12/7/2024 Hội đồng nhân dân tỉnh Hải Dương (cũ) sửa đổi, bổ sung một số điều của Nghị quyết số 09/2023/NQ-HĐND quy định mức hỗ trợ đối với trường hợp cai nghiện tự nguyện tại gia đình cộng đồng khi thực hiện dịch vụ tại đơn vị sự nghiệp công lập đủ điều kiện cung cấp dịch vụ cai nghiện tự nguyện tại gia đình, cộng đồng.</w:t>
            </w:r>
          </w:p>
          <w:p w14:paraId="2AC34AF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Hiện nay, trên địa bàn thành phố Hải Phòng có 03 Cơ sở cai nghiện ma túy công lập đủ điều kiện cung cấp dịch vụ cai nghiện tự nguyện tại gia đình, cộng đồng.</w:t>
            </w:r>
          </w:p>
          <w:p w14:paraId="211F808F"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Khoản 3 điều 130 Nghị định 163/2026/NĐ-CP quy định: </w:t>
            </w:r>
            <w:r>
              <w:rPr>
                <w:rFonts w:ascii="Times New Roman" w:hAnsi="Times New Roman" w:cs="Times New Roman"/>
                <w:i/>
                <w:iCs/>
                <w:sz w:val="26"/>
                <w:szCs w:val="26"/>
              </w:rPr>
              <w:t xml:space="preserve">“…Trường hợp cai nghiện ma túy tự nguyện tại gia đình, cộng đồng thực hiện tối đa 03 giai đoạn quy định tại Điều 84, Điều 85 và Điều 86 của Nghị định này tại cơ sở cai nghiện ma túy công lập, trường giáo dưỡng được nhà nước bảo đảm hưởng chế độ như người bị áp dụng biện pháp đưa đi cai nghiện bắt buộc, người bị áp </w:t>
            </w:r>
            <w:r>
              <w:rPr>
                <w:rFonts w:ascii="Times New Roman" w:hAnsi="Times New Roman" w:cs="Times New Roman"/>
                <w:i/>
                <w:iCs/>
                <w:sz w:val="26"/>
                <w:szCs w:val="26"/>
              </w:rPr>
              <w:lastRenderedPageBreak/>
              <w:t>dụng biện pháp xử lý hành chính đưa vào trường giáo dưỡng và được dự toán ngân sách hằng năm của Bộ Công an.”</w:t>
            </w:r>
          </w:p>
          <w:p w14:paraId="5093A27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Khoản 2, Điều 8 Nghị quyết số 08/2024/NQ-HĐND quy định chính sách hỗ trợ đối với người cai nghiện tự nguyện tại cơ sở cai nghiện ma túy công lập. </w:t>
            </w:r>
          </w:p>
          <w:p w14:paraId="4ACCE275"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sz w:val="26"/>
                <w:szCs w:val="26"/>
              </w:rPr>
              <w:t xml:space="preserve">Khoản 2 điều 130 Nghị định 163/2026/NĐ-CP quy định: </w:t>
            </w:r>
            <w:r>
              <w:rPr>
                <w:rFonts w:ascii="Times New Roman" w:hAnsi="Times New Roman" w:cs="Times New Roman"/>
                <w:i/>
                <w:iCs/>
                <w:sz w:val="26"/>
                <w:szCs w:val="26"/>
              </w:rPr>
              <w:t>“Người cai nghiện ma túy tự nguyện tại cơ sở cai nghiện ma túy công lập, trường giáo dưỡng được nhà nước bảo đảm hưởng chế độ như người bị áp dụng biện pháp đưa đi cai nghiện bắt buộc, người bị áp dụng biện pháp xử lý hành chính đưa vào trường giáo dưỡng”.</w:t>
            </w:r>
          </w:p>
          <w:p w14:paraId="31188EE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Do vậy, các quy định tại Điều 8 Nghị quyết số 08/2024/NQ-HĐND không phải bổ sung trong dự thảo Nghị quyết.</w:t>
            </w:r>
          </w:p>
        </w:tc>
      </w:tr>
      <w:tr w:rsidR="00194A89" w14:paraId="00F5BB32" w14:textId="77777777">
        <w:tc>
          <w:tcPr>
            <w:tcW w:w="648" w:type="dxa"/>
            <w:vMerge/>
          </w:tcPr>
          <w:p w14:paraId="47B9BADA"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3B421B9B"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7229DE0D"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4B388345"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Về thể thức, kỹ thuật trình bày văn bản: </w:t>
            </w:r>
          </w:p>
          <w:p w14:paraId="5210D34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Điều 4 đề nghị trình bày theo bố cục Điều, khoản theo đúng hướng dẫn tại khoản 1 Điều 63 Nghị định số 78/2025/NĐ-CP ngày 01 tháng 4 năm 2025 của Chính phủ quy định chi tiết một số điều và biện pháp để tổ chức, hướng dẫn thi hành Luật Ban hành văn bản quy phạm pháp luật </w:t>
            </w:r>
            <w:r>
              <w:rPr>
                <w:rFonts w:ascii="Times New Roman" w:hAnsi="Times New Roman" w:cs="Times New Roman"/>
                <w:sz w:val="26"/>
                <w:szCs w:val="26"/>
              </w:rPr>
              <w:lastRenderedPageBreak/>
              <w:t>(được sửa đổi, bổ sung bởi Nghị định số 187/2025/NĐ-CP) </w:t>
            </w:r>
          </w:p>
          <w:p w14:paraId="6A86CD4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Điểm a khoản 2 Điều 5 chỉnh lý lại “Nghị quyết số 09/NQ-HĐND” thành “Nghị quyết số 09/2023/NQ-HĐND” cho chính xác. </w:t>
            </w:r>
          </w:p>
          <w:p w14:paraId="507EA96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Chỉnh lý lại dấu hai chấm (:) sau các Điều thành dấu chấm (.). </w:t>
            </w:r>
          </w:p>
        </w:tc>
        <w:tc>
          <w:tcPr>
            <w:tcW w:w="5935" w:type="dxa"/>
          </w:tcPr>
          <w:p w14:paraId="263601F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Cơ quan chủ trì soạn thảo trân trọng tiếp thu ý kiến và điều chỉnh nội dung dự thảo Nghị quyết.</w:t>
            </w:r>
          </w:p>
        </w:tc>
      </w:tr>
      <w:tr w:rsidR="00194A89" w14:paraId="42BDA919" w14:textId="77777777">
        <w:tc>
          <w:tcPr>
            <w:tcW w:w="648" w:type="dxa"/>
            <w:vMerge/>
          </w:tcPr>
          <w:p w14:paraId="6E1B2090"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tcPr>
          <w:p w14:paraId="21BD2562"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704FE35C" w14:textId="77777777" w:rsidR="00194A89" w:rsidRDefault="00194A89">
            <w:pPr>
              <w:spacing w:before="120" w:after="0" w:line="360" w:lineRule="exact"/>
              <w:jc w:val="both"/>
              <w:rPr>
                <w:rFonts w:ascii="Times New Roman" w:hAnsi="Times New Roman" w:cs="Times New Roman"/>
                <w:sz w:val="26"/>
                <w:szCs w:val="26"/>
              </w:rPr>
            </w:pPr>
          </w:p>
        </w:tc>
        <w:tc>
          <w:tcPr>
            <w:tcW w:w="5226" w:type="dxa"/>
          </w:tcPr>
          <w:p w14:paraId="43D23A8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 Chỉnh lý lại nội dung dự thảo Tờ trình cho thống nhất với dự thảo Nghị quyết sau khi tiếp thu các ý kiến tại mục 1 công văn này. </w:t>
            </w:r>
          </w:p>
        </w:tc>
        <w:tc>
          <w:tcPr>
            <w:tcW w:w="5935" w:type="dxa"/>
          </w:tcPr>
          <w:p w14:paraId="731D366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ý kiến và điều chỉnh nội dung dự thảo Tờ trình.</w:t>
            </w:r>
          </w:p>
        </w:tc>
      </w:tr>
      <w:tr w:rsidR="00194A89" w14:paraId="47FA6B39" w14:textId="77777777">
        <w:tc>
          <w:tcPr>
            <w:tcW w:w="648" w:type="dxa"/>
            <w:vMerge w:val="restart"/>
          </w:tcPr>
          <w:p w14:paraId="010CF23D"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val="restart"/>
          </w:tcPr>
          <w:p w14:paraId="68B5AC94"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Tài chính</w:t>
            </w:r>
          </w:p>
        </w:tc>
        <w:tc>
          <w:tcPr>
            <w:tcW w:w="1658" w:type="dxa"/>
            <w:vMerge w:val="restart"/>
          </w:tcPr>
          <w:p w14:paraId="1CAAA03B"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 xml:space="preserve">11586/STC-TCHCSN ngày 28/10/2026 </w:t>
            </w:r>
          </w:p>
        </w:tc>
        <w:tc>
          <w:tcPr>
            <w:tcW w:w="5226" w:type="dxa"/>
          </w:tcPr>
          <w:p w14:paraId="58D1BD0A"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1. Về căn cứ pháp lý</w:t>
            </w:r>
          </w:p>
          <w:p w14:paraId="014E1F0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Đề nghị bỏ Căn cứ Nghị định số 165/2016/NĐ-CP ngày 24/12/2016 của Chính phủ quy định về quản lý, sử dụng ngân sách nhà nước đối với một số hoạt động thuộc lĩnh vực quốc phòng, an ninh được sửa đổi bổ sung bởi Nghị định số 01/2020/NĐ-CP ngày 14/5/2020 vì Nghị định này không phải là căn cứ để xây dựng Nghị quyết.</w:t>
            </w:r>
          </w:p>
        </w:tc>
        <w:tc>
          <w:tcPr>
            <w:tcW w:w="5935" w:type="dxa"/>
          </w:tcPr>
          <w:p w14:paraId="2D08DC5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ý kiến và điều chỉnh nội dung dự thảo Nghị quyết.</w:t>
            </w:r>
          </w:p>
        </w:tc>
      </w:tr>
      <w:tr w:rsidR="00194A89" w14:paraId="4321A8E0" w14:textId="77777777">
        <w:tc>
          <w:tcPr>
            <w:tcW w:w="648" w:type="dxa"/>
            <w:vMerge/>
          </w:tcPr>
          <w:p w14:paraId="6CF038B7"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56BCC641"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230E9C88" w14:textId="77777777" w:rsidR="00194A89" w:rsidRDefault="00194A89">
            <w:pPr>
              <w:spacing w:before="120" w:after="0" w:line="360" w:lineRule="exact"/>
              <w:jc w:val="center"/>
              <w:rPr>
                <w:rFonts w:ascii="Times New Roman" w:hAnsi="Times New Roman" w:cs="Times New Roman"/>
                <w:color w:val="FF0000"/>
                <w:sz w:val="26"/>
                <w:szCs w:val="26"/>
              </w:rPr>
            </w:pPr>
          </w:p>
        </w:tc>
        <w:tc>
          <w:tcPr>
            <w:tcW w:w="5226" w:type="dxa"/>
          </w:tcPr>
          <w:p w14:paraId="0297DCF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 Về nội dung Nghị quyết</w:t>
            </w:r>
          </w:p>
          <w:p w14:paraId="17055F4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2.1. Về kết cấu:</w:t>
            </w:r>
          </w:p>
          <w:p w14:paraId="4424F552"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Đề nghị tách Điều 1 thành 02 mục, mục 1. Phạm vi điều chỉnh và mục 2. Đối tượng áp dụng.</w:t>
            </w:r>
          </w:p>
        </w:tc>
        <w:tc>
          <w:tcPr>
            <w:tcW w:w="5935" w:type="dxa"/>
          </w:tcPr>
          <w:p w14:paraId="58E4230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Cơ quan chủ trì soạn thảo trân trọng tiếp thu ý kiến và điều chỉnh nội dung dự thảo Nghị quyết.</w:t>
            </w:r>
          </w:p>
        </w:tc>
      </w:tr>
      <w:tr w:rsidR="00194A89" w14:paraId="72F57712" w14:textId="77777777">
        <w:tc>
          <w:tcPr>
            <w:tcW w:w="648" w:type="dxa"/>
            <w:vMerge/>
          </w:tcPr>
          <w:p w14:paraId="7D587C94"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46B0267D"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6EC15276" w14:textId="77777777" w:rsidR="00194A89" w:rsidRDefault="00194A89">
            <w:pPr>
              <w:spacing w:before="120" w:after="0" w:line="360" w:lineRule="exact"/>
              <w:jc w:val="center"/>
              <w:rPr>
                <w:rFonts w:ascii="Times New Roman" w:hAnsi="Times New Roman" w:cs="Times New Roman"/>
                <w:color w:val="FF0000"/>
                <w:sz w:val="26"/>
                <w:szCs w:val="26"/>
              </w:rPr>
            </w:pPr>
          </w:p>
        </w:tc>
        <w:tc>
          <w:tcPr>
            <w:tcW w:w="5226" w:type="dxa"/>
          </w:tcPr>
          <w:p w14:paraId="09857CE5" w14:textId="77777777" w:rsidR="00194A89" w:rsidRDefault="00000000">
            <w:pPr>
              <w:spacing w:before="120" w:after="120" w:line="360" w:lineRule="exact"/>
              <w:jc w:val="both"/>
              <w:rPr>
                <w:rFonts w:ascii="Times New Roman" w:eastAsia="SimSun" w:hAnsi="Times New Roman" w:cs="Times New Roman"/>
                <w:color w:val="000000"/>
                <w:sz w:val="26"/>
                <w:szCs w:val="26"/>
              </w:rPr>
            </w:pPr>
            <w:r>
              <w:rPr>
                <w:rFonts w:ascii="Times New Roman" w:eastAsia="SimSun" w:hAnsi="Times New Roman" w:cs="Times New Roman"/>
                <w:color w:val="000000"/>
                <w:sz w:val="26"/>
                <w:szCs w:val="26"/>
              </w:rPr>
              <w:t>2.2. Về Chính sách hỗ trợ</w:t>
            </w:r>
          </w:p>
          <w:p w14:paraId="611512C3" w14:textId="77777777" w:rsidR="00194A89" w:rsidRDefault="00000000">
            <w:pPr>
              <w:spacing w:before="120" w:after="120" w:line="360" w:lineRule="exact"/>
              <w:jc w:val="both"/>
              <w:rPr>
                <w:rFonts w:ascii="Times New Roman" w:hAnsi="Times New Roman" w:cs="Times New Roman"/>
                <w:sz w:val="26"/>
                <w:szCs w:val="26"/>
              </w:rPr>
            </w:pPr>
            <w:r>
              <w:rPr>
                <w:rFonts w:ascii="Times New Roman" w:eastAsia="SimSun" w:hAnsi="Times New Roman" w:cs="Times New Roman"/>
                <w:color w:val="000000"/>
                <w:sz w:val="26"/>
                <w:szCs w:val="26"/>
              </w:rPr>
              <w:t>Đề nghị rà soát đối tượng, nội dung và mức hỗ trợ tại Điều 2 bảo đảm phù  hợp với quy định pháp luật chuyên ngành và các chế độ, chính sách hiện hành,  không trùng lặp đối tượng, nội dung hỗ trợ; đồng thời làm rõ sự cần thiết và cơ sở xác định mức hỗ trợ đối với từng chính sách đặc thù của thành phố.</w:t>
            </w:r>
          </w:p>
        </w:tc>
        <w:tc>
          <w:tcPr>
            <w:tcW w:w="5935" w:type="dxa"/>
          </w:tcPr>
          <w:p w14:paraId="007DBE2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ý kiến và điều chỉnh nội dung dự thảo Nghị quyết.</w:t>
            </w:r>
          </w:p>
        </w:tc>
      </w:tr>
      <w:tr w:rsidR="00194A89" w14:paraId="55DE3355" w14:textId="77777777">
        <w:tc>
          <w:tcPr>
            <w:tcW w:w="648" w:type="dxa"/>
            <w:vMerge/>
          </w:tcPr>
          <w:p w14:paraId="4DE5EC9E"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08B3512E"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623DF4C7" w14:textId="77777777" w:rsidR="00194A89" w:rsidRDefault="00194A89">
            <w:pPr>
              <w:spacing w:before="120" w:after="0" w:line="360" w:lineRule="exact"/>
              <w:jc w:val="center"/>
              <w:rPr>
                <w:rFonts w:ascii="Times New Roman" w:hAnsi="Times New Roman" w:cs="Times New Roman"/>
                <w:color w:val="FF0000"/>
                <w:sz w:val="26"/>
                <w:szCs w:val="26"/>
              </w:rPr>
            </w:pPr>
          </w:p>
        </w:tc>
        <w:tc>
          <w:tcPr>
            <w:tcW w:w="5226" w:type="dxa"/>
          </w:tcPr>
          <w:p w14:paraId="7DE4506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2.3 Về nhu cầu và nguồn kinh phí thực hiện: </w:t>
            </w:r>
          </w:p>
          <w:p w14:paraId="3AEE7982"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Theo dự thảo Tờ trình, tổng kinh phí thực hiện Nghị quyết dự kiến là  56.761,24 triệu đồng/năm, tăng khoảng 11.311 triệu đồng so với năm 2026. Trong  đó, có 02 chính sách gồm “Hỗ trợ nngười không thuộc trường hợp hưởng lương  ngân sách nhưng được phân công trực tiếp giúp đỡ người sử dụng trái phép chất ma tuý đang trong thời hạn quản lý” và “Hỗ trợ người được giao nhiệm vụ tư vấn  tâm lý, xã hội, quản lý, hỗ trợ người cai nghiện ma tuý tự nguyện tại gia đình cộng  đồng; người bị quản lý sau cai nghiện ma tuý” được xác định do ngân sách </w:t>
            </w:r>
            <w:r>
              <w:rPr>
                <w:rFonts w:ascii="Times New Roman" w:hAnsi="Times New Roman" w:cs="Times New Roman"/>
                <w:sz w:val="26"/>
                <w:szCs w:val="26"/>
              </w:rPr>
              <w:lastRenderedPageBreak/>
              <w:t>trung  ương bảo đảm nhưng chưa làm rõ căn cứ và nguồn kinh phí thực hiện. Do đó, đề nghị Công an thành phố: </w:t>
            </w:r>
          </w:p>
          <w:p w14:paraId="69B83948"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Rà soát sự cần thiết, cơ sở xác định nhu cầu kinh phí và nguyên nhân tăng so với năm 2026. </w:t>
            </w:r>
          </w:p>
          <w:p w14:paraId="5B7A5CD1"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Làm rõ căn cứ pháp lý, phạm vi và mức kinh phí do ngân sách trung ương  bảo đảm đối với 02 chính sách nêu trên. </w:t>
            </w:r>
          </w:p>
          <w:p w14:paraId="004799B8"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Xác định cụ thể phần kinh phí ngân sách địa phương phải bố trí; rà soát,  đề xuất chính sách hỗ trợ phù hợp với khả năng cân đối ngân sách, góp phần thực  hiện mục tiêu giảm tỷ trọng chi thường xuyên xuống không quá 40% tổng chi  ngân sách địa phương vào năm 2030 theo chỉ đạo của Chủ tịch Ủy ban nhân dân  thành phố tại Thông báo số 648/TB-VP ngày 22/10/2026 và Thông báo số 523/TB-VP ngày 07/9/2026. </w:t>
            </w:r>
          </w:p>
          <w:p w14:paraId="55E0C883"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Thống nhất số liệu và nội dung thuyết minh giữa dự thảo Tờ trình, dự thảo  Nghị quyết và các phụ lục kèm theo. </w:t>
            </w:r>
          </w:p>
        </w:tc>
        <w:tc>
          <w:tcPr>
            <w:tcW w:w="5935" w:type="dxa"/>
          </w:tcPr>
          <w:p w14:paraId="2B792AE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Cơ quan chủ trì soạn thảo trân trọng tiếp thu một phần ý kiến và điều chỉnh nội dung dự thảo Nghị quyết, dự thảo Tờ trình và giải trình như sau.</w:t>
            </w:r>
          </w:p>
          <w:p w14:paraId="62708616"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b/>
                <w:bCs/>
                <w:i/>
                <w:iCs/>
                <w:sz w:val="26"/>
                <w:szCs w:val="26"/>
              </w:rPr>
              <w:t xml:space="preserve">Thứ nhất, </w:t>
            </w:r>
            <w:r>
              <w:rPr>
                <w:rFonts w:ascii="Times New Roman" w:hAnsi="Times New Roman" w:cs="Times New Roman"/>
                <w:i/>
                <w:iCs/>
                <w:sz w:val="26"/>
                <w:szCs w:val="26"/>
              </w:rPr>
              <w:t xml:space="preserve">Về sự cần thiết. </w:t>
            </w:r>
            <w:r>
              <w:rPr>
                <w:rFonts w:ascii="Times New Roman" w:hAnsi="Times New Roman" w:cs="Times New Roman"/>
                <w:sz w:val="26"/>
                <w:szCs w:val="26"/>
              </w:rPr>
              <w:t xml:space="preserve">Nghị quyết số 09/2023/NQ-HĐND của Hội đồng nhân dân tỉnh Hải Dương (được áp dụng trên địa bàn thành phố Hải Phòng theo Nghị quyết số 52/NQ-HĐND ngày 26/10/2025) và Nghị quyết số 18/2024/NQ-HĐND của Hội đồng nhân dân thành phố Hải Phòng chỉ được áp dụng đến ngày 01/3/2027. Đồng thời, Luật Phòng, chống ma túy số 120/2025/QH15, Nghị định số 163/2026/NĐ-CP và Thông tư số 133/2026/TT-BTC đã thay đổi mô hình tổ chức cai nghiện và cơ chế bảo đảm kinh phí. Do đó, </w:t>
            </w:r>
            <w:r>
              <w:rPr>
                <w:rFonts w:ascii="Times New Roman" w:hAnsi="Times New Roman" w:cs="Times New Roman"/>
                <w:sz w:val="26"/>
                <w:szCs w:val="26"/>
              </w:rPr>
              <w:lastRenderedPageBreak/>
              <w:t>việc ban hành Nghị quyết thay thế là cần thiết để bảo đảm chính sách được thực hiện liên tục, thống nhất, phù hợp với quy định mới và mục tiêu của Nghị quyết số 01-NQ/TU ngày 08/11/2025 của Ban Chấp hành Đảng bộ thành phố.</w:t>
            </w:r>
          </w:p>
          <w:p w14:paraId="11D4D87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Về cơ sở xác định nhu cầu kinh phí. Nhu cầu kinh phí được xác định trên cơ sở mức hỗ trợ tại dự thảo Nghị quyết và số lượng đối tượng dự kiến, căn cứ số liệu thực tế năm trung bình 03 năm từ 2023 đến 2025 về số bị can bị bắt giữ, khởi tố, truy tố, xét xử; số người cai nghiện tự nguyện, người sử dụng trái phép chất ma túy đang trong thời hạn quản lý; số cán bộ, chiến sĩ, lao động hợp đồng tại các cơ sở cai nghiện ma túy công lập. Chi tiết tại Phụ lục 2 (đã được chỉnh lý, thống nhất số liệu với Tờ trình).</w:t>
            </w:r>
          </w:p>
          <w:p w14:paraId="2D819C09"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sz w:val="26"/>
                <w:szCs w:val="26"/>
              </w:rPr>
              <w:t>- Về nguyên nhân tăng so với năm 2026. Nguyên nhân chủ yếu là trong năm 2026, khoản hỗ trợ theo Nghị quyết số 09/2023/NQ-HĐND chưa được bố trí dự toán  Vì vậy, kinh phí năm 2026 dùng để so sánh chưa bao gồm nội dung này. Dự thảo Nghị quyết kế thừa chính sách nêu trên theo Mục 13 Nghị quyết số 227/2025/QH15. Các nội dung còn lại có biến động như bảng so sánh chi tiết bổ sung tại Tờ trình và phụ lục 2 đã được chỉnh lý.</w:t>
            </w:r>
          </w:p>
          <w:p w14:paraId="604BC555"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b/>
                <w:bCs/>
                <w:i/>
                <w:iCs/>
                <w:sz w:val="26"/>
                <w:szCs w:val="26"/>
              </w:rPr>
              <w:lastRenderedPageBreak/>
              <w:t xml:space="preserve">Thứ hai, </w:t>
            </w:r>
            <w:r>
              <w:rPr>
                <w:rFonts w:ascii="Times New Roman" w:hAnsi="Times New Roman" w:cs="Times New Roman"/>
                <w:sz w:val="26"/>
                <w:szCs w:val="26"/>
              </w:rPr>
              <w:t>Về nguồn kinh phí của 02 chính sách tại khoản 6 và khoản 8 Điều 2 (mục 5, mục 7 Phụ lục 2). Hai chính sách này không do ngân sách trung ương bảo đảm. Đây là chế độ do Chính phủ quy định khung mức tại khoản 5 Điều 65 và khoản 4 Điều 130 Nghị định số 163/2026/NĐ-CP. Kinh phí do ngân sách nhà nước bảo đảm theo phân cấp của Luật Ngân sách nhà nước (khoản 4 Điều 65, khoản 4 Điều 130 Nghị định số 163/2026/NĐ-CP), và Hội đồng nhân dân cấp tỉnh quyết định mức cụ thể dựa trên khả năng cân đối của ngân sách địa phương (khoản 3 Điều 3 Thông tư số 133/2026/TT-BTC). Do đó, nguồn kinh phí thực hiện là ngân sách địa phương theo phân cấp hiện hành. Dự thảo Tờ trình trước đây ghi "định mức trung ương quy định" với nghĩa là mức tối thiểu hoặc khung do Chính phủ quy định, và chỉ tính phần thành phố hỗ trợ thêm vào tổng kinh phí. Cơ quan chủ trì soạn thảo đã chỉnh lý Phụ lục 2 và Tờ trình: (i) đổi tên cột thành "Mức theo khung do Chính phủ quy định" và "Phần thành phố hỗ trợ thêm"; (ii) thể hiện đầy đủ tổng nhu cầu kinh phí của từng chính sách; (iii) xác định rõ nguồn là ngân sách địa phương theo phân cấp.</w:t>
            </w:r>
          </w:p>
        </w:tc>
      </w:tr>
      <w:tr w:rsidR="00194A89" w14:paraId="3E14C236" w14:textId="77777777">
        <w:tc>
          <w:tcPr>
            <w:tcW w:w="648" w:type="dxa"/>
            <w:vMerge/>
          </w:tcPr>
          <w:p w14:paraId="48641B78"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437EB165"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6E68519F" w14:textId="77777777" w:rsidR="00194A89" w:rsidRDefault="00194A89">
            <w:pPr>
              <w:spacing w:before="120" w:after="0" w:line="360" w:lineRule="exact"/>
              <w:jc w:val="center"/>
              <w:rPr>
                <w:rFonts w:ascii="Times New Roman" w:hAnsi="Times New Roman" w:cs="Times New Roman"/>
                <w:color w:val="FF0000"/>
                <w:sz w:val="26"/>
                <w:szCs w:val="26"/>
              </w:rPr>
            </w:pPr>
          </w:p>
        </w:tc>
        <w:tc>
          <w:tcPr>
            <w:tcW w:w="5226" w:type="dxa"/>
          </w:tcPr>
          <w:p w14:paraId="33102A1D" w14:textId="77777777" w:rsidR="00194A89" w:rsidRDefault="00000000">
            <w:pPr>
              <w:pStyle w:val="NormalWeb"/>
              <w:spacing w:before="120" w:beforeAutospacing="0" w:after="120" w:afterAutospacing="0" w:line="360" w:lineRule="exact"/>
              <w:jc w:val="both"/>
              <w:rPr>
                <w:rFonts w:eastAsiaTheme="minorEastAsia"/>
                <w:sz w:val="26"/>
                <w:szCs w:val="26"/>
              </w:rPr>
            </w:pPr>
            <w:r>
              <w:rPr>
                <w:rFonts w:eastAsiaTheme="minorEastAsia"/>
                <w:sz w:val="26"/>
                <w:szCs w:val="26"/>
              </w:rPr>
              <w:t>2.4. Về tổ chức thực hiện: </w:t>
            </w:r>
          </w:p>
          <w:p w14:paraId="0E2C5D00" w14:textId="77777777" w:rsidR="00194A89" w:rsidRDefault="00000000">
            <w:pPr>
              <w:pStyle w:val="NormalWeb"/>
              <w:spacing w:before="120" w:beforeAutospacing="0" w:after="120" w:afterAutospacing="0" w:line="360" w:lineRule="exact"/>
              <w:jc w:val="both"/>
              <w:rPr>
                <w:rFonts w:eastAsiaTheme="minorEastAsia"/>
                <w:sz w:val="26"/>
                <w:szCs w:val="26"/>
              </w:rPr>
            </w:pPr>
            <w:r>
              <w:rPr>
                <w:rFonts w:eastAsiaTheme="minorEastAsia"/>
                <w:sz w:val="26"/>
                <w:szCs w:val="26"/>
              </w:rPr>
              <w:t>- Đề nghị rà soát, xác định rõ trách nhiệm bố trí kinh phí và tổ chức thực  hiện từng nhóm chính sách theo phân cấp ngân sách. Đối với chính sách hỗ trợ  xã, phường, đặc khu đạt hoặc duy trì tiêu chuẩn không ma túy, đề nghị nghiên cứu  bố trí kinh phí tập trung tại cơ quan đầu mối cấp thành phố để thực hiện theo kết quả công nhận hằng năm. </w:t>
            </w:r>
          </w:p>
          <w:p w14:paraId="56F880E5" w14:textId="77777777" w:rsidR="00194A89" w:rsidRDefault="00000000">
            <w:pPr>
              <w:pStyle w:val="NormalWeb"/>
              <w:spacing w:before="120" w:beforeAutospacing="0" w:after="120" w:afterAutospacing="0" w:line="360" w:lineRule="exact"/>
              <w:jc w:val="both"/>
              <w:rPr>
                <w:rFonts w:eastAsiaTheme="minorEastAsia"/>
                <w:sz w:val="26"/>
                <w:szCs w:val="26"/>
              </w:rPr>
            </w:pPr>
            <w:r>
              <w:rPr>
                <w:rFonts w:eastAsiaTheme="minorEastAsia"/>
                <w:sz w:val="26"/>
                <w:szCs w:val="26"/>
              </w:rPr>
              <w:t xml:space="preserve">- Đề nghị sửa khoản 3 Điều 5 thành: “Giao Ủy ban nhân dân thành phố tổ  chức thực hiện Nghị quyết theo quy định của pháp luật”. </w:t>
            </w:r>
          </w:p>
        </w:tc>
        <w:tc>
          <w:tcPr>
            <w:tcW w:w="5935" w:type="dxa"/>
          </w:tcPr>
          <w:p w14:paraId="1675BE5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trân trọng tiếp thu một phần ý kiến và điều chỉnh nội dung dự thảo Nghị quyết, dự thảo Tờ trình</w:t>
            </w:r>
          </w:p>
        </w:tc>
      </w:tr>
      <w:tr w:rsidR="00194A89" w14:paraId="51C1AC4B" w14:textId="77777777">
        <w:tc>
          <w:tcPr>
            <w:tcW w:w="648" w:type="dxa"/>
          </w:tcPr>
          <w:p w14:paraId="3D6B75F2" w14:textId="77777777" w:rsidR="00194A89" w:rsidRDefault="00194A89">
            <w:pPr>
              <w:pStyle w:val="ListParagraph"/>
              <w:numPr>
                <w:ilvl w:val="0"/>
                <w:numId w:val="1"/>
              </w:numPr>
              <w:spacing w:before="120" w:after="0" w:line="360" w:lineRule="exact"/>
              <w:jc w:val="both"/>
              <w:rPr>
                <w:rFonts w:ascii="Times New Roman" w:hAnsi="Times New Roman" w:cs="Times New Roman"/>
                <w:sz w:val="26"/>
                <w:szCs w:val="26"/>
              </w:rPr>
            </w:pPr>
          </w:p>
        </w:tc>
        <w:tc>
          <w:tcPr>
            <w:tcW w:w="1407" w:type="dxa"/>
          </w:tcPr>
          <w:p w14:paraId="5E98A712"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Ủy ban MTTQ Việt Nam thành phố</w:t>
            </w:r>
          </w:p>
        </w:tc>
        <w:tc>
          <w:tcPr>
            <w:tcW w:w="1658" w:type="dxa"/>
          </w:tcPr>
          <w:p w14:paraId="214E356F" w14:textId="77777777" w:rsidR="00194A89" w:rsidRDefault="00000000">
            <w:pPr>
              <w:spacing w:before="120" w:after="0" w:line="360" w:lineRule="exact"/>
              <w:jc w:val="center"/>
              <w:rPr>
                <w:rFonts w:ascii="Times New Roman" w:hAnsi="Times New Roman" w:cs="Times New Roman"/>
                <w:color w:val="FF0000"/>
                <w:sz w:val="26"/>
                <w:szCs w:val="26"/>
              </w:rPr>
            </w:pPr>
            <w:r>
              <w:rPr>
                <w:rFonts w:ascii="Times New Roman" w:hAnsi="Times New Roman" w:cs="Times New Roman"/>
                <w:sz w:val="26"/>
                <w:szCs w:val="26"/>
              </w:rPr>
              <w:t>1425/MTTQ-BTT ngày 07/10/2026</w:t>
            </w:r>
          </w:p>
        </w:tc>
        <w:tc>
          <w:tcPr>
            <w:tcW w:w="5226" w:type="dxa"/>
          </w:tcPr>
          <w:p w14:paraId="5064994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Nhất trí với sự cần thiết ban hành Nghị quyết nhằm tạo cơ sở thực hiện thống nhất chính sách sau sắp xếp đơn vị hành chính, đồng thời đảm bảo nguồn lực cho công tác phòng, chống ma túy, cai nghiện ma túy và quản lý sau cai nghiện ma túy trên địa bàn thành phố; đồng thời tham gia ý kiến sau:</w:t>
            </w:r>
          </w:p>
          <w:p w14:paraId="3E58E3E1"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Tại khoản 3 Điều 5 dự thảo Nghị quyết, giao Ủy ban nhân dân thành phố </w:t>
            </w:r>
            <w:r>
              <w:rPr>
                <w:rFonts w:ascii="Times New Roman" w:hAnsi="Times New Roman" w:cs="Times New Roman"/>
                <w:i/>
                <w:iCs/>
                <w:sz w:val="26"/>
                <w:szCs w:val="26"/>
              </w:rPr>
              <w:t xml:space="preserve">“ban hành Hướng dẫn thực hiện Nghị quyết”; </w:t>
            </w:r>
            <w:r>
              <w:rPr>
                <w:rFonts w:ascii="Times New Roman" w:hAnsi="Times New Roman" w:cs="Times New Roman"/>
                <w:sz w:val="26"/>
                <w:szCs w:val="26"/>
              </w:rPr>
              <w:t xml:space="preserve">tuy nhiên, tránh việc văn bản triển khai sau này đặt thêm yêu cầu, xem xét </w:t>
            </w:r>
            <w:r>
              <w:rPr>
                <w:rFonts w:ascii="Times New Roman" w:hAnsi="Times New Roman" w:cs="Times New Roman"/>
                <w:sz w:val="26"/>
                <w:szCs w:val="26"/>
              </w:rPr>
              <w:lastRenderedPageBreak/>
              <w:t>biên tập theo hướng “</w:t>
            </w:r>
            <w:r>
              <w:rPr>
                <w:rFonts w:ascii="Times New Roman" w:hAnsi="Times New Roman" w:cs="Times New Roman"/>
                <w:i/>
                <w:iCs/>
                <w:sz w:val="26"/>
                <w:szCs w:val="26"/>
              </w:rPr>
              <w:t>Giao Ủy ban nhân dân thành phố chỉ đạo tổ chức triển khai, thực hiện Nghị quyết theo đúng quy định của pháp luật</w:t>
            </w:r>
            <w:r>
              <w:rPr>
                <w:rFonts w:ascii="Times New Roman" w:hAnsi="Times New Roman" w:cs="Times New Roman"/>
                <w:sz w:val="26"/>
                <w:szCs w:val="26"/>
              </w:rPr>
              <w:t>”</w:t>
            </w:r>
          </w:p>
        </w:tc>
        <w:tc>
          <w:tcPr>
            <w:tcW w:w="5935" w:type="dxa"/>
          </w:tcPr>
          <w:p w14:paraId="732AF338"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Công an thành phố trân trọng tiếp thu nội dung tham gia ý kiến này, rà soát để hoàn thiện hồ sơ xây dựng Nghị quyết đảm bảo quy định.</w:t>
            </w:r>
          </w:p>
        </w:tc>
      </w:tr>
      <w:tr w:rsidR="00194A89" w14:paraId="4A104D5E" w14:textId="77777777">
        <w:trPr>
          <w:trHeight w:val="90"/>
        </w:trPr>
        <w:tc>
          <w:tcPr>
            <w:tcW w:w="648" w:type="dxa"/>
            <w:vMerge w:val="restart"/>
          </w:tcPr>
          <w:p w14:paraId="0DFBAA51"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val="restart"/>
          </w:tcPr>
          <w:p w14:paraId="0AC19C94"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Khoa học và Công nghệ</w:t>
            </w:r>
          </w:p>
        </w:tc>
        <w:tc>
          <w:tcPr>
            <w:tcW w:w="1658" w:type="dxa"/>
            <w:vMerge w:val="restart"/>
          </w:tcPr>
          <w:p w14:paraId="40A08141"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Số 5027/SKHCN-VP</w:t>
            </w:r>
          </w:p>
        </w:tc>
        <w:tc>
          <w:tcPr>
            <w:tcW w:w="5226" w:type="dxa"/>
          </w:tcPr>
          <w:p w14:paraId="688B69E3" w14:textId="77777777" w:rsidR="00194A89" w:rsidRDefault="00000000">
            <w:pPr>
              <w:numPr>
                <w:ilvl w:val="0"/>
                <w:numId w:val="3"/>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Về nội dung dự thảo Nghị quyết, đề nghị: Quy định rõ phạm vi điều chỉnh và đối tượng áp dụng tại Điều 1; Bổ sung nội dung về áp dụng các quy định về nội dung, mức chi tại Thông tư số 133/2026/TT-BTC ngày 07/9/2026 của Bộ trưởng Bộ Tài Chính quy định việc quản lý và sử dụng kinh phí sự nghiệp từ sách nhà nước thực hiện quản lý người sử dụng trái phép chất ma túy, chế độ áp dụng biện pháp đưa đi cai nghiện bắt buộc, công tác cai nghiện ma túy tự nguyện tại gia đình, cộng đồng, cơ sở cai nghiện ma túy, trường giáo dưỡng và công tác quản lý sau cai nghiện ma túy và quy định pháp luật liên quan đối với các nội dung, mức chi không quy định cụ thể tại dự thảo Nghị quyết.</w:t>
            </w:r>
          </w:p>
        </w:tc>
        <w:tc>
          <w:tcPr>
            <w:tcW w:w="5935" w:type="dxa"/>
          </w:tcPr>
          <w:p w14:paraId="476A0A0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 và rà soát để hoàn thiện hồ sơ xây dựng Nghị quyết đảm bảo quy định.</w:t>
            </w:r>
          </w:p>
        </w:tc>
      </w:tr>
      <w:tr w:rsidR="00194A89" w14:paraId="7BC2F049" w14:textId="77777777">
        <w:tc>
          <w:tcPr>
            <w:tcW w:w="648" w:type="dxa"/>
            <w:vMerge/>
          </w:tcPr>
          <w:p w14:paraId="6E74F546"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17F26E60"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4A811ABD"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55EB918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2. Dự thảo Nghị quyết gửi xin ý kiến không có nội dung quy định về việc ứng dụng, thúc đẩy phát triển khoa học, công nghệ, đổi mới sáng tạo và chuyển đổi số.</w:t>
            </w:r>
          </w:p>
        </w:tc>
        <w:tc>
          <w:tcPr>
            <w:tcW w:w="5935" w:type="dxa"/>
          </w:tcPr>
          <w:p w14:paraId="493B1C8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w:t>
            </w:r>
          </w:p>
        </w:tc>
      </w:tr>
      <w:tr w:rsidR="00194A89" w14:paraId="360919E8" w14:textId="77777777">
        <w:tc>
          <w:tcPr>
            <w:tcW w:w="648" w:type="dxa"/>
            <w:vMerge w:val="restart"/>
          </w:tcPr>
          <w:p w14:paraId="00892107" w14:textId="77777777" w:rsidR="00194A89" w:rsidRDefault="00194A89">
            <w:pPr>
              <w:pStyle w:val="ListParagraph"/>
              <w:numPr>
                <w:ilvl w:val="0"/>
                <w:numId w:val="1"/>
              </w:numPr>
              <w:spacing w:before="120" w:after="0" w:line="360" w:lineRule="exact"/>
              <w:jc w:val="center"/>
              <w:rPr>
                <w:rFonts w:ascii="Times New Roman" w:hAnsi="Times New Roman" w:cs="Times New Roman"/>
                <w:sz w:val="26"/>
                <w:szCs w:val="26"/>
              </w:rPr>
            </w:pPr>
          </w:p>
        </w:tc>
        <w:tc>
          <w:tcPr>
            <w:tcW w:w="1407" w:type="dxa"/>
            <w:vMerge w:val="restart"/>
          </w:tcPr>
          <w:p w14:paraId="27C4AA70"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Nội vụ</w:t>
            </w:r>
          </w:p>
        </w:tc>
        <w:tc>
          <w:tcPr>
            <w:tcW w:w="1658" w:type="dxa"/>
            <w:vMerge w:val="restart"/>
          </w:tcPr>
          <w:p w14:paraId="3ECB5A90"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6395/SNV-CCHC&amp;PC ngày 15/10/2026</w:t>
            </w:r>
          </w:p>
        </w:tc>
        <w:tc>
          <w:tcPr>
            <w:tcW w:w="5226" w:type="dxa"/>
          </w:tcPr>
          <w:p w14:paraId="1A5E1D6B" w14:textId="77777777" w:rsidR="00194A89" w:rsidRDefault="00000000">
            <w:pPr>
              <w:numPr>
                <w:ilvl w:val="0"/>
                <w:numId w:val="4"/>
              </w:numPr>
              <w:spacing w:before="120" w:after="120" w:line="360" w:lineRule="exact"/>
              <w:jc w:val="both"/>
              <w:rPr>
                <w:rFonts w:ascii="Times New Roman" w:hAnsi="Times New Roman" w:cs="Times New Roman"/>
                <w:i/>
                <w:iCs/>
                <w:sz w:val="26"/>
                <w:szCs w:val="26"/>
              </w:rPr>
            </w:pPr>
            <w:r>
              <w:rPr>
                <w:rFonts w:ascii="Times New Roman" w:hAnsi="Times New Roman" w:cs="Times New Roman"/>
                <w:sz w:val="26"/>
                <w:szCs w:val="26"/>
              </w:rPr>
              <w:t>Về việc phân cấp thực hiện nhiệm vụ, quyền hạn được phân cấp</w:t>
            </w:r>
          </w:p>
          <w:p w14:paraId="279B5E99"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sz w:val="26"/>
                <w:szCs w:val="26"/>
              </w:rPr>
              <w:t>Tại dự thảo Nghị quyết của Hội đồng nhân dân thành phố quy định chính sách hỗ trợ đối với công tác phòng, chống ma túy trên địa bàn thành phố không có nội dung phân cấp, quyền hạn được phân cấp</w:t>
            </w:r>
          </w:p>
        </w:tc>
        <w:tc>
          <w:tcPr>
            <w:tcW w:w="5935" w:type="dxa"/>
          </w:tcPr>
          <w:p w14:paraId="0E88ED6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w:t>
            </w:r>
          </w:p>
        </w:tc>
      </w:tr>
      <w:tr w:rsidR="00194A89" w14:paraId="39073559" w14:textId="77777777">
        <w:tc>
          <w:tcPr>
            <w:tcW w:w="648" w:type="dxa"/>
            <w:vMerge/>
          </w:tcPr>
          <w:p w14:paraId="1633B2AC"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585A3EB5"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192497DF"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2BE311FE" w14:textId="77777777" w:rsidR="00194A89" w:rsidRDefault="00000000">
            <w:pPr>
              <w:numPr>
                <w:ilvl w:val="0"/>
                <w:numId w:val="4"/>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Về nguồn nhân lực</w:t>
            </w:r>
          </w:p>
          <w:p w14:paraId="4135F7C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Tại dự thảo tờ trình, Công an thành phố đã thống kê một số nhóm nhân lực và số lượng người làm việc tại các cơ sở cai nghiện ma túy công lập nhưng chưa đánh giá đầy đủ khả năng bố trí nhân lực bảo đảm thực hiện nhiệm vụ tại cấp xã. Đề nghị báo cáo rõ tác động chính sách không làm phát sinh thêm tổ chức, biên chế ngoài số được cấp có thẩm quyền giao.</w:t>
            </w:r>
          </w:p>
        </w:tc>
        <w:tc>
          <w:tcPr>
            <w:tcW w:w="5935" w:type="dxa"/>
          </w:tcPr>
          <w:p w14:paraId="4E6FFB4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w:t>
            </w:r>
          </w:p>
        </w:tc>
      </w:tr>
      <w:tr w:rsidR="00194A89" w14:paraId="0CF43AED" w14:textId="77777777">
        <w:tc>
          <w:tcPr>
            <w:tcW w:w="648" w:type="dxa"/>
            <w:vMerge/>
          </w:tcPr>
          <w:p w14:paraId="64966269"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784A3021"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512567F6"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23121984" w14:textId="77777777" w:rsidR="00194A89" w:rsidRDefault="00000000">
            <w:pPr>
              <w:numPr>
                <w:ilvl w:val="0"/>
                <w:numId w:val="4"/>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Về dự thảo Tờ trình</w:t>
            </w:r>
          </w:p>
          <w:p w14:paraId="0869ABE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 Đề nghị Công an thành phố rà soát đảm bảo thống nhất. </w:t>
            </w:r>
          </w:p>
          <w:p w14:paraId="58F58E2B" w14:textId="77777777" w:rsidR="00194A89" w:rsidRDefault="00000000">
            <w:pPr>
              <w:spacing w:before="120" w:after="120" w:line="360" w:lineRule="exact"/>
              <w:jc w:val="both"/>
              <w:rPr>
                <w:rFonts w:ascii="Times New Roman" w:eastAsia="SimSun" w:hAnsi="Times New Roman" w:cs="Times New Roman"/>
                <w:spacing w:val="-6"/>
                <w:sz w:val="26"/>
                <w:szCs w:val="26"/>
              </w:rPr>
            </w:pPr>
            <w:r>
              <w:rPr>
                <w:rFonts w:ascii="Times New Roman" w:hAnsi="Times New Roman" w:cs="Times New Roman"/>
                <w:sz w:val="26"/>
                <w:szCs w:val="26"/>
              </w:rPr>
              <w:t xml:space="preserve">Tại khoản 6 Điều 2 đề xuất hỗ trợ bằng 0,25 lần mức lương cơ sở/người/tháng đối với  </w:t>
            </w:r>
            <w:r>
              <w:rPr>
                <w:rFonts w:ascii="Times New Roman" w:eastAsia="SimSun" w:hAnsi="Times New Roman" w:cs="Times New Roman"/>
                <w:spacing w:val="-6"/>
                <w:sz w:val="26"/>
                <w:szCs w:val="26"/>
              </w:rPr>
              <w:t xml:space="preserve">người không thuộc trường hợp hưởng lương từ ngân sách </w:t>
            </w:r>
            <w:r>
              <w:rPr>
                <w:rFonts w:ascii="Times New Roman" w:eastAsia="SimSun" w:hAnsi="Times New Roman" w:cs="Times New Roman"/>
                <w:spacing w:val="-6"/>
                <w:sz w:val="26"/>
                <w:szCs w:val="26"/>
              </w:rPr>
              <w:lastRenderedPageBreak/>
              <w:t>nhưng được phân công trực tiếp giúp đỡ người sử dụng trái phép chất ma túy đang trong thời hạn quản lý. Tuy nhiên, tại phần nguồn nhân lực, kinh phí hỗ trợ nhóm đối tượng này được xác định bằng 0 đồng.</w:t>
            </w:r>
          </w:p>
          <w:p w14:paraId="5F5BF71D" w14:textId="77777777" w:rsidR="00194A89" w:rsidRDefault="00000000">
            <w:pPr>
              <w:spacing w:before="120" w:after="120" w:line="360" w:lineRule="exact"/>
              <w:jc w:val="both"/>
              <w:rPr>
                <w:rFonts w:ascii="Times New Roman" w:eastAsia="SimSun" w:hAnsi="Times New Roman" w:cs="Times New Roman"/>
                <w:spacing w:val="-6"/>
                <w:sz w:val="26"/>
                <w:szCs w:val="26"/>
              </w:rPr>
            </w:pPr>
            <w:r>
              <w:rPr>
                <w:rFonts w:ascii="Times New Roman" w:eastAsia="SimSun" w:hAnsi="Times New Roman" w:cs="Times New Roman"/>
                <w:spacing w:val="-6"/>
                <w:sz w:val="26"/>
                <w:szCs w:val="26"/>
              </w:rPr>
              <w:t>- Đề nghị thống nhất thời gian dự kiến trình thông qua toàn bộ hồ sơ</w:t>
            </w:r>
          </w:p>
        </w:tc>
        <w:tc>
          <w:tcPr>
            <w:tcW w:w="5935" w:type="dxa"/>
          </w:tcPr>
          <w:p w14:paraId="6623F829"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Công an thành phố trân trọng tiếp thu nội dung tham gia ý kiến này và rà soát để hoàn thiện hồ sơ xây dựng Nghị quyết đảm bảo quy định.</w:t>
            </w:r>
          </w:p>
        </w:tc>
      </w:tr>
      <w:tr w:rsidR="00194A89" w14:paraId="558D50B0" w14:textId="77777777">
        <w:tc>
          <w:tcPr>
            <w:tcW w:w="648" w:type="dxa"/>
            <w:vMerge w:val="restart"/>
          </w:tcPr>
          <w:p w14:paraId="10855D82" w14:textId="77777777" w:rsidR="00194A89" w:rsidRDefault="00194A89">
            <w:pPr>
              <w:pStyle w:val="ListParagraph"/>
              <w:numPr>
                <w:ilvl w:val="0"/>
                <w:numId w:val="1"/>
              </w:numPr>
              <w:spacing w:before="120" w:after="0" w:line="360" w:lineRule="exact"/>
              <w:jc w:val="both"/>
              <w:rPr>
                <w:rFonts w:ascii="Times New Roman" w:hAnsi="Times New Roman" w:cs="Times New Roman"/>
                <w:sz w:val="26"/>
                <w:szCs w:val="26"/>
              </w:rPr>
            </w:pPr>
          </w:p>
        </w:tc>
        <w:tc>
          <w:tcPr>
            <w:tcW w:w="1407" w:type="dxa"/>
            <w:vMerge w:val="restart"/>
          </w:tcPr>
          <w:p w14:paraId="6760FBAC"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Giáo dục và đào tạo</w:t>
            </w:r>
          </w:p>
        </w:tc>
        <w:tc>
          <w:tcPr>
            <w:tcW w:w="1658" w:type="dxa"/>
            <w:vMerge w:val="restart"/>
          </w:tcPr>
          <w:p w14:paraId="0EA3DF36"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 xml:space="preserve">6880/SGDĐT-VP ngày 15/10/2026 </w:t>
            </w:r>
          </w:p>
        </w:tc>
        <w:tc>
          <w:tcPr>
            <w:tcW w:w="5226" w:type="dxa"/>
          </w:tcPr>
          <w:p w14:paraId="3FB6D968" w14:textId="77777777" w:rsidR="00194A89" w:rsidRDefault="00000000">
            <w:pPr>
              <w:numPr>
                <w:ilvl w:val="0"/>
                <w:numId w:val="5"/>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Rà soát, thống nhất mức hỗ trợ bằng 02 lần mức lương cơ sở</w:t>
            </w:r>
          </w:p>
          <w:p w14:paraId="64BF4CD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Tại Phụ lục 2, mức lương cơ sở được xác định là 2.530.000 đồng/tháng, tương ứng 02 lần mức lương cơ sở là 5.060.000 đồng/người/tháng. Tuy nhiên tại Báo cáo đánh giá tác động có nội dung ghi mức 5.060.000 đồng/người/tháng, đồng thời có nội dung ghi mức hỗ trợ 6.000.000 đồng/người/tháng.</w:t>
            </w:r>
          </w:p>
        </w:tc>
        <w:tc>
          <w:tcPr>
            <w:tcW w:w="5935" w:type="dxa"/>
          </w:tcPr>
          <w:p w14:paraId="19F48B3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 rà soát để hoàn thiện hồ sơ xây dựng Nghị quyết đảm bảo quy định.</w:t>
            </w:r>
          </w:p>
        </w:tc>
      </w:tr>
      <w:tr w:rsidR="00194A89" w14:paraId="7CB19BB9" w14:textId="77777777">
        <w:tc>
          <w:tcPr>
            <w:tcW w:w="648" w:type="dxa"/>
            <w:vMerge/>
          </w:tcPr>
          <w:p w14:paraId="295D4103"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7993D818"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37D5FFEA"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27C77CC4" w14:textId="77777777" w:rsidR="00194A89" w:rsidRDefault="00000000">
            <w:pPr>
              <w:numPr>
                <w:ilvl w:val="0"/>
                <w:numId w:val="6"/>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Làm rõ hồ sơ thực hiện chính sách hỗ trợ bắt giữ đối tượng truy nã về tội phạm ma túy.</w:t>
            </w:r>
          </w:p>
          <w:p w14:paraId="2B0A2CF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Khoản 4 Điều 2 dự thảo Nghị quyết quy định hỗ trợ một lần bằng tiền đối với lực lượng trực tiếp bắt giữ đối tượng truy nã phạm tội về ma túy. Tuy nhiên, tại điểm d khoản 2 Điều 3 về hồ sơ </w:t>
            </w:r>
            <w:r>
              <w:rPr>
                <w:rFonts w:ascii="Times New Roman" w:hAnsi="Times New Roman" w:cs="Times New Roman"/>
                <w:sz w:val="26"/>
                <w:szCs w:val="26"/>
              </w:rPr>
              <w:lastRenderedPageBreak/>
              <w:t>đề nghị hỗ trợ có liệt kê “Biên bản tiếp nhận người bị truy nã ra đầu thú”.</w:t>
            </w:r>
          </w:p>
          <w:p w14:paraId="406CD22F"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Việc bắt giữ đối tượng truy nã và việc người bị truy nã ra đầu thú là hai trường hợp có tính chất khác nhau. Đề nghị cơ quan chủ trì rà soát, làm rõ trường hợp người bị truy nã ra đầu thú có thuộc phạm vi được hưởng chính sách hỗ trợ theo khoản 4 Điều 2 hay không; trên cơ sở đó quy định thành phần hồ sơ tương ứng, bảo đảm thống nhất giữa đối tượng, điều kiện hưởng và hồ sơ thanh toán</w:t>
            </w:r>
          </w:p>
        </w:tc>
        <w:tc>
          <w:tcPr>
            <w:tcW w:w="5935" w:type="dxa"/>
          </w:tcPr>
          <w:p w14:paraId="29C81A9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Công an thành phố trân trọng tiếp thu nội dung tham gia ý kiến này và rà soát để điều chỉnh lại theo hướng chỉ lực lượng trực tiếp bắt giữ đối tượng truy nã mới được hỗ trợ.</w:t>
            </w:r>
          </w:p>
        </w:tc>
      </w:tr>
      <w:tr w:rsidR="00194A89" w14:paraId="22239FFE" w14:textId="77777777">
        <w:tc>
          <w:tcPr>
            <w:tcW w:w="648" w:type="dxa"/>
            <w:vMerge/>
          </w:tcPr>
          <w:p w14:paraId="44B00C3B"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vMerge/>
          </w:tcPr>
          <w:p w14:paraId="30D20F5F" w14:textId="77777777" w:rsidR="00194A89" w:rsidRDefault="00194A89">
            <w:pPr>
              <w:spacing w:before="120" w:after="0" w:line="360" w:lineRule="exact"/>
              <w:jc w:val="center"/>
              <w:rPr>
                <w:rFonts w:ascii="Times New Roman" w:hAnsi="Times New Roman" w:cs="Times New Roman"/>
                <w:sz w:val="26"/>
                <w:szCs w:val="26"/>
              </w:rPr>
            </w:pPr>
          </w:p>
        </w:tc>
        <w:tc>
          <w:tcPr>
            <w:tcW w:w="1658" w:type="dxa"/>
            <w:vMerge/>
          </w:tcPr>
          <w:p w14:paraId="05A4847C"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137B3BC7" w14:textId="77777777" w:rsidR="00194A89" w:rsidRDefault="00000000">
            <w:pPr>
              <w:numPr>
                <w:ilvl w:val="0"/>
                <w:numId w:val="6"/>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Rà soát nội dung tại Phụ lục 1</w:t>
            </w:r>
          </w:p>
          <w:p w14:paraId="79B0F3A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Tại phần tham khảo chính sách của thành phố Hải Phòng, Phụ lục 1 hiện ghi: </w:t>
            </w:r>
          </w:p>
          <w:p w14:paraId="147FDD2E"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“Bắt giữ đối tượng truy nã trong nước: 20.000.000 đồng/đối tượng”.</w:t>
            </w:r>
          </w:p>
          <w:p w14:paraId="0854F845"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“Bắt giữ đối tượng truy nã trong nước: 50.000.000 đồng/đối tượng”.</w:t>
            </w:r>
          </w:p>
          <w:p w14:paraId="3EC5184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Đề nghị rà soát, chỉnh nội dung thứ hai thành “Bắt giữ đối tượng truy nã ở nước ngoài: 50.000.000 đồng/đối tượng” để thống nhất với nội dung dự thảo Nghị quyết.</w:t>
            </w:r>
          </w:p>
        </w:tc>
        <w:tc>
          <w:tcPr>
            <w:tcW w:w="5935" w:type="dxa"/>
          </w:tcPr>
          <w:p w14:paraId="2A4131E3"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này, rà soát để hoàn thiện hồ sơ xây dựng Nghị quyết đảm bảo quy định.</w:t>
            </w:r>
          </w:p>
        </w:tc>
      </w:tr>
      <w:tr w:rsidR="00194A89" w14:paraId="34DCD3D9" w14:textId="77777777">
        <w:tc>
          <w:tcPr>
            <w:tcW w:w="648" w:type="dxa"/>
          </w:tcPr>
          <w:p w14:paraId="4BBD9489" w14:textId="77777777" w:rsidR="00194A89" w:rsidRDefault="00000000">
            <w:pPr>
              <w:pStyle w:val="ListParagraph"/>
              <w:spacing w:before="120" w:after="0" w:line="360" w:lineRule="exact"/>
              <w:ind w:left="0"/>
              <w:jc w:val="both"/>
              <w:rPr>
                <w:rFonts w:ascii="Times New Roman" w:hAnsi="Times New Roman" w:cs="Times New Roman"/>
                <w:sz w:val="26"/>
                <w:szCs w:val="26"/>
              </w:rPr>
            </w:pPr>
            <w:r>
              <w:rPr>
                <w:rFonts w:ascii="Times New Roman" w:hAnsi="Times New Roman" w:cs="Times New Roman"/>
                <w:sz w:val="26"/>
                <w:szCs w:val="26"/>
              </w:rPr>
              <w:lastRenderedPageBreak/>
              <w:t>7.</w:t>
            </w:r>
          </w:p>
        </w:tc>
        <w:tc>
          <w:tcPr>
            <w:tcW w:w="1407" w:type="dxa"/>
          </w:tcPr>
          <w:p w14:paraId="42F82DA0" w14:textId="77777777" w:rsidR="00194A89" w:rsidRDefault="00000000">
            <w:pPr>
              <w:spacing w:before="120" w:after="0" w:line="360" w:lineRule="exact"/>
              <w:jc w:val="center"/>
              <w:rPr>
                <w:rFonts w:ascii="Times New Roman" w:hAnsi="Times New Roman" w:cs="Times New Roman"/>
                <w:sz w:val="26"/>
                <w:szCs w:val="26"/>
              </w:rPr>
            </w:pPr>
            <w:r>
              <w:rPr>
                <w:rFonts w:ascii="Times New Roman" w:hAnsi="Times New Roman" w:cs="Times New Roman"/>
                <w:sz w:val="26"/>
                <w:szCs w:val="26"/>
              </w:rPr>
              <w:t>Sở Công Thương</w:t>
            </w:r>
          </w:p>
        </w:tc>
        <w:tc>
          <w:tcPr>
            <w:tcW w:w="1658" w:type="dxa"/>
          </w:tcPr>
          <w:p w14:paraId="45FB3581" w14:textId="77777777" w:rsidR="00194A89" w:rsidRDefault="00000000">
            <w:pPr>
              <w:spacing w:before="120" w:after="0" w:line="360" w:lineRule="exact"/>
              <w:jc w:val="center"/>
              <w:rPr>
                <w:rFonts w:ascii="Times New Roman" w:hAnsi="Times New Roman" w:cs="Times New Roman"/>
                <w:color w:val="FF0000"/>
                <w:sz w:val="26"/>
                <w:szCs w:val="26"/>
              </w:rPr>
            </w:pPr>
            <w:r>
              <w:rPr>
                <w:rFonts w:ascii="Times New Roman" w:hAnsi="Times New Roman" w:cs="Times New Roman"/>
                <w:sz w:val="26"/>
                <w:szCs w:val="26"/>
              </w:rPr>
              <w:t>5955/SCT-KTATMT ngày 12/10/2026</w:t>
            </w:r>
          </w:p>
        </w:tc>
        <w:tc>
          <w:tcPr>
            <w:tcW w:w="5226" w:type="dxa"/>
          </w:tcPr>
          <w:p w14:paraId="514082A9" w14:textId="77777777" w:rsidR="00194A89" w:rsidRDefault="00000000">
            <w:pPr>
              <w:numPr>
                <w:ilvl w:val="0"/>
                <w:numId w:val="7"/>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Khoản 1 Điều 2 quy định: Hỗ trợ 10 - 20 triệu đồng/bị can theo phân loại tội phạm nghiêm trọng, rất nghiêm trọng, đặc biệt nghiêm trọng.</w:t>
            </w:r>
          </w:p>
          <w:p w14:paraId="32E15D58"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Đề nghị làm rõ căn cứ xác định loại tội phạm, cách xử lý khi thay đổi tội danh hoặc phân loại tội phạm trong quá trình tố tụng.</w:t>
            </w:r>
          </w:p>
          <w:p w14:paraId="0AC6CB8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Dự thảo chuyển từ cách hỗ trợ theo vụ án, chuyên án sang hỗ trợ theo số bị can. Cách tính này có ưu điểm là lượng hóa được kinh phí theo quy mô vụ án nhưng cũng đặt ra những vấn đề thực tiễn. Ví dụ, cùng một đường dây ma túy có 20 bị can thuộc nhóm tội rất nghiêm trọng, mức hỗ trợ là 300 triệu đồng. Trong khi đó, một chuyên án xuyên quốc gia có ít bị can nhưng phải triển khai trinh sát, phối hợp quốc tế và sử dụng nhiều nguồn lực có thể nhận mức hỗ trợ thấp hơn. Cần làm rõ chính sách nhằm bù đắp chi phí thực hiện nhiệm vụ động viên, khuyến khích lực lượng trực tiếp tham gia. Hai mục tiêu này có thể đòi hỏi phương pháp tính hỗ trợ khác nhau.</w:t>
            </w:r>
          </w:p>
        </w:tc>
        <w:tc>
          <w:tcPr>
            <w:tcW w:w="5935" w:type="dxa"/>
          </w:tcPr>
          <w:p w14:paraId="077B4D6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ý kiến và giải trình như sau:</w:t>
            </w:r>
          </w:p>
          <w:p w14:paraId="2055C502"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i/>
                <w:iCs/>
                <w:sz w:val="26"/>
                <w:szCs w:val="26"/>
              </w:rPr>
              <w:t xml:space="preserve">* Theo Điều 9 của </w:t>
            </w:r>
            <w:hyperlink r:id="rId11" w:tgtFrame="_blank" w:history="1">
              <w:r>
                <w:rPr>
                  <w:rFonts w:ascii="Times New Roman" w:hAnsi="Times New Roman" w:cs="Times New Roman"/>
                  <w:i/>
                  <w:iCs/>
                  <w:sz w:val="26"/>
                  <w:szCs w:val="26"/>
                </w:rPr>
                <w:t>Bộ luật Hình sự</w:t>
              </w:r>
            </w:hyperlink>
            <w:r>
              <w:rPr>
                <w:rFonts w:ascii="Times New Roman" w:hAnsi="Times New Roman" w:cs="Times New Roman"/>
                <w:i/>
                <w:iCs/>
                <w:sz w:val="26"/>
                <w:szCs w:val="26"/>
              </w:rPr>
              <w:t xml:space="preserve"> quy định: </w:t>
            </w:r>
          </w:p>
          <w:p w14:paraId="1573ADFA"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i/>
                <w:iCs/>
                <w:sz w:val="26"/>
                <w:szCs w:val="26"/>
              </w:rPr>
              <w:t>- Tội phạm nghiêm trọng là tội phạm có tính chất và mức độ nguy hiểm cho xã hội lớn mà mức cao nhất của khung hình phạt do Bộ luật này quy định đối với tội ấy là từ trên 03 năm đến 07 năm tù (Khoản 2);</w:t>
            </w:r>
          </w:p>
          <w:p w14:paraId="11E617E8" w14:textId="77777777" w:rsidR="00194A89" w:rsidRDefault="00000000">
            <w:pPr>
              <w:spacing w:before="120" w:after="120" w:line="360" w:lineRule="exact"/>
              <w:jc w:val="both"/>
              <w:rPr>
                <w:rFonts w:ascii="Times New Roman" w:hAnsi="Times New Roman" w:cs="Times New Roman"/>
                <w:i/>
                <w:iCs/>
                <w:sz w:val="26"/>
                <w:szCs w:val="26"/>
              </w:rPr>
            </w:pPr>
            <w:r>
              <w:rPr>
                <w:rFonts w:ascii="Times New Roman" w:hAnsi="Times New Roman" w:cs="Times New Roman"/>
                <w:i/>
                <w:iCs/>
                <w:sz w:val="26"/>
                <w:szCs w:val="26"/>
              </w:rPr>
              <w:t>- Tội phạm rất nghiêm trọng là tội phạm có tính chất và mức độ nguy hiểm cho xã hội rất lớn mà mức cao nhất của khung hình phạt do Bộ luật này quy định đối với tội ấy là từ trên 07 năm đến 15 năm tù (Khoản 3);</w:t>
            </w:r>
          </w:p>
          <w:p w14:paraId="432FC8B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i/>
                <w:iCs/>
                <w:sz w:val="26"/>
                <w:szCs w:val="26"/>
              </w:rPr>
              <w:t>- Tội phạm đặc biệt nghiêm trọng là tội phạm có tính chất và mức độ nguy hiểm cho xã hội đặc biệt lớn mà mức cao nhất của khung hình phạt do Bộ luật này quy định đối với tội ấy là từ trên 15 năm đến 20 năm tù, tù chung thân hoặc tử hình (Khoản 4).</w:t>
            </w:r>
          </w:p>
          <w:p w14:paraId="1B33FF7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Đối với các chuyên án liên tỉnh, xuyên quốc gia, lực lượng tham gia đã được hỗ trợ theo Phương án nghiệp vụ số 10/PA-BCA-C04 ngày 16/9/2025 của Bộ trưởng Bộ Công an, do vậy Công an thành phố không đề xuất hỗ trợ thêm đối với nội dung này.</w:t>
            </w:r>
          </w:p>
        </w:tc>
      </w:tr>
      <w:tr w:rsidR="00194A89" w14:paraId="1C9E4B96" w14:textId="77777777">
        <w:tc>
          <w:tcPr>
            <w:tcW w:w="648" w:type="dxa"/>
          </w:tcPr>
          <w:p w14:paraId="16B7EE39"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tcPr>
          <w:p w14:paraId="293AB1A3" w14:textId="77777777" w:rsidR="00194A89" w:rsidRDefault="00194A89">
            <w:pPr>
              <w:spacing w:before="120" w:after="0" w:line="360" w:lineRule="exact"/>
              <w:jc w:val="center"/>
              <w:rPr>
                <w:rFonts w:ascii="Times New Roman" w:hAnsi="Times New Roman" w:cs="Times New Roman"/>
                <w:sz w:val="26"/>
                <w:szCs w:val="26"/>
              </w:rPr>
            </w:pPr>
          </w:p>
        </w:tc>
        <w:tc>
          <w:tcPr>
            <w:tcW w:w="1658" w:type="dxa"/>
          </w:tcPr>
          <w:p w14:paraId="4BBD8525"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40A9A87E" w14:textId="77777777" w:rsidR="00194A89" w:rsidRDefault="00000000">
            <w:pPr>
              <w:numPr>
                <w:ilvl w:val="0"/>
                <w:numId w:val="7"/>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Khoản 2 Điều 2 quy định: Hỗ trợ cán bộ, chiến sĩ thuộc Công an thành phố được giao thực hiện nhiệm vụ chuyên trách công tác tham mưu phòng, chống ma túy; cán bộ, chiến sĩ, lao động hợp đồng thuộc Công an thành phố làm việc tại các cơ sở cai nghiện ma túy công lập: 02 lần mức lương cơ sở/người/ tháng.</w:t>
            </w:r>
          </w:p>
          <w:p w14:paraId="47B1D1A0"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Nhiệm vụ phát hiện, quản lý người sử dụng trái phép chất ma túy, quản lý sau cai nghiện ma túy và xây dựng địa bàn không ma túy gắn với hoạt động tại xã, phường, đặc khu. Do đó đề nghị nghiên cứu bổ sung chính sách hỗ trợ đối với cán bộ, chiến sĩ Công an cấp xã được phân công chuyên trách, trực tiếp thực hiện nhiệm vụ phòng, chống ma túy, quản lý người sử dụng trái phép chất ma túy, quản lý người sử dụng trái phép chất ma túy và quản lý sau cai nghiện ma túy để phù hợp với yêu cầu nhiệm vụ của chính quyền địa phương 02 cấp.</w:t>
            </w:r>
          </w:p>
        </w:tc>
        <w:tc>
          <w:tcPr>
            <w:tcW w:w="5935" w:type="dxa"/>
          </w:tcPr>
          <w:p w14:paraId="0BC3B787"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Công an thành phố trân trọng tiếp thu nội dung tham gia và xin giải trình như sau:</w:t>
            </w:r>
          </w:p>
          <w:p w14:paraId="6E6465B2"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Đối với lực lượng Công an cấp xã, hiện nay Công an thành phố cũng đang nghiên cứu tham mưu ban hành Nghị quyết của Hội đồng nhân dân thành phố quy định nội dung, mức chi hỗ trợ cho lực lượng Công an cấp xã trên địa bàn thành phố Hải Phòng.</w:t>
            </w:r>
          </w:p>
        </w:tc>
      </w:tr>
      <w:tr w:rsidR="00194A89" w14:paraId="3D62BA71" w14:textId="77777777">
        <w:tc>
          <w:tcPr>
            <w:tcW w:w="648" w:type="dxa"/>
          </w:tcPr>
          <w:p w14:paraId="7FC67EF2"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tcPr>
          <w:p w14:paraId="7D0118B9" w14:textId="77777777" w:rsidR="00194A89" w:rsidRDefault="00194A89">
            <w:pPr>
              <w:spacing w:before="120" w:after="0" w:line="360" w:lineRule="exact"/>
              <w:jc w:val="center"/>
              <w:rPr>
                <w:rFonts w:ascii="Times New Roman" w:hAnsi="Times New Roman" w:cs="Times New Roman"/>
                <w:sz w:val="26"/>
                <w:szCs w:val="26"/>
              </w:rPr>
            </w:pPr>
          </w:p>
        </w:tc>
        <w:tc>
          <w:tcPr>
            <w:tcW w:w="1658" w:type="dxa"/>
          </w:tcPr>
          <w:p w14:paraId="2E1E7981"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62280CEC" w14:textId="77777777" w:rsidR="00194A89" w:rsidRDefault="00000000">
            <w:pPr>
              <w:numPr>
                <w:ilvl w:val="0"/>
                <w:numId w:val="7"/>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Khoản 3 Điều 2 quy định: Hỗ trợ bắt đối tượng trong nước 20 triệu đồng, ở nước ngoài 50 triệu đồng. Đề nghị phân biệt trường hợp trực tiếp bắt giữ với vận động đầu thú hoặc tiếp nhận </w:t>
            </w:r>
            <w:r>
              <w:rPr>
                <w:rFonts w:ascii="Times New Roman" w:hAnsi="Times New Roman" w:cs="Times New Roman"/>
                <w:sz w:val="26"/>
                <w:szCs w:val="26"/>
              </w:rPr>
              <w:lastRenderedPageBreak/>
              <w:t>đầu thú; làm rõ điều kiện được hưởng khi phối hợp quốc tế.</w:t>
            </w:r>
          </w:p>
        </w:tc>
        <w:tc>
          <w:tcPr>
            <w:tcW w:w="5935" w:type="dxa"/>
          </w:tcPr>
          <w:p w14:paraId="3584A961"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lastRenderedPageBreak/>
              <w:t>Công an thành phố trân trọng tiếp thu nội dung tham gia ý kiến này và đã rà soát để điều chỉnh dự thảo Nghị quyết (Tương đồng với ý kiến tham gia của Sở Giáo dục và đào tạo).</w:t>
            </w:r>
          </w:p>
        </w:tc>
      </w:tr>
      <w:tr w:rsidR="00194A89" w14:paraId="24A89B14" w14:textId="77777777">
        <w:tc>
          <w:tcPr>
            <w:tcW w:w="648" w:type="dxa"/>
          </w:tcPr>
          <w:p w14:paraId="0F97507A" w14:textId="77777777" w:rsidR="00194A89" w:rsidRDefault="00194A89">
            <w:pPr>
              <w:pStyle w:val="ListParagraph"/>
              <w:spacing w:before="120" w:after="0" w:line="360" w:lineRule="exact"/>
              <w:jc w:val="center"/>
              <w:rPr>
                <w:rFonts w:ascii="Times New Roman" w:hAnsi="Times New Roman" w:cs="Times New Roman"/>
                <w:sz w:val="26"/>
                <w:szCs w:val="26"/>
              </w:rPr>
            </w:pPr>
          </w:p>
        </w:tc>
        <w:tc>
          <w:tcPr>
            <w:tcW w:w="1407" w:type="dxa"/>
          </w:tcPr>
          <w:p w14:paraId="3AF7207A" w14:textId="77777777" w:rsidR="00194A89" w:rsidRDefault="00194A89">
            <w:pPr>
              <w:spacing w:before="120" w:after="0" w:line="360" w:lineRule="exact"/>
              <w:jc w:val="center"/>
              <w:rPr>
                <w:rFonts w:ascii="Times New Roman" w:hAnsi="Times New Roman" w:cs="Times New Roman"/>
                <w:sz w:val="26"/>
                <w:szCs w:val="26"/>
              </w:rPr>
            </w:pPr>
          </w:p>
        </w:tc>
        <w:tc>
          <w:tcPr>
            <w:tcW w:w="1658" w:type="dxa"/>
          </w:tcPr>
          <w:p w14:paraId="35A5BF17" w14:textId="77777777" w:rsidR="00194A89" w:rsidRDefault="00194A89">
            <w:pPr>
              <w:spacing w:before="120" w:after="0" w:line="360" w:lineRule="exact"/>
              <w:jc w:val="center"/>
              <w:rPr>
                <w:rFonts w:ascii="Times New Roman" w:hAnsi="Times New Roman" w:cs="Times New Roman"/>
                <w:sz w:val="26"/>
                <w:szCs w:val="26"/>
              </w:rPr>
            </w:pPr>
          </w:p>
        </w:tc>
        <w:tc>
          <w:tcPr>
            <w:tcW w:w="5226" w:type="dxa"/>
          </w:tcPr>
          <w:p w14:paraId="32A095DF" w14:textId="77777777" w:rsidR="00194A89" w:rsidRDefault="00000000">
            <w:pPr>
              <w:numPr>
                <w:ilvl w:val="0"/>
                <w:numId w:val="7"/>
              </w:num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Đề nghị bổ sung quy định chuyển tiếp đối với các nhiệm vụ, hồ sơ, vụ án và chế độ hỗ trợ đã phát sinh trước thời điểm Nghị quyết mới có hiệu lực nhưng chưa được thanh toán, bảo đảm quyền lợi của đối tượng thụ hưởng và tránh phát sinh trong quá trình thực hiện.</w:t>
            </w:r>
          </w:p>
        </w:tc>
        <w:tc>
          <w:tcPr>
            <w:tcW w:w="5935" w:type="dxa"/>
          </w:tcPr>
          <w:p w14:paraId="55A24E8C"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tiếp thu ý kiến. Theo nguyên tắc áp dụng văn bản quy phạm pháp luật tại Luật Ban hành văn bản quy phạm pháp luật số 64/2025/QH15 (được sửa đổi, bổ sung bởi Luật số 87/2025/QH15), văn bản quy phạm pháp luật được áp dụng đối với hành vi, sự kiện xảy ra tại thời điểm văn bản đó đang có hiệu lực. Để bảo đảm quyền lợi của đối tượng thụ hưởng, tạo căn cứ rõ ràng cho việc thanh toán sau khi Nghị quyết số 09/2023/NQ-HĐND và Nghị quyết số 18/2024/NQ-HĐND hết hiệu lực, đồng thời tránh vướng mắc do các nghị quyết này được xây dựng theo mô hình chính quyền địa phương ba cấp, dự thảo Nghị quyết đã bổ sung Điều 5 về quy định chuyển tiếp, như sau:</w:t>
            </w:r>
          </w:p>
          <w:p w14:paraId="4EAC3616"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(1) Các nhiệm vụ, vụ án, hồ sơ và chế độ hỗ trợ đã phát sinh trước ngày Nghị quyết có hiệu lực nhưng chưa được thanh toán tiếp tục được thanh toán theo đối tượng, điều kiện, mức hỗ trợ của Nghị quyết số 09/2023/NQ-HĐND và Nghị quyết số 18/2024/NQ-HĐND.</w:t>
            </w:r>
          </w:p>
          <w:p w14:paraId="3FA3D30B"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 xml:space="preserve">(2) Quy định cụ thể mốc xác định thời điểm phát sinh đối với từng loại chính sách (ngày khởi tố bị can, ngày bắt giữ đối tượng truy nã, ngày ban hành cáo trạng, </w:t>
            </w:r>
            <w:r>
              <w:rPr>
                <w:rFonts w:ascii="Times New Roman" w:hAnsi="Times New Roman" w:cs="Times New Roman"/>
                <w:sz w:val="26"/>
                <w:szCs w:val="26"/>
              </w:rPr>
              <w:lastRenderedPageBreak/>
              <w:t>ngày tuyên án sơ thẩm, ngày họp xét, ngày công nhận địa bàn không ma túy, tháng phát sinh chế độ hằng tháng).</w:t>
            </w:r>
          </w:p>
          <w:p w14:paraId="0AE419C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(3) Kể từ tháng Nghị quyết có hiệu lực, các chế độ hằng tháng thực hiện theo mức mới. Đối tượng lần đầu được quy định tại Nghị quyết được hưởng kể từ ngày Nghị quyết có hiệu lực.</w:t>
            </w:r>
          </w:p>
          <w:p w14:paraId="6BBE87EA"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(4) Mỗi nhiệm vụ, vụ án, đối tượng chỉ được hỗ trợ một lần, không trùng lặp.</w:t>
            </w:r>
          </w:p>
          <w:p w14:paraId="07710FED"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(5) Hồ sơ thanh toán các khoản chuyển tiếp thực hiện theo trình tự và cơ quan tiếp nhận quy định tại Nghị quyết mới (Sở Tài chính). Kinh phí bố trí trong dự toán năm thanh toán.</w:t>
            </w:r>
          </w:p>
          <w:p w14:paraId="177CAA94" w14:textId="77777777" w:rsidR="00194A89" w:rsidRDefault="00000000">
            <w:pPr>
              <w:spacing w:before="120" w:after="120" w:line="360" w:lineRule="exact"/>
              <w:jc w:val="both"/>
              <w:rPr>
                <w:rFonts w:ascii="Times New Roman" w:hAnsi="Times New Roman" w:cs="Times New Roman"/>
                <w:sz w:val="26"/>
                <w:szCs w:val="26"/>
              </w:rPr>
            </w:pPr>
            <w:r>
              <w:rPr>
                <w:rFonts w:ascii="Times New Roman" w:hAnsi="Times New Roman" w:cs="Times New Roman"/>
                <w:sz w:val="26"/>
                <w:szCs w:val="26"/>
              </w:rPr>
              <w:t>Cơ quan chủ trì soạn thảo không đề xuất áp dụng mức hỗ trợ mới đối với sự việc phát sinh trước ngày Nghị quyết có hiệu lực. Theo khoản 1 Điều 55 Luật Ban hành văn bản quy phạm pháp luật, việc quy định hiệu lực trở về trước chỉ được thực hiện trong trường hợp thật cần thiết để thực hiện quyền, lợi ích của tổ chức, cá nhân được quy định trong luật, nghị quyết của Quốc hội. Việc áp dụng mức mới cho sự việc cũ cũng làm phát sinh kinh phí ngoài dự toán đã thuyết minh.</w:t>
            </w:r>
          </w:p>
        </w:tc>
      </w:tr>
    </w:tbl>
    <w:p w14:paraId="7352014A" w14:textId="77777777" w:rsidR="00194A89" w:rsidRDefault="00194A89">
      <w:pPr>
        <w:shd w:val="clear" w:color="auto" w:fill="FFFFFF"/>
        <w:spacing w:after="0"/>
        <w:ind w:firstLine="567"/>
        <w:jc w:val="both"/>
        <w:rPr>
          <w:rFonts w:ascii="Times New Roman" w:eastAsia="Times New Roman" w:hAnsi="Times New Roman" w:cs="Times New Roman"/>
          <w:sz w:val="28"/>
          <w:szCs w:val="28"/>
        </w:rPr>
      </w:pPr>
    </w:p>
    <w:p w14:paraId="2C086879" w14:textId="77777777" w:rsidR="00194A89" w:rsidRDefault="00194A89">
      <w:pPr>
        <w:spacing w:after="0" w:line="264" w:lineRule="auto"/>
        <w:rPr>
          <w:rFonts w:ascii="Times New Roman" w:hAnsi="Times New Roman" w:cs="Times New Roman"/>
          <w:sz w:val="28"/>
          <w:szCs w:val="28"/>
          <w:lang w:val="vi-VN"/>
        </w:rPr>
      </w:pPr>
    </w:p>
    <w:p w14:paraId="599CB5B5" w14:textId="77777777" w:rsidR="00194A89" w:rsidRDefault="00194A89">
      <w:pPr>
        <w:spacing w:after="0" w:line="264" w:lineRule="auto"/>
        <w:rPr>
          <w:rFonts w:ascii="Times New Roman" w:hAnsi="Times New Roman" w:cs="Times New Roman"/>
          <w:sz w:val="28"/>
          <w:szCs w:val="28"/>
        </w:rPr>
      </w:pPr>
    </w:p>
    <w:p w14:paraId="6BF3D318" w14:textId="77777777" w:rsidR="00194A89" w:rsidRDefault="00194A89">
      <w:pPr>
        <w:spacing w:after="0" w:line="264" w:lineRule="auto"/>
        <w:jc w:val="center"/>
        <w:rPr>
          <w:rFonts w:ascii="Times New Roman" w:hAnsi="Times New Roman" w:cs="Times New Roman"/>
          <w:b/>
          <w:sz w:val="28"/>
          <w:szCs w:val="28"/>
          <w:lang w:val="vi-VN"/>
        </w:rPr>
      </w:pPr>
    </w:p>
    <w:p w14:paraId="03F6209B" w14:textId="77777777" w:rsidR="00194A89" w:rsidRDefault="00194A89">
      <w:pPr>
        <w:spacing w:after="0" w:line="264" w:lineRule="auto"/>
        <w:jc w:val="center"/>
        <w:rPr>
          <w:rFonts w:ascii="Times New Roman" w:hAnsi="Times New Roman" w:cs="Times New Roman"/>
          <w:b/>
          <w:sz w:val="28"/>
          <w:szCs w:val="28"/>
          <w:lang w:val="vi-VN"/>
        </w:rPr>
      </w:pPr>
    </w:p>
    <w:p w14:paraId="144D888B" w14:textId="77777777" w:rsidR="00194A89" w:rsidRDefault="00194A89">
      <w:pPr>
        <w:spacing w:after="0" w:line="264" w:lineRule="auto"/>
        <w:jc w:val="center"/>
        <w:rPr>
          <w:rFonts w:ascii="Times New Roman" w:hAnsi="Times New Roman" w:cs="Times New Roman"/>
          <w:b/>
          <w:sz w:val="28"/>
          <w:szCs w:val="28"/>
          <w:lang w:val="vi-VN"/>
        </w:rPr>
      </w:pPr>
    </w:p>
    <w:sectPr w:rsidR="00194A89">
      <w:headerReference w:type="default" r:id="rId12"/>
      <w:pgSz w:w="16840" w:h="11907" w:orient="landscape"/>
      <w:pgMar w:top="851" w:right="964" w:bottom="851" w:left="1276"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CDA08" w14:textId="77777777" w:rsidR="00F2572D" w:rsidRDefault="00F2572D">
      <w:pPr>
        <w:spacing w:line="240" w:lineRule="auto"/>
      </w:pPr>
      <w:r>
        <w:separator/>
      </w:r>
    </w:p>
  </w:endnote>
  <w:endnote w:type="continuationSeparator" w:id="0">
    <w:p w14:paraId="21A71A3D" w14:textId="77777777" w:rsidR="00F2572D" w:rsidRDefault="00F257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Batang">
    <w:altName w:val="바탕"/>
    <w:panose1 w:val="02030600000101010101"/>
    <w:charset w:val="81"/>
    <w:family w:val="auto"/>
    <w:pitch w:val="default"/>
    <w:sig w:usb0="00000000" w:usb1="0000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94FF8" w14:textId="77777777" w:rsidR="00F2572D" w:rsidRDefault="00F2572D">
      <w:pPr>
        <w:spacing w:after="0"/>
      </w:pPr>
      <w:r>
        <w:separator/>
      </w:r>
    </w:p>
  </w:footnote>
  <w:footnote w:type="continuationSeparator" w:id="0">
    <w:p w14:paraId="79603278" w14:textId="77777777" w:rsidR="00F2572D" w:rsidRDefault="00F2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662783"/>
    </w:sdtPr>
    <w:sdtEndPr>
      <w:rPr>
        <w:rFonts w:ascii="Times New Roman" w:hAnsi="Times New Roman" w:cs="Times New Roman"/>
        <w:sz w:val="24"/>
        <w:szCs w:val="24"/>
      </w:rPr>
    </w:sdtEndPr>
    <w:sdtContent>
      <w:p w14:paraId="42E91748" w14:textId="77777777" w:rsidR="00194A89" w:rsidRDefault="00194A89">
        <w:pPr>
          <w:pStyle w:val="Header"/>
          <w:jc w:val="center"/>
        </w:pPr>
      </w:p>
      <w:p w14:paraId="032F0538" w14:textId="77777777" w:rsidR="00194A89" w:rsidRDefault="00194A89">
        <w:pPr>
          <w:pStyle w:val="Header"/>
          <w:jc w:val="center"/>
        </w:pPr>
      </w:p>
      <w:p w14:paraId="3DE7E393" w14:textId="77777777" w:rsidR="00194A89" w:rsidRDefault="00000000">
        <w:pPr>
          <w:pStyle w:val="Head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47A9A8"/>
    <w:multiLevelType w:val="singleLevel"/>
    <w:tmpl w:val="8147A9A8"/>
    <w:lvl w:ilvl="0">
      <w:start w:val="1"/>
      <w:numFmt w:val="decimal"/>
      <w:suff w:val="space"/>
      <w:lvlText w:val="%1."/>
      <w:lvlJc w:val="left"/>
    </w:lvl>
  </w:abstractNum>
  <w:abstractNum w:abstractNumId="1" w15:restartNumberingAfterBreak="0">
    <w:nsid w:val="FDB88465"/>
    <w:multiLevelType w:val="singleLevel"/>
    <w:tmpl w:val="FDB88465"/>
    <w:lvl w:ilvl="0">
      <w:start w:val="1"/>
      <w:numFmt w:val="decimal"/>
      <w:suff w:val="space"/>
      <w:lvlText w:val="%1."/>
      <w:lvlJc w:val="left"/>
    </w:lvl>
  </w:abstractNum>
  <w:abstractNum w:abstractNumId="2" w15:restartNumberingAfterBreak="0">
    <w:nsid w:val="FEBBEFAD"/>
    <w:multiLevelType w:val="singleLevel"/>
    <w:tmpl w:val="FEBBEFAD"/>
    <w:lvl w:ilvl="0">
      <w:start w:val="1"/>
      <w:numFmt w:val="decimal"/>
      <w:suff w:val="space"/>
      <w:lvlText w:val="%1."/>
      <w:lvlJc w:val="left"/>
    </w:lvl>
  </w:abstractNum>
  <w:abstractNum w:abstractNumId="3" w15:restartNumberingAfterBreak="0">
    <w:nsid w:val="0F92C799"/>
    <w:multiLevelType w:val="singleLevel"/>
    <w:tmpl w:val="0F92C799"/>
    <w:lvl w:ilvl="0">
      <w:start w:val="1"/>
      <w:numFmt w:val="decimal"/>
      <w:suff w:val="space"/>
      <w:lvlText w:val="%1."/>
      <w:lvlJc w:val="left"/>
    </w:lvl>
  </w:abstractNum>
  <w:abstractNum w:abstractNumId="4" w15:restartNumberingAfterBreak="0">
    <w:nsid w:val="14F6EEBC"/>
    <w:multiLevelType w:val="singleLevel"/>
    <w:tmpl w:val="14F6EEBC"/>
    <w:lvl w:ilvl="0">
      <w:start w:val="2"/>
      <w:numFmt w:val="decimal"/>
      <w:suff w:val="space"/>
      <w:lvlText w:val="%1."/>
      <w:lvlJc w:val="left"/>
    </w:lvl>
  </w:abstractNum>
  <w:abstractNum w:abstractNumId="5" w15:restartNumberingAfterBreak="0">
    <w:nsid w:val="43D14A01"/>
    <w:multiLevelType w:val="singleLevel"/>
    <w:tmpl w:val="43D14A01"/>
    <w:lvl w:ilvl="0">
      <w:start w:val="1"/>
      <w:numFmt w:val="decimal"/>
      <w:suff w:val="space"/>
      <w:lvlText w:val="%1."/>
      <w:lvlJc w:val="left"/>
      <w:rPr>
        <w:rFonts w:hint="default"/>
        <w:i w:val="0"/>
        <w:iCs w:val="0"/>
      </w:rPr>
    </w:lvl>
  </w:abstractNum>
  <w:abstractNum w:abstractNumId="6" w15:restartNumberingAfterBreak="0">
    <w:nsid w:val="6EEC1791"/>
    <w:multiLevelType w:val="multilevel"/>
    <w:tmpl w:val="6EEC179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24340390">
    <w:abstractNumId w:val="6"/>
  </w:num>
  <w:num w:numId="2" w16cid:durableId="2896764">
    <w:abstractNumId w:val="1"/>
  </w:num>
  <w:num w:numId="3" w16cid:durableId="365369846">
    <w:abstractNumId w:val="3"/>
  </w:num>
  <w:num w:numId="4" w16cid:durableId="1911575006">
    <w:abstractNumId w:val="5"/>
  </w:num>
  <w:num w:numId="5" w16cid:durableId="985819768">
    <w:abstractNumId w:val="2"/>
  </w:num>
  <w:num w:numId="6" w16cid:durableId="1278367000">
    <w:abstractNumId w:val="4"/>
  </w:num>
  <w:num w:numId="7" w16cid:durableId="1179154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9B"/>
    <w:rsid w:val="00002551"/>
    <w:rsid w:val="0000571B"/>
    <w:rsid w:val="00005C29"/>
    <w:rsid w:val="00005E43"/>
    <w:rsid w:val="00012289"/>
    <w:rsid w:val="0001288A"/>
    <w:rsid w:val="00012D5F"/>
    <w:rsid w:val="00014DA6"/>
    <w:rsid w:val="0001508D"/>
    <w:rsid w:val="000227ED"/>
    <w:rsid w:val="000241A0"/>
    <w:rsid w:val="00036A22"/>
    <w:rsid w:val="00037A8D"/>
    <w:rsid w:val="000434AB"/>
    <w:rsid w:val="00044A23"/>
    <w:rsid w:val="0004735B"/>
    <w:rsid w:val="00047894"/>
    <w:rsid w:val="00054A92"/>
    <w:rsid w:val="00055066"/>
    <w:rsid w:val="00064D11"/>
    <w:rsid w:val="00067801"/>
    <w:rsid w:val="000702E0"/>
    <w:rsid w:val="00070BD8"/>
    <w:rsid w:val="000715FD"/>
    <w:rsid w:val="000746AA"/>
    <w:rsid w:val="000748B3"/>
    <w:rsid w:val="00076320"/>
    <w:rsid w:val="00081D1D"/>
    <w:rsid w:val="00082B73"/>
    <w:rsid w:val="0008305A"/>
    <w:rsid w:val="00087E81"/>
    <w:rsid w:val="000910C3"/>
    <w:rsid w:val="00094E0D"/>
    <w:rsid w:val="00094FAA"/>
    <w:rsid w:val="000A001F"/>
    <w:rsid w:val="000A4528"/>
    <w:rsid w:val="000A5737"/>
    <w:rsid w:val="000A6B27"/>
    <w:rsid w:val="000A72F8"/>
    <w:rsid w:val="000B107A"/>
    <w:rsid w:val="000B3512"/>
    <w:rsid w:val="000B44C4"/>
    <w:rsid w:val="000B4CD9"/>
    <w:rsid w:val="000B7AA5"/>
    <w:rsid w:val="000C2E4C"/>
    <w:rsid w:val="000C5D31"/>
    <w:rsid w:val="000C6F2E"/>
    <w:rsid w:val="000D1F25"/>
    <w:rsid w:val="000D3F8C"/>
    <w:rsid w:val="000D40F5"/>
    <w:rsid w:val="000D5951"/>
    <w:rsid w:val="000D6133"/>
    <w:rsid w:val="000E6E09"/>
    <w:rsid w:val="000F2546"/>
    <w:rsid w:val="000F39C4"/>
    <w:rsid w:val="000F5339"/>
    <w:rsid w:val="000F72A5"/>
    <w:rsid w:val="000F7F65"/>
    <w:rsid w:val="00103DAD"/>
    <w:rsid w:val="00104D31"/>
    <w:rsid w:val="00106384"/>
    <w:rsid w:val="0011519D"/>
    <w:rsid w:val="00116964"/>
    <w:rsid w:val="00117833"/>
    <w:rsid w:val="00135D03"/>
    <w:rsid w:val="00136ACC"/>
    <w:rsid w:val="001408CB"/>
    <w:rsid w:val="00144C66"/>
    <w:rsid w:val="001500F7"/>
    <w:rsid w:val="001508C3"/>
    <w:rsid w:val="00160ADD"/>
    <w:rsid w:val="0016483E"/>
    <w:rsid w:val="001666AD"/>
    <w:rsid w:val="00167E34"/>
    <w:rsid w:val="00171649"/>
    <w:rsid w:val="00173ADB"/>
    <w:rsid w:val="001762D8"/>
    <w:rsid w:val="00177431"/>
    <w:rsid w:val="001813A0"/>
    <w:rsid w:val="0018530C"/>
    <w:rsid w:val="001863BC"/>
    <w:rsid w:val="001925D7"/>
    <w:rsid w:val="00192BFA"/>
    <w:rsid w:val="001937F6"/>
    <w:rsid w:val="00193999"/>
    <w:rsid w:val="00194A89"/>
    <w:rsid w:val="00194CDD"/>
    <w:rsid w:val="00195FC8"/>
    <w:rsid w:val="001978EC"/>
    <w:rsid w:val="00197A10"/>
    <w:rsid w:val="001A05BE"/>
    <w:rsid w:val="001A6D69"/>
    <w:rsid w:val="001B14E5"/>
    <w:rsid w:val="001B16E5"/>
    <w:rsid w:val="001B3090"/>
    <w:rsid w:val="001B3C7D"/>
    <w:rsid w:val="001C0356"/>
    <w:rsid w:val="001C2AF8"/>
    <w:rsid w:val="001C47F6"/>
    <w:rsid w:val="001C5EFA"/>
    <w:rsid w:val="001C6835"/>
    <w:rsid w:val="001D3993"/>
    <w:rsid w:val="001D3A4D"/>
    <w:rsid w:val="001D4577"/>
    <w:rsid w:val="001D5EE1"/>
    <w:rsid w:val="001E3A02"/>
    <w:rsid w:val="001E43E6"/>
    <w:rsid w:val="001E52FB"/>
    <w:rsid w:val="001F0A8C"/>
    <w:rsid w:val="001F27DF"/>
    <w:rsid w:val="001F5741"/>
    <w:rsid w:val="001F70A3"/>
    <w:rsid w:val="00200127"/>
    <w:rsid w:val="00205D20"/>
    <w:rsid w:val="00207073"/>
    <w:rsid w:val="0021056E"/>
    <w:rsid w:val="002154C8"/>
    <w:rsid w:val="0022124B"/>
    <w:rsid w:val="0022565D"/>
    <w:rsid w:val="00227247"/>
    <w:rsid w:val="00231028"/>
    <w:rsid w:val="00232D44"/>
    <w:rsid w:val="0024056D"/>
    <w:rsid w:val="002456B7"/>
    <w:rsid w:val="00246FAB"/>
    <w:rsid w:val="00247072"/>
    <w:rsid w:val="002501CA"/>
    <w:rsid w:val="0025257A"/>
    <w:rsid w:val="00253ADB"/>
    <w:rsid w:val="002579BB"/>
    <w:rsid w:val="002611A2"/>
    <w:rsid w:val="00262197"/>
    <w:rsid w:val="00266658"/>
    <w:rsid w:val="00275A90"/>
    <w:rsid w:val="00280F30"/>
    <w:rsid w:val="0028117F"/>
    <w:rsid w:val="00281764"/>
    <w:rsid w:val="00282AC3"/>
    <w:rsid w:val="00282F76"/>
    <w:rsid w:val="0028372A"/>
    <w:rsid w:val="002968CB"/>
    <w:rsid w:val="00296E99"/>
    <w:rsid w:val="002977A5"/>
    <w:rsid w:val="00297D9D"/>
    <w:rsid w:val="002A2CC0"/>
    <w:rsid w:val="002A30CB"/>
    <w:rsid w:val="002A34BD"/>
    <w:rsid w:val="002A7D84"/>
    <w:rsid w:val="002B7153"/>
    <w:rsid w:val="002B7CE9"/>
    <w:rsid w:val="002B7DBF"/>
    <w:rsid w:val="002C04AF"/>
    <w:rsid w:val="002C4A99"/>
    <w:rsid w:val="002C6E64"/>
    <w:rsid w:val="002D00A0"/>
    <w:rsid w:val="002D0F6F"/>
    <w:rsid w:val="002D5752"/>
    <w:rsid w:val="002E0F2E"/>
    <w:rsid w:val="002E5422"/>
    <w:rsid w:val="002E7A1B"/>
    <w:rsid w:val="002F11F3"/>
    <w:rsid w:val="002F142A"/>
    <w:rsid w:val="002F2B84"/>
    <w:rsid w:val="002F69F1"/>
    <w:rsid w:val="00302C0F"/>
    <w:rsid w:val="0030448F"/>
    <w:rsid w:val="00304ABE"/>
    <w:rsid w:val="00307854"/>
    <w:rsid w:val="00313DFB"/>
    <w:rsid w:val="00317B20"/>
    <w:rsid w:val="00317EAB"/>
    <w:rsid w:val="00323F9A"/>
    <w:rsid w:val="003242B5"/>
    <w:rsid w:val="00325D61"/>
    <w:rsid w:val="003303E5"/>
    <w:rsid w:val="00333919"/>
    <w:rsid w:val="00342AC5"/>
    <w:rsid w:val="00345D12"/>
    <w:rsid w:val="00346793"/>
    <w:rsid w:val="00355B2E"/>
    <w:rsid w:val="003609F9"/>
    <w:rsid w:val="003638FC"/>
    <w:rsid w:val="00363E2B"/>
    <w:rsid w:val="00364A1D"/>
    <w:rsid w:val="0037002C"/>
    <w:rsid w:val="00370637"/>
    <w:rsid w:val="00373369"/>
    <w:rsid w:val="00373AA3"/>
    <w:rsid w:val="0037456B"/>
    <w:rsid w:val="003802C5"/>
    <w:rsid w:val="00387619"/>
    <w:rsid w:val="0038764E"/>
    <w:rsid w:val="00390D93"/>
    <w:rsid w:val="0039382A"/>
    <w:rsid w:val="00395E6C"/>
    <w:rsid w:val="003A0A5A"/>
    <w:rsid w:val="003A2A99"/>
    <w:rsid w:val="003A5E6E"/>
    <w:rsid w:val="003A7305"/>
    <w:rsid w:val="003B08E9"/>
    <w:rsid w:val="003B3DE2"/>
    <w:rsid w:val="003B4DF2"/>
    <w:rsid w:val="003B7225"/>
    <w:rsid w:val="003C3686"/>
    <w:rsid w:val="003C3EC7"/>
    <w:rsid w:val="003C571A"/>
    <w:rsid w:val="003C6FA1"/>
    <w:rsid w:val="003C7664"/>
    <w:rsid w:val="003D0B46"/>
    <w:rsid w:val="003D3423"/>
    <w:rsid w:val="003D42A0"/>
    <w:rsid w:val="003D5224"/>
    <w:rsid w:val="003E2249"/>
    <w:rsid w:val="003E2671"/>
    <w:rsid w:val="003E6359"/>
    <w:rsid w:val="003F18D7"/>
    <w:rsid w:val="004016B3"/>
    <w:rsid w:val="00411E3E"/>
    <w:rsid w:val="004165BF"/>
    <w:rsid w:val="00421E79"/>
    <w:rsid w:val="00423320"/>
    <w:rsid w:val="004358B3"/>
    <w:rsid w:val="004411D1"/>
    <w:rsid w:val="00445884"/>
    <w:rsid w:val="00447EF2"/>
    <w:rsid w:val="00452A66"/>
    <w:rsid w:val="00453172"/>
    <w:rsid w:val="00455878"/>
    <w:rsid w:val="00460900"/>
    <w:rsid w:val="00461844"/>
    <w:rsid w:val="00467398"/>
    <w:rsid w:val="00467882"/>
    <w:rsid w:val="00470B0C"/>
    <w:rsid w:val="00480170"/>
    <w:rsid w:val="0048207D"/>
    <w:rsid w:val="00484A40"/>
    <w:rsid w:val="0049422C"/>
    <w:rsid w:val="00494235"/>
    <w:rsid w:val="0049432B"/>
    <w:rsid w:val="00496903"/>
    <w:rsid w:val="004A0961"/>
    <w:rsid w:val="004A267E"/>
    <w:rsid w:val="004B0B59"/>
    <w:rsid w:val="004B2634"/>
    <w:rsid w:val="004B7BCE"/>
    <w:rsid w:val="004D251C"/>
    <w:rsid w:val="004D774D"/>
    <w:rsid w:val="004E050E"/>
    <w:rsid w:val="004E0603"/>
    <w:rsid w:val="004E5D3F"/>
    <w:rsid w:val="004F1883"/>
    <w:rsid w:val="004F4B23"/>
    <w:rsid w:val="004F6B8E"/>
    <w:rsid w:val="004F6C73"/>
    <w:rsid w:val="00500403"/>
    <w:rsid w:val="00501A3C"/>
    <w:rsid w:val="00507B45"/>
    <w:rsid w:val="00512639"/>
    <w:rsid w:val="00514404"/>
    <w:rsid w:val="00514964"/>
    <w:rsid w:val="005152A0"/>
    <w:rsid w:val="00515F55"/>
    <w:rsid w:val="0051655E"/>
    <w:rsid w:val="00516ED3"/>
    <w:rsid w:val="00522DF1"/>
    <w:rsid w:val="0052441A"/>
    <w:rsid w:val="00524A2F"/>
    <w:rsid w:val="00525F72"/>
    <w:rsid w:val="005277D8"/>
    <w:rsid w:val="00532288"/>
    <w:rsid w:val="00532425"/>
    <w:rsid w:val="00534ABF"/>
    <w:rsid w:val="0053512B"/>
    <w:rsid w:val="00536EF5"/>
    <w:rsid w:val="005423D4"/>
    <w:rsid w:val="00542FF1"/>
    <w:rsid w:val="00543A62"/>
    <w:rsid w:val="0054446B"/>
    <w:rsid w:val="005452E7"/>
    <w:rsid w:val="005520DF"/>
    <w:rsid w:val="005635D7"/>
    <w:rsid w:val="00563B0A"/>
    <w:rsid w:val="00564A30"/>
    <w:rsid w:val="005650DF"/>
    <w:rsid w:val="00574364"/>
    <w:rsid w:val="00576845"/>
    <w:rsid w:val="005778B7"/>
    <w:rsid w:val="0059417E"/>
    <w:rsid w:val="005A12A5"/>
    <w:rsid w:val="005A13AA"/>
    <w:rsid w:val="005A160A"/>
    <w:rsid w:val="005A1A81"/>
    <w:rsid w:val="005A6A0E"/>
    <w:rsid w:val="005A6B87"/>
    <w:rsid w:val="005B13F5"/>
    <w:rsid w:val="005B31C4"/>
    <w:rsid w:val="005B4B8A"/>
    <w:rsid w:val="005B7E94"/>
    <w:rsid w:val="005C57BF"/>
    <w:rsid w:val="005D2B8E"/>
    <w:rsid w:val="005D5113"/>
    <w:rsid w:val="005D5173"/>
    <w:rsid w:val="005E3BAA"/>
    <w:rsid w:val="005F4CAE"/>
    <w:rsid w:val="00600784"/>
    <w:rsid w:val="0060531F"/>
    <w:rsid w:val="0060558F"/>
    <w:rsid w:val="00605A16"/>
    <w:rsid w:val="0060651F"/>
    <w:rsid w:val="00613D21"/>
    <w:rsid w:val="00620EF0"/>
    <w:rsid w:val="006219AE"/>
    <w:rsid w:val="00622F18"/>
    <w:rsid w:val="006236E7"/>
    <w:rsid w:val="006264F6"/>
    <w:rsid w:val="00627B5D"/>
    <w:rsid w:val="0063056D"/>
    <w:rsid w:val="00635D7B"/>
    <w:rsid w:val="00644E54"/>
    <w:rsid w:val="0065773C"/>
    <w:rsid w:val="00657E4B"/>
    <w:rsid w:val="00662F7C"/>
    <w:rsid w:val="006656F8"/>
    <w:rsid w:val="006658FF"/>
    <w:rsid w:val="0066685D"/>
    <w:rsid w:val="00670E60"/>
    <w:rsid w:val="00671BE6"/>
    <w:rsid w:val="006736B8"/>
    <w:rsid w:val="006775DC"/>
    <w:rsid w:val="00686A0E"/>
    <w:rsid w:val="00691CEF"/>
    <w:rsid w:val="00692AA1"/>
    <w:rsid w:val="006A077E"/>
    <w:rsid w:val="006A08A1"/>
    <w:rsid w:val="006A09B9"/>
    <w:rsid w:val="006A1FF8"/>
    <w:rsid w:val="006A3DD4"/>
    <w:rsid w:val="006A735C"/>
    <w:rsid w:val="006B6017"/>
    <w:rsid w:val="006B711A"/>
    <w:rsid w:val="006B7160"/>
    <w:rsid w:val="006C5BDE"/>
    <w:rsid w:val="006C5E26"/>
    <w:rsid w:val="006C6DC4"/>
    <w:rsid w:val="006D102D"/>
    <w:rsid w:val="006D2E45"/>
    <w:rsid w:val="006D543A"/>
    <w:rsid w:val="006E04FF"/>
    <w:rsid w:val="006E06BD"/>
    <w:rsid w:val="006E4F1D"/>
    <w:rsid w:val="006E5E06"/>
    <w:rsid w:val="006F41F3"/>
    <w:rsid w:val="006F5259"/>
    <w:rsid w:val="007015D7"/>
    <w:rsid w:val="0070254E"/>
    <w:rsid w:val="00710703"/>
    <w:rsid w:val="00710BEB"/>
    <w:rsid w:val="00711E51"/>
    <w:rsid w:val="00712DFD"/>
    <w:rsid w:val="00715212"/>
    <w:rsid w:val="00720A50"/>
    <w:rsid w:val="00721976"/>
    <w:rsid w:val="00727671"/>
    <w:rsid w:val="007309AF"/>
    <w:rsid w:val="00732740"/>
    <w:rsid w:val="0073465A"/>
    <w:rsid w:val="0073469F"/>
    <w:rsid w:val="00736FB5"/>
    <w:rsid w:val="00737CB1"/>
    <w:rsid w:val="00737DB6"/>
    <w:rsid w:val="00742DFF"/>
    <w:rsid w:val="00744251"/>
    <w:rsid w:val="00746E0F"/>
    <w:rsid w:val="007503EF"/>
    <w:rsid w:val="00750625"/>
    <w:rsid w:val="00755D6F"/>
    <w:rsid w:val="00761B7D"/>
    <w:rsid w:val="00762ADE"/>
    <w:rsid w:val="00766FF2"/>
    <w:rsid w:val="007701D2"/>
    <w:rsid w:val="0078011D"/>
    <w:rsid w:val="00781C50"/>
    <w:rsid w:val="00782B15"/>
    <w:rsid w:val="0078598E"/>
    <w:rsid w:val="00787C61"/>
    <w:rsid w:val="007A3D26"/>
    <w:rsid w:val="007A6F43"/>
    <w:rsid w:val="007B149E"/>
    <w:rsid w:val="007B421E"/>
    <w:rsid w:val="007B7558"/>
    <w:rsid w:val="007C105B"/>
    <w:rsid w:val="007C2B73"/>
    <w:rsid w:val="007C4A46"/>
    <w:rsid w:val="007D18AB"/>
    <w:rsid w:val="007D1F49"/>
    <w:rsid w:val="007D3B38"/>
    <w:rsid w:val="007E233D"/>
    <w:rsid w:val="007E71BB"/>
    <w:rsid w:val="007F057C"/>
    <w:rsid w:val="007F0C94"/>
    <w:rsid w:val="007F197B"/>
    <w:rsid w:val="007F59E7"/>
    <w:rsid w:val="00801678"/>
    <w:rsid w:val="00803F41"/>
    <w:rsid w:val="00803FAF"/>
    <w:rsid w:val="00805D5B"/>
    <w:rsid w:val="0080768E"/>
    <w:rsid w:val="0081007F"/>
    <w:rsid w:val="0081158A"/>
    <w:rsid w:val="0081206C"/>
    <w:rsid w:val="00823B79"/>
    <w:rsid w:val="00824FC0"/>
    <w:rsid w:val="0083408F"/>
    <w:rsid w:val="00834105"/>
    <w:rsid w:val="00835E5F"/>
    <w:rsid w:val="00836DFB"/>
    <w:rsid w:val="00840677"/>
    <w:rsid w:val="0084352B"/>
    <w:rsid w:val="00845B68"/>
    <w:rsid w:val="0084697B"/>
    <w:rsid w:val="00854A9B"/>
    <w:rsid w:val="00856335"/>
    <w:rsid w:val="00861E02"/>
    <w:rsid w:val="0086281A"/>
    <w:rsid w:val="00863201"/>
    <w:rsid w:val="00870C02"/>
    <w:rsid w:val="008710E6"/>
    <w:rsid w:val="00875798"/>
    <w:rsid w:val="008811CF"/>
    <w:rsid w:val="008813E2"/>
    <w:rsid w:val="00881E18"/>
    <w:rsid w:val="00882DB1"/>
    <w:rsid w:val="00884DDF"/>
    <w:rsid w:val="00890D24"/>
    <w:rsid w:val="00892154"/>
    <w:rsid w:val="00892438"/>
    <w:rsid w:val="008A060F"/>
    <w:rsid w:val="008A46AC"/>
    <w:rsid w:val="008B11C3"/>
    <w:rsid w:val="008B2D5E"/>
    <w:rsid w:val="008B3D46"/>
    <w:rsid w:val="008B4ABE"/>
    <w:rsid w:val="008B62DC"/>
    <w:rsid w:val="008B7639"/>
    <w:rsid w:val="008C36EA"/>
    <w:rsid w:val="008C4FDD"/>
    <w:rsid w:val="008D5CB6"/>
    <w:rsid w:val="008E05F5"/>
    <w:rsid w:val="008E0BE7"/>
    <w:rsid w:val="008E0C33"/>
    <w:rsid w:val="008E0F3D"/>
    <w:rsid w:val="008E2FBC"/>
    <w:rsid w:val="008E389E"/>
    <w:rsid w:val="008F10CF"/>
    <w:rsid w:val="008F6494"/>
    <w:rsid w:val="008F6A69"/>
    <w:rsid w:val="00900186"/>
    <w:rsid w:val="0090134C"/>
    <w:rsid w:val="00905E6B"/>
    <w:rsid w:val="00905FFA"/>
    <w:rsid w:val="009103E0"/>
    <w:rsid w:val="0091360D"/>
    <w:rsid w:val="00913AEA"/>
    <w:rsid w:val="00921192"/>
    <w:rsid w:val="00926B3E"/>
    <w:rsid w:val="00932ED2"/>
    <w:rsid w:val="009347C9"/>
    <w:rsid w:val="00936C66"/>
    <w:rsid w:val="00940DFF"/>
    <w:rsid w:val="00942D2E"/>
    <w:rsid w:val="00942E60"/>
    <w:rsid w:val="009503DD"/>
    <w:rsid w:val="0095215A"/>
    <w:rsid w:val="00956742"/>
    <w:rsid w:val="00957B93"/>
    <w:rsid w:val="00960CFF"/>
    <w:rsid w:val="00964349"/>
    <w:rsid w:val="00965CDC"/>
    <w:rsid w:val="00965E91"/>
    <w:rsid w:val="00967D0D"/>
    <w:rsid w:val="00975E9D"/>
    <w:rsid w:val="009829F6"/>
    <w:rsid w:val="00983376"/>
    <w:rsid w:val="00983599"/>
    <w:rsid w:val="009869B9"/>
    <w:rsid w:val="00987FBA"/>
    <w:rsid w:val="009901B2"/>
    <w:rsid w:val="00990CCF"/>
    <w:rsid w:val="00994A74"/>
    <w:rsid w:val="00995184"/>
    <w:rsid w:val="009A12DB"/>
    <w:rsid w:val="009A162C"/>
    <w:rsid w:val="009A1E1E"/>
    <w:rsid w:val="009A42FF"/>
    <w:rsid w:val="009A5BFE"/>
    <w:rsid w:val="009A6C67"/>
    <w:rsid w:val="009A6E0B"/>
    <w:rsid w:val="009B2BED"/>
    <w:rsid w:val="009B31D3"/>
    <w:rsid w:val="009C036E"/>
    <w:rsid w:val="009C2011"/>
    <w:rsid w:val="009C2A01"/>
    <w:rsid w:val="009C32E7"/>
    <w:rsid w:val="009C488F"/>
    <w:rsid w:val="009C5BE4"/>
    <w:rsid w:val="009D2C44"/>
    <w:rsid w:val="009D32C4"/>
    <w:rsid w:val="009E101A"/>
    <w:rsid w:val="009E3D5F"/>
    <w:rsid w:val="009E7E76"/>
    <w:rsid w:val="00A00361"/>
    <w:rsid w:val="00A01386"/>
    <w:rsid w:val="00A02616"/>
    <w:rsid w:val="00A0276A"/>
    <w:rsid w:val="00A05021"/>
    <w:rsid w:val="00A129BD"/>
    <w:rsid w:val="00A21054"/>
    <w:rsid w:val="00A222EC"/>
    <w:rsid w:val="00A229BF"/>
    <w:rsid w:val="00A2673F"/>
    <w:rsid w:val="00A26BE8"/>
    <w:rsid w:val="00A27338"/>
    <w:rsid w:val="00A317E4"/>
    <w:rsid w:val="00A334FB"/>
    <w:rsid w:val="00A33C62"/>
    <w:rsid w:val="00A37842"/>
    <w:rsid w:val="00A40AD8"/>
    <w:rsid w:val="00A4158B"/>
    <w:rsid w:val="00A51033"/>
    <w:rsid w:val="00A527BE"/>
    <w:rsid w:val="00A56EB9"/>
    <w:rsid w:val="00A60661"/>
    <w:rsid w:val="00A60CA8"/>
    <w:rsid w:val="00A62BF1"/>
    <w:rsid w:val="00A6317C"/>
    <w:rsid w:val="00A63A01"/>
    <w:rsid w:val="00A725AC"/>
    <w:rsid w:val="00A72FB2"/>
    <w:rsid w:val="00A75725"/>
    <w:rsid w:val="00A75E0C"/>
    <w:rsid w:val="00A772C8"/>
    <w:rsid w:val="00A84A35"/>
    <w:rsid w:val="00A935E7"/>
    <w:rsid w:val="00A9627D"/>
    <w:rsid w:val="00AA0104"/>
    <w:rsid w:val="00AA50AC"/>
    <w:rsid w:val="00AA77CD"/>
    <w:rsid w:val="00AB4816"/>
    <w:rsid w:val="00AB7B31"/>
    <w:rsid w:val="00AC20B9"/>
    <w:rsid w:val="00AC3229"/>
    <w:rsid w:val="00AD230C"/>
    <w:rsid w:val="00AD60A4"/>
    <w:rsid w:val="00AD698A"/>
    <w:rsid w:val="00AD750C"/>
    <w:rsid w:val="00AE0C56"/>
    <w:rsid w:val="00AE1900"/>
    <w:rsid w:val="00AE3119"/>
    <w:rsid w:val="00AE36CB"/>
    <w:rsid w:val="00AE3B0F"/>
    <w:rsid w:val="00AF168C"/>
    <w:rsid w:val="00AF1EC6"/>
    <w:rsid w:val="00AF27D4"/>
    <w:rsid w:val="00AF2E63"/>
    <w:rsid w:val="00AF39AB"/>
    <w:rsid w:val="00AF6D11"/>
    <w:rsid w:val="00B00F4F"/>
    <w:rsid w:val="00B016DA"/>
    <w:rsid w:val="00B059D9"/>
    <w:rsid w:val="00B13963"/>
    <w:rsid w:val="00B2159C"/>
    <w:rsid w:val="00B24466"/>
    <w:rsid w:val="00B24C67"/>
    <w:rsid w:val="00B26CD8"/>
    <w:rsid w:val="00B3312C"/>
    <w:rsid w:val="00B36A3C"/>
    <w:rsid w:val="00B46388"/>
    <w:rsid w:val="00B468E6"/>
    <w:rsid w:val="00B471A0"/>
    <w:rsid w:val="00B63B15"/>
    <w:rsid w:val="00B67ABC"/>
    <w:rsid w:val="00B70AD7"/>
    <w:rsid w:val="00B70F89"/>
    <w:rsid w:val="00B71DD6"/>
    <w:rsid w:val="00B72F14"/>
    <w:rsid w:val="00B81C50"/>
    <w:rsid w:val="00B82358"/>
    <w:rsid w:val="00B82978"/>
    <w:rsid w:val="00B848DB"/>
    <w:rsid w:val="00B91131"/>
    <w:rsid w:val="00B94DA0"/>
    <w:rsid w:val="00B9529F"/>
    <w:rsid w:val="00B95F99"/>
    <w:rsid w:val="00B96D7F"/>
    <w:rsid w:val="00B97672"/>
    <w:rsid w:val="00BA0AB9"/>
    <w:rsid w:val="00BA0D18"/>
    <w:rsid w:val="00BA186E"/>
    <w:rsid w:val="00BA5EF8"/>
    <w:rsid w:val="00BB095F"/>
    <w:rsid w:val="00BB2CA3"/>
    <w:rsid w:val="00BB4748"/>
    <w:rsid w:val="00BB59EF"/>
    <w:rsid w:val="00BC042E"/>
    <w:rsid w:val="00BD049D"/>
    <w:rsid w:val="00BD0C28"/>
    <w:rsid w:val="00BD1FCD"/>
    <w:rsid w:val="00BD463C"/>
    <w:rsid w:val="00BD4BCB"/>
    <w:rsid w:val="00BE091F"/>
    <w:rsid w:val="00BE290C"/>
    <w:rsid w:val="00BE3FE5"/>
    <w:rsid w:val="00BE52CF"/>
    <w:rsid w:val="00BE7243"/>
    <w:rsid w:val="00BE741E"/>
    <w:rsid w:val="00BE7A69"/>
    <w:rsid w:val="00BF685B"/>
    <w:rsid w:val="00C00100"/>
    <w:rsid w:val="00C033D6"/>
    <w:rsid w:val="00C078A9"/>
    <w:rsid w:val="00C13B66"/>
    <w:rsid w:val="00C13FC6"/>
    <w:rsid w:val="00C16BE5"/>
    <w:rsid w:val="00C22383"/>
    <w:rsid w:val="00C25077"/>
    <w:rsid w:val="00C30AC4"/>
    <w:rsid w:val="00C34EBD"/>
    <w:rsid w:val="00C40D4B"/>
    <w:rsid w:val="00C47FC6"/>
    <w:rsid w:val="00C52BAC"/>
    <w:rsid w:val="00C60D4E"/>
    <w:rsid w:val="00C65471"/>
    <w:rsid w:val="00C66B3A"/>
    <w:rsid w:val="00C70841"/>
    <w:rsid w:val="00C7423F"/>
    <w:rsid w:val="00C80F27"/>
    <w:rsid w:val="00C81295"/>
    <w:rsid w:val="00C861DE"/>
    <w:rsid w:val="00C9210E"/>
    <w:rsid w:val="00C927D0"/>
    <w:rsid w:val="00C93020"/>
    <w:rsid w:val="00C936C8"/>
    <w:rsid w:val="00C9750E"/>
    <w:rsid w:val="00CA2525"/>
    <w:rsid w:val="00CA4842"/>
    <w:rsid w:val="00CA6B65"/>
    <w:rsid w:val="00CB44E5"/>
    <w:rsid w:val="00CB451D"/>
    <w:rsid w:val="00CC50C7"/>
    <w:rsid w:val="00CD2118"/>
    <w:rsid w:val="00CD52CA"/>
    <w:rsid w:val="00CD6AF8"/>
    <w:rsid w:val="00CE2951"/>
    <w:rsid w:val="00CE54FA"/>
    <w:rsid w:val="00CF36E9"/>
    <w:rsid w:val="00CF37F7"/>
    <w:rsid w:val="00CF6515"/>
    <w:rsid w:val="00D021FD"/>
    <w:rsid w:val="00D02509"/>
    <w:rsid w:val="00D03333"/>
    <w:rsid w:val="00D04DC1"/>
    <w:rsid w:val="00D15A6C"/>
    <w:rsid w:val="00D16942"/>
    <w:rsid w:val="00D26917"/>
    <w:rsid w:val="00D34AD4"/>
    <w:rsid w:val="00D41C1B"/>
    <w:rsid w:val="00D432F4"/>
    <w:rsid w:val="00D43948"/>
    <w:rsid w:val="00D43A3E"/>
    <w:rsid w:val="00D452CB"/>
    <w:rsid w:val="00D508F2"/>
    <w:rsid w:val="00D54A29"/>
    <w:rsid w:val="00D6196B"/>
    <w:rsid w:val="00D61F23"/>
    <w:rsid w:val="00D6324A"/>
    <w:rsid w:val="00D66C29"/>
    <w:rsid w:val="00D702A4"/>
    <w:rsid w:val="00D80E0A"/>
    <w:rsid w:val="00D82AFD"/>
    <w:rsid w:val="00D83708"/>
    <w:rsid w:val="00D83856"/>
    <w:rsid w:val="00D87016"/>
    <w:rsid w:val="00D87FF6"/>
    <w:rsid w:val="00D91D39"/>
    <w:rsid w:val="00DA3069"/>
    <w:rsid w:val="00DA7FAA"/>
    <w:rsid w:val="00DB0D22"/>
    <w:rsid w:val="00DB4361"/>
    <w:rsid w:val="00DB60BF"/>
    <w:rsid w:val="00DC0989"/>
    <w:rsid w:val="00DC1130"/>
    <w:rsid w:val="00DC1947"/>
    <w:rsid w:val="00DC2479"/>
    <w:rsid w:val="00DC458A"/>
    <w:rsid w:val="00DC5E87"/>
    <w:rsid w:val="00DC7D82"/>
    <w:rsid w:val="00DD0A6F"/>
    <w:rsid w:val="00DD7953"/>
    <w:rsid w:val="00DE0F2F"/>
    <w:rsid w:val="00DE4AFD"/>
    <w:rsid w:val="00DF0564"/>
    <w:rsid w:val="00DF12C2"/>
    <w:rsid w:val="00DF3B35"/>
    <w:rsid w:val="00DF7E2A"/>
    <w:rsid w:val="00E05275"/>
    <w:rsid w:val="00E17ACD"/>
    <w:rsid w:val="00E205B6"/>
    <w:rsid w:val="00E208C1"/>
    <w:rsid w:val="00E21B3B"/>
    <w:rsid w:val="00E264D0"/>
    <w:rsid w:val="00E3014F"/>
    <w:rsid w:val="00E310F5"/>
    <w:rsid w:val="00E33C0B"/>
    <w:rsid w:val="00E37A7F"/>
    <w:rsid w:val="00E41DF0"/>
    <w:rsid w:val="00E433A0"/>
    <w:rsid w:val="00E44066"/>
    <w:rsid w:val="00E5211E"/>
    <w:rsid w:val="00E54170"/>
    <w:rsid w:val="00E578B8"/>
    <w:rsid w:val="00E62481"/>
    <w:rsid w:val="00E655FA"/>
    <w:rsid w:val="00E704F8"/>
    <w:rsid w:val="00E729AE"/>
    <w:rsid w:val="00E753EE"/>
    <w:rsid w:val="00E77280"/>
    <w:rsid w:val="00E775FF"/>
    <w:rsid w:val="00E77C81"/>
    <w:rsid w:val="00E8012D"/>
    <w:rsid w:val="00E82F36"/>
    <w:rsid w:val="00E83C21"/>
    <w:rsid w:val="00E845DA"/>
    <w:rsid w:val="00E94682"/>
    <w:rsid w:val="00EA2C38"/>
    <w:rsid w:val="00EA3D7F"/>
    <w:rsid w:val="00EA51D3"/>
    <w:rsid w:val="00EA5E14"/>
    <w:rsid w:val="00EA6282"/>
    <w:rsid w:val="00EB0ABB"/>
    <w:rsid w:val="00EB0DF4"/>
    <w:rsid w:val="00EB2563"/>
    <w:rsid w:val="00EB2AD5"/>
    <w:rsid w:val="00EB5362"/>
    <w:rsid w:val="00EC043A"/>
    <w:rsid w:val="00EC2075"/>
    <w:rsid w:val="00EC403D"/>
    <w:rsid w:val="00EC5148"/>
    <w:rsid w:val="00ED6660"/>
    <w:rsid w:val="00EE175B"/>
    <w:rsid w:val="00EE19BE"/>
    <w:rsid w:val="00EE5AF7"/>
    <w:rsid w:val="00EE78D8"/>
    <w:rsid w:val="00EF1EBB"/>
    <w:rsid w:val="00EF24A7"/>
    <w:rsid w:val="00EF2AD5"/>
    <w:rsid w:val="00EF461B"/>
    <w:rsid w:val="00EF66AA"/>
    <w:rsid w:val="00F01F86"/>
    <w:rsid w:val="00F05139"/>
    <w:rsid w:val="00F055F1"/>
    <w:rsid w:val="00F05A29"/>
    <w:rsid w:val="00F06D6E"/>
    <w:rsid w:val="00F127D1"/>
    <w:rsid w:val="00F173F1"/>
    <w:rsid w:val="00F21A3A"/>
    <w:rsid w:val="00F22CEC"/>
    <w:rsid w:val="00F2572D"/>
    <w:rsid w:val="00F30C8A"/>
    <w:rsid w:val="00F3174D"/>
    <w:rsid w:val="00F34CB7"/>
    <w:rsid w:val="00F356C0"/>
    <w:rsid w:val="00F35EA7"/>
    <w:rsid w:val="00F372C1"/>
    <w:rsid w:val="00F41E33"/>
    <w:rsid w:val="00F43EA1"/>
    <w:rsid w:val="00F4453D"/>
    <w:rsid w:val="00F51231"/>
    <w:rsid w:val="00F56286"/>
    <w:rsid w:val="00F617B6"/>
    <w:rsid w:val="00F64C3C"/>
    <w:rsid w:val="00F67DE1"/>
    <w:rsid w:val="00F761D8"/>
    <w:rsid w:val="00F763E6"/>
    <w:rsid w:val="00F81223"/>
    <w:rsid w:val="00F8180F"/>
    <w:rsid w:val="00F82A66"/>
    <w:rsid w:val="00F837AB"/>
    <w:rsid w:val="00F85C81"/>
    <w:rsid w:val="00F862FD"/>
    <w:rsid w:val="00F86FB2"/>
    <w:rsid w:val="00F87800"/>
    <w:rsid w:val="00F934DF"/>
    <w:rsid w:val="00FA05FC"/>
    <w:rsid w:val="00FA13A1"/>
    <w:rsid w:val="00FA14F4"/>
    <w:rsid w:val="00FA3410"/>
    <w:rsid w:val="00FA38A5"/>
    <w:rsid w:val="00FA3B11"/>
    <w:rsid w:val="00FA6D9E"/>
    <w:rsid w:val="00FA7C72"/>
    <w:rsid w:val="00FB2573"/>
    <w:rsid w:val="00FB3F17"/>
    <w:rsid w:val="00FB5149"/>
    <w:rsid w:val="00FC1634"/>
    <w:rsid w:val="00FC1AE3"/>
    <w:rsid w:val="00FC28AA"/>
    <w:rsid w:val="00FC32AD"/>
    <w:rsid w:val="00FC7661"/>
    <w:rsid w:val="00FC7830"/>
    <w:rsid w:val="00FD01B1"/>
    <w:rsid w:val="00FD1178"/>
    <w:rsid w:val="00FD528C"/>
    <w:rsid w:val="00FD671D"/>
    <w:rsid w:val="00FD77B2"/>
    <w:rsid w:val="00FE29BE"/>
    <w:rsid w:val="00FE2F8B"/>
    <w:rsid w:val="00FE742D"/>
    <w:rsid w:val="06C6516F"/>
    <w:rsid w:val="07070EA5"/>
    <w:rsid w:val="074E7D0A"/>
    <w:rsid w:val="0BFE4EEC"/>
    <w:rsid w:val="18BB2076"/>
    <w:rsid w:val="1B5830DC"/>
    <w:rsid w:val="1FAD7985"/>
    <w:rsid w:val="22F92970"/>
    <w:rsid w:val="22FD1376"/>
    <w:rsid w:val="256736AA"/>
    <w:rsid w:val="274E038B"/>
    <w:rsid w:val="2B0C21F6"/>
    <w:rsid w:val="2CDC1A3F"/>
    <w:rsid w:val="2D376D38"/>
    <w:rsid w:val="31FB713A"/>
    <w:rsid w:val="39B527DE"/>
    <w:rsid w:val="3B684A83"/>
    <w:rsid w:val="3C0F6516"/>
    <w:rsid w:val="3F4D0EE6"/>
    <w:rsid w:val="3F5B3675"/>
    <w:rsid w:val="404C24D9"/>
    <w:rsid w:val="42D01E2D"/>
    <w:rsid w:val="44757F5F"/>
    <w:rsid w:val="48AF4B7E"/>
    <w:rsid w:val="49D65F59"/>
    <w:rsid w:val="4A7E62C5"/>
    <w:rsid w:val="4AAD2814"/>
    <w:rsid w:val="4B3237EB"/>
    <w:rsid w:val="4BEA27BB"/>
    <w:rsid w:val="4D1E63F1"/>
    <w:rsid w:val="4FB664D2"/>
    <w:rsid w:val="512963B4"/>
    <w:rsid w:val="516B614C"/>
    <w:rsid w:val="544B5FDC"/>
    <w:rsid w:val="55396B5E"/>
    <w:rsid w:val="582B0B07"/>
    <w:rsid w:val="5A47502D"/>
    <w:rsid w:val="5C543025"/>
    <w:rsid w:val="5C7907C5"/>
    <w:rsid w:val="5D0C1038"/>
    <w:rsid w:val="5F5D7F89"/>
    <w:rsid w:val="5FC9520A"/>
    <w:rsid w:val="62502AD9"/>
    <w:rsid w:val="6378483D"/>
    <w:rsid w:val="63910EE7"/>
    <w:rsid w:val="65451832"/>
    <w:rsid w:val="66D6652B"/>
    <w:rsid w:val="67236BC5"/>
    <w:rsid w:val="683E2A98"/>
    <w:rsid w:val="6B8F6404"/>
    <w:rsid w:val="6B911907"/>
    <w:rsid w:val="6D966B59"/>
    <w:rsid w:val="6DDB184C"/>
    <w:rsid w:val="6E7064BC"/>
    <w:rsid w:val="721101F2"/>
    <w:rsid w:val="729D1E1A"/>
    <w:rsid w:val="743A637B"/>
    <w:rsid w:val="758B5965"/>
    <w:rsid w:val="75D428A3"/>
    <w:rsid w:val="75DD76E0"/>
    <w:rsid w:val="7721227E"/>
    <w:rsid w:val="7AA65A89"/>
    <w:rsid w:val="7CD73D49"/>
    <w:rsid w:val="7CE732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CF32039"/>
  <w15:docId w15:val="{2425ECEC-842E-47A5-9BC5-8F4190E6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qFormat/>
    <w:pPr>
      <w:spacing w:after="120"/>
    </w:pPr>
    <w:rPr>
      <w:rFonts w:ascii="Calibri" w:eastAsia="Times New Roman" w:hAnsi="Calibri" w:cs="Times New Roman"/>
    </w:rPr>
  </w:style>
  <w:style w:type="paragraph" w:styleId="BodyText2">
    <w:name w:val="Body Text 2"/>
    <w:basedOn w:val="Normal"/>
    <w:link w:val="BodyText2Char"/>
    <w:qFormat/>
    <w:pPr>
      <w:spacing w:after="0" w:line="240" w:lineRule="auto"/>
      <w:jc w:val="center"/>
    </w:pPr>
    <w:rPr>
      <w:rFonts w:ascii="Times New Roman" w:eastAsia="Times New Roman" w:hAnsi="Times New Roman" w:cs="Times New Roman"/>
      <w:sz w:val="26"/>
      <w:szCs w:val="32"/>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link w:val="RefChar"/>
    <w:uiPriority w:val="99"/>
    <w:qFormat/>
    <w:rPr>
      <w:vertAlign w:val="superscript"/>
    </w:rPr>
  </w:style>
  <w:style w:type="paragraph" w:customStyle="1" w:styleId="RefChar">
    <w:name w:val="Ref Char"/>
    <w:basedOn w:val="Normal"/>
    <w:link w:val="FootnoteReference"/>
    <w:uiPriority w:val="99"/>
    <w:qFormat/>
    <w:pPr>
      <w:spacing w:after="160" w:line="240" w:lineRule="exact"/>
    </w:pPr>
    <w:rPr>
      <w:vertAlign w:val="superscript"/>
    </w:rPr>
  </w:style>
  <w:style w:type="paragraph" w:styleId="FootnoteText">
    <w:name w:val="footnote text"/>
    <w:basedOn w:val="Normal"/>
    <w:qFormat/>
    <w:pPr>
      <w:spacing w:after="0" w:line="240" w:lineRule="auto"/>
    </w:pPr>
    <w:rPr>
      <w:rFonts w:eastAsia="Batang" w:cs="Times New Roman"/>
      <w:sz w:val="20"/>
      <w:szCs w:val="20"/>
      <w:lang w:eastAsia="ko-KR"/>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CharCharCharCharCharCharCharCharCharChar">
    <w:name w:val="Char Char Char Char Char Char Char Char Char Char"/>
    <w:basedOn w:val="Normal"/>
    <w:semiHidden/>
    <w:qFormat/>
    <w:pPr>
      <w:spacing w:after="160" w:line="240" w:lineRule="exact"/>
    </w:pPr>
    <w:rPr>
      <w:rFonts w:ascii="Arial" w:eastAsia="Times New Roman" w:hAnsi="Arial" w:cs="Times New Roman"/>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BodyText2Char">
    <w:name w:val="Body Text 2 Char"/>
    <w:basedOn w:val="DefaultParagraphFont"/>
    <w:link w:val="BodyText2"/>
    <w:qFormat/>
    <w:rPr>
      <w:rFonts w:ascii="Times New Roman" w:eastAsia="Times New Roman" w:hAnsi="Times New Roman" w:cs="Times New Roman"/>
      <w:sz w:val="26"/>
      <w:szCs w:val="32"/>
    </w:rPr>
  </w:style>
  <w:style w:type="paragraph" w:customStyle="1" w:styleId="Default">
    <w:name w:val="Default"/>
    <w:qFormat/>
    <w:pPr>
      <w:autoSpaceDE w:val="0"/>
      <w:autoSpaceDN w:val="0"/>
      <w:adjustRightInd w:val="0"/>
    </w:pPr>
    <w:rPr>
      <w:rFonts w:eastAsiaTheme="minorHAnsi"/>
      <w:color w:val="000000"/>
      <w:sz w:val="24"/>
      <w:szCs w:val="24"/>
    </w:rPr>
  </w:style>
  <w:style w:type="character" w:customStyle="1" w:styleId="Tiu1">
    <w:name w:val="Tiêu đề #1_"/>
    <w:link w:val="Tiu10"/>
    <w:qFormat/>
    <w:locked/>
    <w:rPr>
      <w:b/>
      <w:bCs/>
      <w:sz w:val="26"/>
      <w:szCs w:val="26"/>
    </w:rPr>
  </w:style>
  <w:style w:type="paragraph" w:customStyle="1" w:styleId="Tiu10">
    <w:name w:val="Tiêu đề #1"/>
    <w:basedOn w:val="Normal"/>
    <w:link w:val="Tiu1"/>
    <w:qFormat/>
    <w:pPr>
      <w:widowControl w:val="0"/>
      <w:spacing w:after="60" w:line="256" w:lineRule="auto"/>
      <w:ind w:firstLine="700"/>
      <w:outlineLvl w:val="0"/>
    </w:pPr>
    <w:rPr>
      <w:b/>
      <w:bCs/>
      <w:sz w:val="26"/>
      <w:szCs w:val="26"/>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character" w:customStyle="1" w:styleId="fontstyle21">
    <w:name w:val="fontstyle21"/>
    <w:basedOn w:val="DefaultParagraphFont"/>
    <w:qFormat/>
    <w:rPr>
      <w:rFonts w:ascii="Times New Roman" w:hAnsi="Times New Roman" w:cs="Times New Roman" w:hint="default"/>
      <w:color w:val="000000"/>
      <w:sz w:val="28"/>
      <w:szCs w:val="28"/>
    </w:rPr>
  </w:style>
  <w:style w:type="character" w:customStyle="1" w:styleId="fontstyle31">
    <w:name w:val="fontstyle31"/>
    <w:basedOn w:val="DefaultParagraphFont"/>
    <w:qFormat/>
    <w:rPr>
      <w:rFonts w:ascii="Times New Roman" w:hAnsi="Times New Roman" w:cs="Times New Roman" w:hint="default"/>
      <w:i/>
      <w:iCs/>
      <w:color w:val="000000"/>
      <w:sz w:val="28"/>
      <w:szCs w:val="28"/>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BodyTextChar">
    <w:name w:val="Body Text Char"/>
    <w:basedOn w:val="DefaultParagraphFont"/>
    <w:link w:val="BodyText"/>
    <w:uiPriority w:val="99"/>
    <w:qFormat/>
    <w:rPr>
      <w:rFonts w:ascii="Calibri" w:eastAsia="Times New Roman" w:hAnsi="Calibri" w:cs="Times New Roman"/>
    </w:rPr>
  </w:style>
  <w:style w:type="character" w:customStyle="1" w:styleId="normal-h1">
    <w:name w:val="normal-h1"/>
    <w:qFormat/>
    <w:rPr>
      <w:rFonts w:ascii="Times New Roman" w:hAnsi="Times New Roman" w:cs="Times New Roman" w:hint="default"/>
      <w:sz w:val="28"/>
      <w:szCs w:val="28"/>
    </w:rPr>
  </w:style>
  <w:style w:type="character" w:customStyle="1" w:styleId="fontstyle41">
    <w:name w:val="fontstyle41"/>
    <w:basedOn w:val="DefaultParagraphFont"/>
    <w:qFormat/>
    <w:rPr>
      <w:rFonts w:ascii="Times New Roman" w:hAnsi="Times New Roman" w:cs="Times New Roman" w:hint="default"/>
      <w:color w:val="000000"/>
      <w:sz w:val="28"/>
      <w:szCs w:val="28"/>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NoSpacing">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phap-luat/toi-pham-nghiem-trong-la-gi-truong-hop-nao-nguoi-pham-toi-co-the-duoc-mien-truy-cuu-trach-nhiem-hin-484432-105834.html" TargetMode="External"/><Relationship Id="rId5" Type="http://schemas.openxmlformats.org/officeDocument/2006/relationships/settings" Target="settings.xml"/><Relationship Id="rId10" Type="http://schemas.openxmlformats.org/officeDocument/2006/relationships/hyperlink" Target="https://luatvietnam.vn/tai-chinh/luat-ngan-sach-nha-nuoc-2025-so-89-2025-qh15-405621-d1.html" TargetMode="External"/><Relationship Id="rId4" Type="http://schemas.openxmlformats.org/officeDocument/2006/relationships/styles" Target="styles.xml"/><Relationship Id="rId9" Type="http://schemas.openxmlformats.org/officeDocument/2006/relationships/hyperlink" Target="https://luatvietnam.vn/hanh-chinh/nghi-quyet-227-2025-qh15-cua-quoc-hoi-khoa-xv-hieu-luc-tu-27-06-2025-404574-d1.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C14BAE-5FF7-4A8D-9084-C26802B3C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5621</Words>
  <Characters>32046</Characters>
  <Application>Microsoft Office Word</Application>
  <DocSecurity>0</DocSecurity>
  <Lines>267</Lines>
  <Paragraphs>75</Paragraphs>
  <ScaleCrop>false</ScaleCrop>
  <Company/>
  <LinksUpToDate>false</LinksUpToDate>
  <CharactersWithSpaces>37592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Hao Minh</cp:lastModifiedBy>
  <cp:revision>2</cp:revision>
  <cp:lastPrinted>2026-04-07T07:32:00Z</cp:lastPrinted>
  <dcterms:created xsi:type="dcterms:W3CDTF">2026-11-04T08:14:00Z</dcterms:created>
  <dcterms:modified xsi:type="dcterms:W3CDTF">2026-11-04T08:14:00Z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1033-12.1.0.29162</vt:lpwstr>
  </property>
  <property fmtid="{D5CDD505-2E9C-101B-9397-08002B2CF9AE}" pid="4" name="ICV">
    <vt:lpwstr>AA7A9EC9EB6548C38D7D73D189C1D281_12</vt:lpwstr>
  </property>
</Properties>
</file>