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971" w:type="dxa"/>
        <w:jc w:val="center"/>
        <w:tblLayout w:type="autofit"/>
        <w:tblCellMar>
          <w:top w:w="0" w:type="dxa"/>
          <w:left w:w="108" w:type="dxa"/>
          <w:bottom w:w="0" w:type="dxa"/>
          <w:right w:w="108" w:type="dxa"/>
        </w:tblCellMar>
      </w:tblPr>
      <w:tblGrid>
        <w:gridCol w:w="4253"/>
        <w:gridCol w:w="5718"/>
      </w:tblGrid>
      <w:tr w14:paraId="707B165C">
        <w:tblPrEx>
          <w:tblCellMar>
            <w:top w:w="0" w:type="dxa"/>
            <w:left w:w="108" w:type="dxa"/>
            <w:bottom w:w="0" w:type="dxa"/>
            <w:right w:w="108" w:type="dxa"/>
          </w:tblCellMar>
        </w:tblPrEx>
        <w:trPr>
          <w:jc w:val="center"/>
        </w:trPr>
        <w:tc>
          <w:tcPr>
            <w:tcW w:w="4253" w:type="dxa"/>
          </w:tcPr>
          <w:p w14:paraId="1D66F88D">
            <w:pPr>
              <w:tabs>
                <w:tab w:val="left" w:pos="705"/>
              </w:tabs>
              <w:spacing w:after="0" w:line="320" w:lineRule="exact"/>
              <w:jc w:val="center"/>
              <w:rPr>
                <w:rFonts w:hint="default" w:ascii="Times New Roman" w:hAnsi="Times New Roman" w:cs="Times New Roman"/>
                <w:color w:val="auto"/>
                <w:sz w:val="26"/>
                <w:szCs w:val="26"/>
                <w:highlight w:val="none"/>
              </w:rPr>
            </w:pPr>
            <w:r>
              <w:rPr>
                <w:rFonts w:hint="default" w:ascii="Times New Roman" w:hAnsi="Times New Roman" w:cs="Times New Roman"/>
                <w:color w:val="auto"/>
                <w:sz w:val="26"/>
                <w:szCs w:val="26"/>
                <w:highlight w:val="none"/>
              </w:rPr>
              <w:t>UBND THÀNH PHỐ HẢI PHÒNG</w:t>
            </w:r>
          </w:p>
          <w:p w14:paraId="29E28B53">
            <w:pPr>
              <w:tabs>
                <w:tab w:val="left" w:pos="705"/>
              </w:tabs>
              <w:spacing w:after="0" w:line="320" w:lineRule="exact"/>
              <w:jc w:val="center"/>
              <w:rPr>
                <w:rFonts w:hint="default" w:ascii="Times New Roman" w:hAnsi="Times New Roman" w:cs="Times New Roman"/>
                <w:color w:val="auto"/>
                <w:sz w:val="26"/>
                <w:szCs w:val="26"/>
                <w:highlight w:val="none"/>
              </w:rPr>
            </w:pPr>
            <w:r>
              <w:rPr>
                <w:rFonts w:hint="default" w:ascii="Times New Roman" w:hAnsi="Times New Roman" w:cs="Times New Roman"/>
                <w:b/>
                <w:bCs/>
                <w:color w:val="auto"/>
                <w:sz w:val="26"/>
                <w:szCs w:val="26"/>
                <w:highlight w:val="none"/>
              </w:rPr>
              <w:t>SỞ CÔNG THƯƠNG</w:t>
            </w:r>
          </w:p>
          <w:p w14:paraId="211C26B5">
            <w:pPr>
              <w:spacing w:after="0" w:line="320" w:lineRule="exact"/>
              <w:jc w:val="center"/>
              <w:rPr>
                <w:rFonts w:hint="default" w:ascii="Times New Roman" w:hAnsi="Times New Roman" w:cs="Times New Roman"/>
                <w:color w:val="auto"/>
                <w:sz w:val="26"/>
                <w:szCs w:val="26"/>
                <w:highlight w:val="none"/>
              </w:rPr>
            </w:pPr>
            <w:r>
              <w:rPr>
                <w:rFonts w:hint="default" w:ascii="Times New Roman" w:hAnsi="Times New Roman" w:cs="Times New Roman"/>
                <w:color w:val="auto"/>
                <w:sz w:val="26"/>
                <w:szCs w:val="26"/>
                <w:highlight w:val="none"/>
              </w:rPr>
              <mc:AlternateContent>
                <mc:Choice Requires="wps">
                  <w:drawing>
                    <wp:anchor distT="0" distB="0" distL="114300" distR="114300" simplePos="0" relativeHeight="251659264" behindDoc="0" locked="0" layoutInCell="1" allowOverlap="1">
                      <wp:simplePos x="0" y="0"/>
                      <wp:positionH relativeFrom="column">
                        <wp:posOffset>793115</wp:posOffset>
                      </wp:positionH>
                      <wp:positionV relativeFrom="paragraph">
                        <wp:posOffset>17145</wp:posOffset>
                      </wp:positionV>
                      <wp:extent cx="990600" cy="0"/>
                      <wp:effectExtent l="0" t="0" r="19050" b="19050"/>
                      <wp:wrapNone/>
                      <wp:docPr id="6" name="Straight Arrow Connector 6"/>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62.45pt;margin-top:1.35pt;height:0pt;width:78pt;z-index:251659264;mso-width-relative:page;mso-height-relative:page;" filled="f" stroked="t" coordsize="21600,21600" o:gfxdata="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JctXW0wAAAAcBAAAPAAAAAAAAAAEAIAAA&#10;ACIAAABkcnMvZG93bnJldi54bWxQSwECFAAUAAAACACHTuJAfcUQjNgBAADAAwAADgAAAAAAAAAB&#10;ACAAAAAiAQAAZHJzL2Uyb0RvYy54bWxQSwUGAAAAAAYABgBZAQAAbAUAAAAA&#10;">
                      <v:fill on="f" focussize="0,0"/>
                      <v:stroke color="#000000" joinstyle="round"/>
                      <v:imagedata o:title=""/>
                      <o:lock v:ext="edit" aspectratio="f"/>
                    </v:shape>
                  </w:pict>
                </mc:Fallback>
              </mc:AlternateContent>
            </w:r>
          </w:p>
          <w:p w14:paraId="41E0F309">
            <w:pPr>
              <w:spacing w:after="0" w:line="320" w:lineRule="exact"/>
              <w:jc w:val="center"/>
              <w:rPr>
                <w:rFonts w:hint="default" w:ascii="Times New Roman" w:hAnsi="Times New Roman" w:cs="Times New Roman"/>
                <w:b/>
                <w:bCs/>
                <w:color w:val="auto"/>
                <w:sz w:val="26"/>
                <w:szCs w:val="26"/>
                <w:highlight w:val="none"/>
                <w:lang w:val="en-US"/>
              </w:rPr>
            </w:pPr>
            <w:r>
              <w:rPr>
                <w:rFonts w:hint="default" w:ascii="Times New Roman" w:hAnsi="Times New Roman" w:cs="Times New Roman"/>
                <w:b/>
                <w:bCs/>
                <w:color w:val="auto"/>
                <w:sz w:val="26"/>
                <w:szCs w:val="26"/>
                <w:highlight w:val="none"/>
                <w:lang w:val="en-US"/>
              </w:rPr>
              <w:t>(DỰ THẢO)</w:t>
            </w:r>
          </w:p>
          <w:p w14:paraId="054EABDB">
            <w:pPr>
              <w:spacing w:after="0" w:line="320" w:lineRule="exact"/>
              <w:jc w:val="center"/>
              <w:rPr>
                <w:rFonts w:hint="default" w:ascii="Times New Roman" w:hAnsi="Times New Roman" w:cs="Times New Roman"/>
                <w:b/>
                <w:color w:val="auto"/>
                <w:sz w:val="26"/>
                <w:szCs w:val="26"/>
                <w:highlight w:val="none"/>
                <w:lang w:val="vi-VN"/>
              </w:rPr>
            </w:pPr>
          </w:p>
        </w:tc>
        <w:tc>
          <w:tcPr>
            <w:tcW w:w="5718" w:type="dxa"/>
          </w:tcPr>
          <w:p w14:paraId="3623AB01">
            <w:pPr>
              <w:spacing w:after="0" w:line="320" w:lineRule="exact"/>
              <w:jc w:val="center"/>
              <w:rPr>
                <w:rFonts w:hint="default" w:ascii="Times New Roman" w:hAnsi="Times New Roman" w:cs="Times New Roman"/>
                <w:b/>
                <w:color w:val="auto"/>
                <w:sz w:val="26"/>
                <w:szCs w:val="26"/>
                <w:highlight w:val="none"/>
              </w:rPr>
            </w:pPr>
            <w:r>
              <w:rPr>
                <w:rFonts w:hint="default" w:ascii="Times New Roman" w:hAnsi="Times New Roman" w:cs="Times New Roman"/>
                <w:b/>
                <w:color w:val="auto"/>
                <w:sz w:val="26"/>
                <w:szCs w:val="26"/>
                <w:highlight w:val="none"/>
              </w:rPr>
              <w:t>CỘNG HÒA XÃ HỘI CHỦ NGHĨA VIỆT NAM</w:t>
            </w:r>
          </w:p>
          <w:p w14:paraId="116412EB">
            <w:pPr>
              <w:spacing w:after="0" w:line="320" w:lineRule="exact"/>
              <w:jc w:val="center"/>
              <w:rPr>
                <w:rFonts w:hint="default" w:ascii="Times New Roman" w:hAnsi="Times New Roman" w:cs="Times New Roman"/>
                <w:b/>
                <w:color w:val="auto"/>
                <w:sz w:val="26"/>
                <w:szCs w:val="26"/>
                <w:highlight w:val="none"/>
              </w:rPr>
            </w:pPr>
            <w:r>
              <w:rPr>
                <w:rFonts w:hint="default" w:ascii="Times New Roman" w:hAnsi="Times New Roman" w:cs="Times New Roman"/>
                <w:b/>
                <w:color w:val="auto"/>
                <w:sz w:val="26"/>
                <w:szCs w:val="26"/>
                <w:highlight w:val="none"/>
              </w:rPr>
              <w:t>Độc lập – Tự do – Hạnh phúc</w:t>
            </w:r>
          </w:p>
          <w:p w14:paraId="473674C6">
            <w:pPr>
              <w:spacing w:after="0" w:line="320" w:lineRule="exact"/>
              <w:jc w:val="center"/>
              <w:rPr>
                <w:rFonts w:hint="default" w:ascii="Times New Roman" w:hAnsi="Times New Roman" w:cs="Times New Roman"/>
                <w:color w:val="auto"/>
                <w:sz w:val="26"/>
                <w:szCs w:val="26"/>
                <w:highlight w:val="none"/>
              </w:rPr>
            </w:pPr>
            <w:r>
              <w:rPr>
                <w:rFonts w:hint="default" w:ascii="Times New Roman" w:hAnsi="Times New Roman" w:cs="Times New Roman"/>
                <w:color w:val="auto"/>
                <w:sz w:val="26"/>
                <w:szCs w:val="26"/>
                <w:highlight w:val="none"/>
              </w:rPr>
              <mc:AlternateContent>
                <mc:Choice Requires="wps">
                  <w:drawing>
                    <wp:anchor distT="0" distB="0" distL="114300" distR="114300" simplePos="0" relativeHeight="251660288" behindDoc="0" locked="0" layoutInCell="1" allowOverlap="1">
                      <wp:simplePos x="0" y="0"/>
                      <wp:positionH relativeFrom="column">
                        <wp:posOffset>725805</wp:posOffset>
                      </wp:positionH>
                      <wp:positionV relativeFrom="paragraph">
                        <wp:posOffset>23495</wp:posOffset>
                      </wp:positionV>
                      <wp:extent cx="2059940" cy="0"/>
                      <wp:effectExtent l="0" t="0" r="36195" b="19050"/>
                      <wp:wrapNone/>
                      <wp:docPr id="2" name="Straight Connector 2"/>
                      <wp:cNvGraphicFramePr/>
                      <a:graphic xmlns:a="http://schemas.openxmlformats.org/drawingml/2006/main">
                        <a:graphicData uri="http://schemas.microsoft.com/office/word/2010/wordprocessingShape">
                          <wps:wsp>
                            <wps:cNvCnPr/>
                            <wps:spPr>
                              <a:xfrm>
                                <a:off x="0" y="0"/>
                                <a:ext cx="2059912"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7.15pt;margin-top:1.85pt;height:0pt;width:162.2pt;z-index:251660288;mso-width-relative:page;mso-height-relative:page;" filled="f" stroked="t" coordsize="21600,21600" o:gfxdata="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U1jvctUAAAAHAQAADwAAAAAAAAABACAAAAAiAAAA&#10;ZHJzL2Rvd25yZXYueG1sUEsBAhQAFAAAAAgAh07iQJ+4rabRAQAAtAMAAA4AAAAAAAAAAQAgAAAA&#10;JAEAAGRycy9lMm9Eb2MueG1sUEsFBgAAAAAGAAYAWQEAAGcFAAAAAA==&#10;">
                      <v:fill on="f" focussize="0,0"/>
                      <v:stroke color="#000000 [3200]" miterlimit="8" joinstyle="miter"/>
                      <v:imagedata o:title=""/>
                      <o:lock v:ext="edit" aspectratio="f"/>
                    </v:line>
                  </w:pict>
                </mc:Fallback>
              </mc:AlternateContent>
            </w:r>
          </w:p>
          <w:p w14:paraId="0F2A9AA3">
            <w:pPr>
              <w:spacing w:after="0" w:line="320" w:lineRule="exact"/>
              <w:jc w:val="center"/>
              <w:rPr>
                <w:rFonts w:hint="default" w:ascii="Times New Roman" w:hAnsi="Times New Roman" w:cs="Times New Roman"/>
                <w:i/>
                <w:color w:val="auto"/>
                <w:sz w:val="28"/>
                <w:szCs w:val="28"/>
                <w:highlight w:val="none"/>
              </w:rPr>
            </w:pPr>
            <w:r>
              <w:rPr>
                <w:rFonts w:hint="default" w:ascii="Times New Roman" w:hAnsi="Times New Roman" w:cs="Times New Roman"/>
                <w:i/>
                <w:color w:val="auto"/>
                <w:sz w:val="28"/>
                <w:szCs w:val="28"/>
                <w:highlight w:val="none"/>
              </w:rPr>
              <w:t>Hải Phòng, ngày      tháng    năm 2026</w:t>
            </w:r>
          </w:p>
        </w:tc>
      </w:tr>
    </w:tbl>
    <w:p w14:paraId="77DF6232">
      <w:pPr>
        <w:spacing w:line="240" w:lineRule="auto"/>
        <w:ind w:firstLine="0"/>
        <w:jc w:val="center"/>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BẢN ĐÁNH GIÁ</w:t>
      </w:r>
    </w:p>
    <w:p w14:paraId="4FC70DBA">
      <w:pPr>
        <w:spacing w:line="240" w:lineRule="auto"/>
        <w:ind w:firstLine="0"/>
        <w:jc w:val="center"/>
        <w:rPr>
          <w:rFonts w:hint="default" w:ascii="Times New Roman" w:hAnsi="Times New Roman" w:cs="Times New Roman"/>
          <w:color w:val="auto"/>
          <w:sz w:val="28"/>
          <w:szCs w:val="28"/>
          <w:highlight w:val="none"/>
        </w:rPr>
      </w:pPr>
      <w:r>
        <w:rPr>
          <w:rFonts w:hint="default" w:ascii="Times New Roman" w:hAnsi="Times New Roman" w:eastAsia="Times New Roman"/>
          <w:b/>
          <w:bCs/>
          <w:color w:val="auto"/>
          <w:sz w:val="26"/>
          <w:szCs w:val="26"/>
          <w:highlight w:val="none"/>
          <w:lang w:val="en-US"/>
        </w:rPr>
        <w:t>T</w:t>
      </w:r>
      <w:r>
        <w:rPr>
          <w:rFonts w:ascii="Times New Roman" w:hAnsi="Times New Roman" w:eastAsia="Times New Roman"/>
          <w:b/>
          <w:bCs/>
          <w:color w:val="auto"/>
          <w:sz w:val="26"/>
          <w:szCs w:val="26"/>
          <w:highlight w:val="none"/>
        </w:rPr>
        <w:t>h</w:t>
      </w:r>
      <w:r>
        <w:rPr>
          <w:rFonts w:ascii="Times New Roman" w:hAnsi="Times New Roman" w:eastAsia="Times New Roman"/>
          <w:b/>
          <w:bCs/>
          <w:color w:val="auto"/>
          <w:sz w:val="26"/>
          <w:szCs w:val="26"/>
          <w:highlight w:val="none"/>
          <w:lang w:val="vi-VN"/>
        </w:rPr>
        <w:t>ủ tục h</w:t>
      </w:r>
      <w:r>
        <w:rPr>
          <w:rFonts w:ascii="Times New Roman" w:hAnsi="Times New Roman" w:eastAsia="Times New Roman"/>
          <w:b/>
          <w:bCs/>
          <w:color w:val="auto"/>
          <w:sz w:val="26"/>
          <w:szCs w:val="26"/>
          <w:highlight w:val="none"/>
        </w:rPr>
        <w:t>ành chính, vi</w:t>
      </w:r>
      <w:r>
        <w:rPr>
          <w:rFonts w:ascii="Times New Roman" w:hAnsi="Times New Roman" w:eastAsia="Times New Roman"/>
          <w:b/>
          <w:bCs/>
          <w:color w:val="auto"/>
          <w:sz w:val="26"/>
          <w:szCs w:val="26"/>
          <w:highlight w:val="none"/>
          <w:lang w:val="vi-VN"/>
        </w:rPr>
        <w:t>ệc ph</w:t>
      </w:r>
      <w:r>
        <w:rPr>
          <w:rFonts w:ascii="Times New Roman" w:hAnsi="Times New Roman" w:eastAsia="Times New Roman"/>
          <w:b/>
          <w:bCs/>
          <w:color w:val="auto"/>
          <w:sz w:val="26"/>
          <w:szCs w:val="26"/>
          <w:highlight w:val="none"/>
        </w:rPr>
        <w:t>ân quy</w:t>
      </w:r>
      <w:r>
        <w:rPr>
          <w:rFonts w:ascii="Times New Roman" w:hAnsi="Times New Roman" w:eastAsia="Times New Roman"/>
          <w:b/>
          <w:bCs/>
          <w:color w:val="auto"/>
          <w:sz w:val="26"/>
          <w:szCs w:val="26"/>
          <w:highlight w:val="none"/>
          <w:lang w:val="vi-VN"/>
        </w:rPr>
        <w:t>ền, ph</w:t>
      </w:r>
      <w:r>
        <w:rPr>
          <w:rFonts w:ascii="Times New Roman" w:hAnsi="Times New Roman" w:eastAsia="Times New Roman"/>
          <w:b/>
          <w:bCs/>
          <w:color w:val="auto"/>
          <w:sz w:val="26"/>
          <w:szCs w:val="26"/>
          <w:highlight w:val="none"/>
        </w:rPr>
        <w:t>ân c</w:t>
      </w:r>
      <w:r>
        <w:rPr>
          <w:rFonts w:ascii="Times New Roman" w:hAnsi="Times New Roman" w:eastAsia="Times New Roman"/>
          <w:b/>
          <w:bCs/>
          <w:color w:val="auto"/>
          <w:sz w:val="26"/>
          <w:szCs w:val="26"/>
          <w:highlight w:val="none"/>
          <w:lang w:val="vi-VN"/>
        </w:rPr>
        <w:t>ấp, việc ứng dụng, th</w:t>
      </w:r>
      <w:r>
        <w:rPr>
          <w:rFonts w:ascii="Times New Roman" w:hAnsi="Times New Roman" w:eastAsia="Times New Roman"/>
          <w:b/>
          <w:bCs/>
          <w:color w:val="auto"/>
          <w:sz w:val="26"/>
          <w:szCs w:val="26"/>
          <w:highlight w:val="none"/>
        </w:rPr>
        <w:t>úc đ</w:t>
      </w:r>
      <w:r>
        <w:rPr>
          <w:rFonts w:ascii="Times New Roman" w:hAnsi="Times New Roman" w:eastAsia="Times New Roman"/>
          <w:b/>
          <w:bCs/>
          <w:color w:val="auto"/>
          <w:sz w:val="26"/>
          <w:szCs w:val="26"/>
          <w:highlight w:val="none"/>
          <w:lang w:val="vi-VN"/>
        </w:rPr>
        <w:t>ẩy ph</w:t>
      </w:r>
      <w:r>
        <w:rPr>
          <w:rFonts w:ascii="Times New Roman" w:hAnsi="Times New Roman" w:eastAsia="Times New Roman"/>
          <w:b/>
          <w:bCs/>
          <w:color w:val="auto"/>
          <w:sz w:val="26"/>
          <w:szCs w:val="26"/>
          <w:highlight w:val="none"/>
        </w:rPr>
        <w:t>át tri</w:t>
      </w:r>
      <w:r>
        <w:rPr>
          <w:rFonts w:ascii="Times New Roman" w:hAnsi="Times New Roman" w:eastAsia="Times New Roman"/>
          <w:b/>
          <w:bCs/>
          <w:color w:val="auto"/>
          <w:sz w:val="26"/>
          <w:szCs w:val="26"/>
          <w:highlight w:val="none"/>
          <w:lang w:val="vi-VN"/>
        </w:rPr>
        <w:t>ển khoa học, c</w:t>
      </w:r>
      <w:r>
        <w:rPr>
          <w:rFonts w:ascii="Times New Roman" w:hAnsi="Times New Roman" w:eastAsia="Times New Roman"/>
          <w:b/>
          <w:bCs/>
          <w:color w:val="auto"/>
          <w:sz w:val="26"/>
          <w:szCs w:val="26"/>
          <w:highlight w:val="none"/>
        </w:rPr>
        <w:t>ông ngh</w:t>
      </w:r>
      <w:r>
        <w:rPr>
          <w:rFonts w:ascii="Times New Roman" w:hAnsi="Times New Roman" w:eastAsia="Times New Roman"/>
          <w:b/>
          <w:bCs/>
          <w:color w:val="auto"/>
          <w:sz w:val="26"/>
          <w:szCs w:val="26"/>
          <w:highlight w:val="none"/>
          <w:lang w:val="vi-VN"/>
        </w:rPr>
        <w:t>ệ, đổi mới s</w:t>
      </w:r>
      <w:r>
        <w:rPr>
          <w:rFonts w:ascii="Times New Roman" w:hAnsi="Times New Roman" w:eastAsia="Times New Roman"/>
          <w:b/>
          <w:bCs/>
          <w:color w:val="auto"/>
          <w:sz w:val="26"/>
          <w:szCs w:val="26"/>
          <w:highlight w:val="none"/>
        </w:rPr>
        <w:t>áng t</w:t>
      </w:r>
      <w:r>
        <w:rPr>
          <w:rFonts w:ascii="Times New Roman" w:hAnsi="Times New Roman" w:eastAsia="Times New Roman"/>
          <w:b/>
          <w:bCs/>
          <w:color w:val="auto"/>
          <w:sz w:val="26"/>
          <w:szCs w:val="26"/>
          <w:highlight w:val="none"/>
          <w:lang w:val="vi-VN"/>
        </w:rPr>
        <w:t>ạo v</w:t>
      </w:r>
      <w:r>
        <w:rPr>
          <w:rFonts w:ascii="Times New Roman" w:hAnsi="Times New Roman" w:eastAsia="Times New Roman"/>
          <w:b/>
          <w:bCs/>
          <w:color w:val="auto"/>
          <w:sz w:val="26"/>
          <w:szCs w:val="26"/>
          <w:highlight w:val="none"/>
        </w:rPr>
        <w:t>à chuy</w:t>
      </w:r>
      <w:r>
        <w:rPr>
          <w:rFonts w:ascii="Times New Roman" w:hAnsi="Times New Roman" w:eastAsia="Times New Roman"/>
          <w:b/>
          <w:bCs/>
          <w:color w:val="auto"/>
          <w:sz w:val="26"/>
          <w:szCs w:val="26"/>
          <w:highlight w:val="none"/>
          <w:lang w:val="vi-VN"/>
        </w:rPr>
        <w:t>ển đổi số, bảo đảm b</w:t>
      </w:r>
      <w:r>
        <w:rPr>
          <w:rFonts w:ascii="Times New Roman" w:hAnsi="Times New Roman" w:eastAsia="Times New Roman"/>
          <w:b/>
          <w:bCs/>
          <w:color w:val="auto"/>
          <w:sz w:val="26"/>
          <w:szCs w:val="26"/>
          <w:highlight w:val="none"/>
        </w:rPr>
        <w:t>ình đ</w:t>
      </w:r>
      <w:r>
        <w:rPr>
          <w:rFonts w:ascii="Times New Roman" w:hAnsi="Times New Roman" w:eastAsia="Times New Roman"/>
          <w:b/>
          <w:bCs/>
          <w:color w:val="auto"/>
          <w:sz w:val="26"/>
          <w:szCs w:val="26"/>
          <w:highlight w:val="none"/>
          <w:lang w:val="vi-VN"/>
        </w:rPr>
        <w:t>ẳng giới, việc thực hiện ch</w:t>
      </w:r>
      <w:r>
        <w:rPr>
          <w:rFonts w:ascii="Times New Roman" w:hAnsi="Times New Roman" w:eastAsia="Times New Roman"/>
          <w:b/>
          <w:bCs/>
          <w:color w:val="auto"/>
          <w:sz w:val="26"/>
          <w:szCs w:val="26"/>
          <w:highlight w:val="none"/>
        </w:rPr>
        <w:t>ính sách dân t</w:t>
      </w:r>
      <w:r>
        <w:rPr>
          <w:rFonts w:ascii="Times New Roman" w:hAnsi="Times New Roman" w:eastAsia="Times New Roman"/>
          <w:b/>
          <w:bCs/>
          <w:color w:val="auto"/>
          <w:sz w:val="26"/>
          <w:szCs w:val="26"/>
          <w:highlight w:val="none"/>
          <w:lang w:val="vi-VN"/>
        </w:rPr>
        <w:t xml:space="preserve">ộc trong </w:t>
      </w:r>
      <w:r>
        <w:rPr>
          <w:rFonts w:ascii="Times New Roman" w:hAnsi="Times New Roman" w:eastAsia="Times New Roman"/>
          <w:b/>
          <w:bCs/>
          <w:color w:val="auto"/>
          <w:sz w:val="26"/>
          <w:szCs w:val="26"/>
          <w:highlight w:val="none"/>
        </w:rPr>
        <w:t>d</w:t>
      </w:r>
      <w:r>
        <w:rPr>
          <w:rFonts w:ascii="Times New Roman" w:hAnsi="Times New Roman" w:eastAsia="Times New Roman"/>
          <w:b/>
          <w:bCs/>
          <w:color w:val="auto"/>
          <w:sz w:val="26"/>
          <w:szCs w:val="26"/>
          <w:highlight w:val="none"/>
          <w:lang w:val="vi-VN"/>
        </w:rPr>
        <w:t xml:space="preserve">ự thảo nghị quyết quy định chính sách hỗ trợ cho hộ gia đình lắp đặt điện mặt trời mái nhà tự sản xuất, tự tiêu thụ và hệ thống lưu trữ điện trên địa bàn thành phố </w:t>
      </w:r>
      <w:r>
        <w:rPr>
          <w:rFonts w:hint="default" w:ascii="Times New Roman" w:hAnsi="Times New Roman" w:eastAsia="Times New Roman"/>
          <w:b/>
          <w:bCs/>
          <w:color w:val="auto"/>
          <w:sz w:val="26"/>
          <w:szCs w:val="26"/>
          <w:highlight w:val="none"/>
          <w:lang w:val="en-US"/>
        </w:rPr>
        <w:t>Hải Phòng</w:t>
      </w:r>
    </w:p>
    <w:p w14:paraId="0B832C45">
      <w:pPr>
        <w:spacing w:before="40" w:line="247" w:lineRule="auto"/>
        <w:jc w:val="both"/>
        <w:rPr>
          <w:rFonts w:hint="default" w:ascii="Times New Roman" w:hAnsi="Times New Roman" w:cs="Times New Roman"/>
          <w:color w:val="auto"/>
          <w:szCs w:val="28"/>
          <w:highlight w:val="none"/>
        </w:rPr>
      </w:pPr>
      <w:r>
        <w:rPr>
          <w:rFonts w:hint="default" w:ascii="Times New Roman" w:hAnsi="Times New Roman" w:cs="Times New Roman"/>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2072005</wp:posOffset>
                </wp:positionH>
                <wp:positionV relativeFrom="paragraph">
                  <wp:posOffset>29210</wp:posOffset>
                </wp:positionV>
                <wp:extent cx="1628775" cy="0"/>
                <wp:effectExtent l="0" t="4445" r="0" b="5080"/>
                <wp:wrapNone/>
                <wp:docPr id="1" name="Straight Connector 1"/>
                <wp:cNvGraphicFramePr/>
                <a:graphic xmlns:a="http://schemas.openxmlformats.org/drawingml/2006/main">
                  <a:graphicData uri="http://schemas.microsoft.com/office/word/2010/wordprocessingShape">
                    <wps:wsp>
                      <wps:cNvCnPr/>
                      <wps:spPr>
                        <a:xfrm>
                          <a:off x="0" y="0"/>
                          <a:ext cx="1628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63.15pt;margin-top:2.3pt;height:0pt;width:128.25pt;z-index:251661312;mso-width-relative:page;mso-height-relative:page;" filled="f" stroked="t" coordsize="21600,21600" o:gfxdata="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HNK4MTVAAAABwEAAA8AAAAAAAAAAQAgAAAAIgAA&#10;AGRycy9kb3ducmV2LnhtbFBLAQIUABQAAAAIAIdO4kC5e/m/0gEAALQDAAAOAAAAAAAAAAEAIAAA&#10;ACQBAABkcnMvZTJvRG9jLnhtbFBLBQYAAAAABgAGAFkBAABoBQAAAAA=&#10;">
                <v:fill on="f" focussize="0,0"/>
                <v:stroke weight="0.5pt" color="#000000 [3200]" miterlimit="8" joinstyle="miter"/>
                <v:imagedata o:title=""/>
                <o:lock v:ext="edit" aspectratio="f"/>
              </v:line>
            </w:pict>
          </mc:Fallback>
        </mc:AlternateContent>
      </w:r>
    </w:p>
    <w:p w14:paraId="4F3A3813">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Thực hiện Luật Ban hành văn bản quy phạm pháp luật số 64/2025/QH15, được sửa đổi, bổ sung bởi Luật số 87/2025/QH15;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ngày 01/7/2025 của Chính phủ. Sở Công Thương tiến hành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Nghị quyết quy định chính sách hỗ trợ cho hộ gia đình lắp đặt điện mặt trời mái nhà tự sản xuất, tự tiêu thụ và hệ thống lưu trữ điện trên địa bàn </w:t>
      </w:r>
      <w:r>
        <w:rPr>
          <w:rFonts w:hint="default" w:ascii="Times New Roman" w:hAnsi="Times New Roman" w:cs="Times New Roman"/>
          <w:color w:val="auto"/>
          <w:sz w:val="28"/>
          <w:szCs w:val="28"/>
          <w:highlight w:val="none"/>
          <w:lang w:val="en-US"/>
        </w:rPr>
        <w:t>thành phố Hải Phòng</w:t>
      </w:r>
      <w:r>
        <w:rPr>
          <w:rFonts w:hint="default" w:ascii="Times New Roman" w:hAnsi="Times New Roman" w:cs="Times New Roman"/>
          <w:color w:val="auto"/>
          <w:sz w:val="28"/>
          <w:szCs w:val="28"/>
          <w:highlight w:val="none"/>
        </w:rPr>
        <w:t xml:space="preserve"> giai đoạn 202</w:t>
      </w:r>
      <w:r>
        <w:rPr>
          <w:rFonts w:hint="default" w:ascii="Times New Roman" w:hAnsi="Times New Roman" w:cs="Times New Roman"/>
          <w:color w:val="auto"/>
          <w:sz w:val="28"/>
          <w:szCs w:val="28"/>
          <w:highlight w:val="none"/>
          <w:lang w:val="en-US"/>
        </w:rPr>
        <w:t>7</w:t>
      </w:r>
      <w:r>
        <w:rPr>
          <w:rFonts w:hint="default" w:ascii="Times New Roman" w:hAnsi="Times New Roman" w:cs="Times New Roman"/>
          <w:color w:val="auto"/>
          <w:sz w:val="28"/>
          <w:szCs w:val="28"/>
          <w:highlight w:val="none"/>
        </w:rPr>
        <w:t xml:space="preserve"> - 2030. Kết quả như sau:</w:t>
      </w:r>
    </w:p>
    <w:p w14:paraId="0786128A">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I. TỔ CHỨC THỰC HIỆN ĐÁNH GIÁ</w:t>
      </w:r>
    </w:p>
    <w:p w14:paraId="3D81DF3F">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1. Bối cảnh xây dựng dự thảo văn bản quy phạm pháp luật</w:t>
      </w:r>
    </w:p>
    <w:p w14:paraId="3A5E46AF">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Việc phát triển nguồn điện tự sản xuất, tự tiêu thụ, nhất là điện mặt trời mái nhà tại hộ gia đình, phù hợp với chủ trương, định hướng của Đảng và Nhà nước về phát triển năng lượng tái tạo, năng lượng sạch, sử dụng năng lượng tiết kiệm và hiệu quả, bảo đảm an ninh năng lượng và thúc đẩy chuyển dịch năng lượng xanh, bền vững. Đối với hộ gia đình, điện mặt trời mái nhà tạo nguồn điện tại chỗ phục vụ nhu cầu sinh hoạt, góp phần giảm chi phí tiền điện, nâng cao khả năng tự chủ về năng lượng; đối với hệ thống điện, việc phát triển nguồn điện phân tán tại phụ tải góp phần giảm áp lực cung cấp điện từ hệ thống điện quốc gia, hạn chế tổn thất điện năng và giảm nhu cầu đầu tư bổ sung lưới điện ở một số khu vực.</w:t>
      </w:r>
    </w:p>
    <w:p w14:paraId="4DCA7666">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Khoản 2 Điều 22 Luật Điện lực số 61/2024/QH15 quy định: </w:t>
      </w:r>
      <w:r>
        <w:rPr>
          <w:rFonts w:hint="default" w:ascii="Times New Roman" w:hAnsi="Times New Roman" w:cs="Times New Roman"/>
          <w:i/>
          <w:iCs/>
          <w:color w:val="auto"/>
          <w:sz w:val="28"/>
          <w:szCs w:val="28"/>
          <w:highlight w:val="none"/>
        </w:rPr>
        <w:t>“Căn cứ khả năng kỹ thuật, điều kiện kinh tế và khả năng ngân sách nhà nước trong từng thời kỳ, Thủ tướng Chính phủ, Hội đồng nhân dân cấp tỉnh ban hành chính sách hỗ trợ cho hộ gia đình lắp đặt điện tự sản xuất, tự tiêu thụ như sau: a) Hỗ trợ về tài chính cho đầu tư lắp đặt điện mặt trời mái nhà và hệ thống lưu trữ điện; b) Hỗ trợ kỹ thuật về thiết kế, giải pháp bảo đảm an toàn chịu lực công trình, giải pháp</w:t>
      </w:r>
      <w:r>
        <w:rPr>
          <w:rFonts w:hint="default" w:ascii="Times New Roman" w:hAnsi="Times New Roman" w:cs="Times New Roman"/>
          <w:i/>
          <w:iCs/>
          <w:color w:val="auto"/>
          <w:sz w:val="28"/>
          <w:szCs w:val="28"/>
          <w:highlight w:val="none"/>
          <w:lang w:val="en-US"/>
        </w:rPr>
        <w:t xml:space="preserve"> </w:t>
      </w:r>
      <w:r>
        <w:rPr>
          <w:rFonts w:hint="default" w:ascii="Times New Roman" w:hAnsi="Times New Roman" w:cs="Times New Roman"/>
          <w:i/>
          <w:iCs/>
          <w:color w:val="auto"/>
          <w:sz w:val="28"/>
          <w:szCs w:val="28"/>
          <w:highlight w:val="none"/>
        </w:rPr>
        <w:t>phòng cháy, chữa cháy”</w:t>
      </w:r>
      <w:r>
        <w:rPr>
          <w:rFonts w:hint="default" w:ascii="Times New Roman" w:hAnsi="Times New Roman" w:cs="Times New Roman"/>
          <w:color w:val="auto"/>
          <w:sz w:val="28"/>
          <w:szCs w:val="28"/>
          <w:highlight w:val="none"/>
        </w:rPr>
        <w:t xml:space="preserve">. Đây là căn cứ pháp lý trực tiếp để Hội đồng nhân dân </w:t>
      </w:r>
      <w:r>
        <w:rPr>
          <w:rFonts w:hint="default" w:ascii="Times New Roman" w:hAnsi="Times New Roman" w:cs="Times New Roman"/>
          <w:color w:val="auto"/>
          <w:sz w:val="28"/>
          <w:szCs w:val="28"/>
          <w:highlight w:val="none"/>
          <w:lang w:val="en-US"/>
        </w:rPr>
        <w:t>thành phố Hải Phòng</w:t>
      </w:r>
      <w:r>
        <w:rPr>
          <w:rFonts w:hint="default" w:ascii="Times New Roman" w:hAnsi="Times New Roman" w:cs="Times New Roman"/>
          <w:color w:val="auto"/>
          <w:sz w:val="28"/>
          <w:szCs w:val="28"/>
          <w:highlight w:val="none"/>
        </w:rPr>
        <w:t xml:space="preserve"> ban hành Nghị quyết.</w:t>
      </w:r>
      <w:bookmarkStart w:id="0" w:name="khoan_2_22"/>
      <w:bookmarkEnd w:id="0"/>
    </w:p>
    <w:p w14:paraId="6B2D0430">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Quyết định số 768/QĐ-TTg ngày 15/4/2025 của Thủ tướng Chính phủ phê duyệt Điều chỉnh Quy hoạch phát triển điện lực quốc gia thời kỳ 2021 - 2030, tầm nhìn đến năm 2050 xác định mục tiêu phấn đấu đến năm 2030 có 50% nhà dân sử dụng điện mặt trời mái nhà tự sản xuất, tự tiêu thụ. Chỉ thị số 10/CT-TTg ngày 30/3/2026 của Thủ tướng Chính phủ tiếp tục đặt ra yêu cầu tăng cường thực thi tiết kiệm điện và phát triển điện mặt trời mái nhà, trong đó khuyến khích lắp đặt kết hợp hệ thống lưu trữ năng lượng nhằm giảm phụ tải giờ cao điểm và tăng khả năng tự chủ nguồn điện tại chỗ.</w:t>
      </w:r>
    </w:p>
    <w:p w14:paraId="02549CB6">
      <w:pPr>
        <w:spacing w:before="60" w:line="252" w:lineRule="auto"/>
        <w:ind w:firstLine="720"/>
        <w:jc w:val="both"/>
        <w:rPr>
          <w:rFonts w:hint="default" w:ascii="Times New Roman" w:hAnsi="Times New Roman" w:eastAsia="SimSun" w:cs="Times New Roman"/>
          <w:color w:val="auto"/>
          <w:sz w:val="28"/>
          <w:szCs w:val="28"/>
          <w:highlight w:val="none"/>
          <w:lang w:eastAsia="zh-CN"/>
        </w:rPr>
      </w:pPr>
      <w:r>
        <w:rPr>
          <w:rFonts w:hint="default" w:ascii="Times New Roman" w:hAnsi="Times New Roman" w:cs="Times New Roman"/>
          <w:color w:val="auto"/>
          <w:sz w:val="28"/>
          <w:szCs w:val="28"/>
          <w:highlight w:val="none"/>
        </w:rPr>
        <w:t xml:space="preserve">Theo số liệu của Công ty Điện lực </w:t>
      </w:r>
      <w:r>
        <w:rPr>
          <w:rFonts w:hint="default" w:ascii="Times New Roman" w:hAnsi="Times New Roman" w:cs="Times New Roman"/>
          <w:color w:val="auto"/>
          <w:sz w:val="28"/>
          <w:szCs w:val="28"/>
          <w:highlight w:val="none"/>
          <w:lang w:val="en-US"/>
        </w:rPr>
        <w:t>Hải Phòng, hiện nay thành phố</w:t>
      </w:r>
      <w:r>
        <w:rPr>
          <w:rFonts w:hint="default" w:ascii="Times New Roman" w:hAnsi="Times New Roman" w:cs="Times New Roman"/>
          <w:color w:val="auto"/>
          <w:sz w:val="28"/>
          <w:szCs w:val="28"/>
          <w:highlight w:val="none"/>
        </w:rPr>
        <w:t xml:space="preserve"> có </w:t>
      </w:r>
      <w:r>
        <w:rPr>
          <w:rFonts w:hint="default" w:ascii="Times New Roman" w:hAnsi="Times New Roman" w:cs="Times New Roman"/>
          <w:color w:val="auto"/>
          <w:sz w:val="28"/>
          <w:szCs w:val="28"/>
          <w:highlight w:val="none"/>
          <w:lang w:val="en-US"/>
        </w:rPr>
        <w:t>khoảng 1,09 triệu</w:t>
      </w:r>
      <w:r>
        <w:rPr>
          <w:rFonts w:hint="default" w:ascii="Times New Roman" w:hAnsi="Times New Roman" w:cs="Times New Roman"/>
          <w:color w:val="auto"/>
          <w:sz w:val="28"/>
          <w:szCs w:val="28"/>
          <w:highlight w:val="none"/>
        </w:rPr>
        <w:t xml:space="preserve"> hộ gia đình sử dụng điện nhưng mới có </w:t>
      </w:r>
      <w:r>
        <w:rPr>
          <w:rFonts w:hint="default" w:ascii="Times New Roman" w:hAnsi="Times New Roman" w:cs="Times New Roman"/>
          <w:color w:val="auto"/>
          <w:sz w:val="28"/>
          <w:szCs w:val="28"/>
          <w:highlight w:val="none"/>
          <w:lang w:val="en-US"/>
        </w:rPr>
        <w:t>2.050</w:t>
      </w:r>
      <w:r>
        <w:rPr>
          <w:rFonts w:hint="default" w:ascii="Times New Roman" w:hAnsi="Times New Roman" w:cs="Times New Roman"/>
          <w:color w:val="auto"/>
          <w:sz w:val="28"/>
          <w:szCs w:val="28"/>
          <w:highlight w:val="none"/>
        </w:rPr>
        <w:t xml:space="preserve"> hộ lắp đặt điện mặt trời mái nhà tự sản xuất, tự tiêu thụ, với tổng công suất khoảng </w:t>
      </w:r>
      <w:r>
        <w:rPr>
          <w:rFonts w:hint="default" w:ascii="Times New Roman" w:hAnsi="Times New Roman" w:cs="Times New Roman"/>
          <w:color w:val="auto"/>
          <w:sz w:val="28"/>
          <w:szCs w:val="28"/>
          <w:highlight w:val="none"/>
          <w:lang w:val="en-US"/>
        </w:rPr>
        <w:t>19</w:t>
      </w:r>
      <w:r>
        <w:rPr>
          <w:rFonts w:hint="default" w:ascii="Times New Roman" w:hAnsi="Times New Roman" w:cs="Times New Roman"/>
          <w:color w:val="auto"/>
          <w:sz w:val="28"/>
          <w:szCs w:val="28"/>
          <w:highlight w:val="none"/>
        </w:rPr>
        <w:t xml:space="preserve"> </w:t>
      </w:r>
      <w:r>
        <w:rPr>
          <w:rFonts w:hint="default" w:ascii="Times New Roman" w:hAnsi="Times New Roman" w:cs="Times New Roman"/>
          <w:color w:val="auto"/>
          <w:sz w:val="28"/>
          <w:szCs w:val="28"/>
          <w:highlight w:val="none"/>
          <w:lang w:val="en-US"/>
        </w:rPr>
        <w:t>M</w:t>
      </w:r>
      <w:r>
        <w:rPr>
          <w:rFonts w:hint="default" w:ascii="Times New Roman" w:hAnsi="Times New Roman" w:cs="Times New Roman"/>
          <w:color w:val="auto"/>
          <w:sz w:val="28"/>
          <w:szCs w:val="28"/>
          <w:highlight w:val="none"/>
        </w:rPr>
        <w:t>W. Số hộ đã lắp đặt mới chiếm khoảng 0,</w:t>
      </w:r>
      <w:r>
        <w:rPr>
          <w:rFonts w:hint="default" w:ascii="Times New Roman" w:hAnsi="Times New Roman" w:cs="Times New Roman"/>
          <w:color w:val="auto"/>
          <w:sz w:val="28"/>
          <w:szCs w:val="28"/>
          <w:highlight w:val="none"/>
          <w:lang w:val="en-US"/>
        </w:rPr>
        <w:t>19</w:t>
      </w:r>
      <w:r>
        <w:rPr>
          <w:rFonts w:hint="default" w:ascii="Times New Roman" w:hAnsi="Times New Roman" w:cs="Times New Roman"/>
          <w:color w:val="auto"/>
          <w:sz w:val="28"/>
          <w:szCs w:val="28"/>
          <w:highlight w:val="none"/>
        </w:rPr>
        <w:t xml:space="preserve">% tổng số hộ sử dụng điện, thấp hơn nhiều so với mục tiêu khoảng </w:t>
      </w:r>
      <w:r>
        <w:rPr>
          <w:rFonts w:hint="default" w:ascii="Times New Roman" w:hAnsi="Times New Roman" w:cs="Times New Roman"/>
          <w:color w:val="auto"/>
          <w:sz w:val="28"/>
          <w:szCs w:val="28"/>
          <w:highlight w:val="none"/>
          <w:lang w:val="en-US"/>
        </w:rPr>
        <w:t>5</w:t>
      </w:r>
      <w:r>
        <w:rPr>
          <w:rFonts w:hint="default" w:ascii="Times New Roman" w:hAnsi="Times New Roman" w:cs="Times New Roman"/>
          <w:color w:val="auto"/>
          <w:sz w:val="28"/>
          <w:szCs w:val="28"/>
          <w:highlight w:val="none"/>
        </w:rPr>
        <w:t>0% hộ gia đình vào năm 2030.</w:t>
      </w:r>
      <w:r>
        <w:rPr>
          <w:rFonts w:hint="default" w:ascii="Times New Roman" w:hAnsi="Times New Roman" w:cs="Times New Roman"/>
          <w:color w:val="auto"/>
          <w:sz w:val="28"/>
          <w:szCs w:val="28"/>
          <w:highlight w:val="none"/>
          <w:lang w:val="en-US"/>
        </w:rPr>
        <w:t xml:space="preserve"> Ngoài ra,  c</w:t>
      </w:r>
      <w:r>
        <w:rPr>
          <w:rFonts w:hint="default" w:ascii="Times New Roman" w:hAnsi="Times New Roman" w:cs="Times New Roman"/>
          <w:color w:val="auto"/>
          <w:sz w:val="28"/>
          <w:szCs w:val="28"/>
          <w:highlight w:val="none"/>
        </w:rPr>
        <w:t>hi phí đầu tư ban đầu và chi phí hệ thống lưu trữ còn cao; người dân còn thiếu thông tin về hiệu quả kinh tế, vận hành, bảo trì, an toàn điện, khả năng chịu lực công trình, phòng cháy, chữa cháy và thủ tục phát triển nguồn điện. Do đó, cần có chính sách hỗ trợ tài chính và kỹ thuật ban đầu để khuyến khích hộ gia đình đầu tư, lắp đặt, vận hành hệ thống an toàn, hiệu quả, đúng mục đích tự sản xuất, tự tiêu thụ</w:t>
      </w:r>
    </w:p>
    <w:p w14:paraId="6087550A">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eastAsia="SimSun" w:cs="Times New Roman"/>
          <w:color w:val="auto"/>
          <w:sz w:val="28"/>
          <w:szCs w:val="28"/>
          <w:highlight w:val="none"/>
          <w:lang w:eastAsia="zh-CN"/>
        </w:rPr>
        <w:t>Trên cơ sở đó, thành phố Hải Phòng cần ban hành một Nghị quyết của Hội đồng nhân dân thành phố quy định chính sách hỗ trợ cho hộ gia đình lắp đặt điện mặt trời mái nhà tự sản xuất, tự tiêu thụ và hệ thống lưu trữ điện trên địa bàn thành phố nhằm cụ thể hóa thẩm quyền được giao tại khoản 2 Điều 22 của Luật Điện lực ngày 30/11/2024, đồng thời khuyến khích, đẩy mạnh việc lắp đặt điện mặt trời mái nhà tự sản xuất, tự tiêu thụ đối với các hộ gia đình trên địa bàn thành phố để đáp ứng nhu cầu sử dụng điện của hộ gia đình, giảm tải lên hệ thống lưới điện</w:t>
      </w:r>
      <w:r>
        <w:rPr>
          <w:rFonts w:hint="default" w:ascii="Times New Roman" w:hAnsi="Times New Roman" w:cs="Times New Roman"/>
          <w:color w:val="auto"/>
          <w:sz w:val="28"/>
          <w:szCs w:val="28"/>
          <w:highlight w:val="none"/>
        </w:rPr>
        <w:t>.</w:t>
      </w:r>
    </w:p>
    <w:p w14:paraId="42C004AC">
      <w:pPr>
        <w:spacing w:before="40" w:line="247" w:lineRule="auto"/>
        <w:ind w:left="0" w:leftChars="0" w:firstLine="658" w:firstLineChars="235"/>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2. Mục đích, yêu cầu đánh giá</w:t>
      </w:r>
    </w:p>
    <w:p w14:paraId="5B80154C">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Việc đánh giá được thực hiện nhằm bảo đảm dự thảo Nghị quyết tuân thủ đúng quy định của Luật Ban hành văn bản quy phạm pháp luật; bảo đảm thủ tục hành chính nếu được quy định là thật sự cần thiết, hợp pháp, hợp lý, đơn giản, công khai, minh bạch, thuận lợi cho người dân và đáp ứng yêu cầu quản lý ngân sách nhà nước.</w:t>
      </w:r>
    </w:p>
    <w:p w14:paraId="5BBDE424">
      <w:pPr>
        <w:spacing w:before="40" w:line="247" w:lineRule="auto"/>
        <w:ind w:left="0" w:leftChars="0" w:firstLine="648" w:firstLineChars="235"/>
        <w:jc w:val="both"/>
        <w:rPr>
          <w:rFonts w:hint="default" w:ascii="Times New Roman" w:hAnsi="Times New Roman" w:cs="Times New Roman"/>
          <w:color w:val="auto"/>
          <w:spacing w:val="-2"/>
          <w:sz w:val="28"/>
          <w:szCs w:val="28"/>
          <w:highlight w:val="none"/>
        </w:rPr>
      </w:pPr>
      <w:r>
        <w:rPr>
          <w:rFonts w:hint="default" w:ascii="Times New Roman" w:hAnsi="Times New Roman" w:cs="Times New Roman"/>
          <w:color w:val="auto"/>
          <w:spacing w:val="-2"/>
          <w:sz w:val="28"/>
          <w:szCs w:val="28"/>
          <w:highlight w:val="none"/>
        </w:rPr>
        <w:t>Đánh giá nhằm xác định rõ các nội dung phân quyền, phân cấp trong tổ chức thực hiện phù hợp với mô hình chính quyền địa phương 2 cấp sau sắp xếp đơn vị hành chính, tránh chồng chéo, phân tán trách nhiệm và nguồn lực.</w:t>
      </w:r>
    </w:p>
    <w:p w14:paraId="1EE6299F">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Đánh giá tác động của dự thảo đối với việc ứng dụng, thúc đẩy phát triển khoa học, công nghệ, đổi mới sáng tạo và chuyển đổi số; bảo đảm việc tiếp nhận, giải quyết hồ sơ, công khai kết quả, quản lý dữ liệu hỗ trợ có thể thực hiện trên môi trường điện tử, phù hợp định hướng cải cách thủ tục hành chính, chính quyền số và chuyển đổi số trong quản lý nhà nước về năng lượng.</w:t>
      </w:r>
    </w:p>
    <w:p w14:paraId="7ED78BDB">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Đánh giá việc bảo đảm bình đẳng giới và thực hiện chính sách dân tộc để bảo đảm chính sách hỗ trợ được tiếp cận công bằng, không tạo ra rào cản hoặc sự phân biệt bất lợi đối với nam, nữ, người đại diện hộ gia đình, hộ nghèo, hộ cận nghèo, hộ có hoàn cảnh khó khăn, hộ đồng bào dân tộc thiểu số, hộ sinh sống ở khu vực miền núi, vùng sâu, vùng xa hoặc khu vực còn hạn chế trong tiếp cận thông tin.</w:t>
      </w:r>
    </w:p>
    <w:p w14:paraId="2E1D3B42">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Đáp ứng yêu cầu quản lý nhà nước đối với các hoạt động hỗ trợ về phát triển điện mặt trời mái nhà tự sản xuất, tự tiêu thụ và hệ thống lưu trữ điện của hộ gia đình trên địa bàn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w:t>
      </w:r>
    </w:p>
    <w:p w14:paraId="32771FA1">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Thủ tục hành chính quy định trong Dự thảo phải là biện pháp tối ưu trong các biện pháp có thể được thực hiện để bảo đảm yêu cầu quản lý nhà nước và bảo đảm quyền, nghĩa vụ và lợi ích hợp pháp của cá nhân, tổ chức trong hoạt động hỗ trợ hộ gia đình lắp đặt điện mặt trời mái nhà tự sản xuất, tự tiêu thụ và hệ thống lưu trữ điện trên địa bàn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w:t>
      </w:r>
    </w:p>
    <w:p w14:paraId="1F05365C">
      <w:pPr>
        <w:spacing w:before="40" w:line="247" w:lineRule="auto"/>
        <w:ind w:left="0" w:leftChars="0" w:firstLine="639" w:firstLineChars="235"/>
        <w:jc w:val="both"/>
        <w:rPr>
          <w:rFonts w:hint="default" w:ascii="Times New Roman" w:hAnsi="Times New Roman" w:cs="Times New Roman"/>
          <w:color w:val="auto"/>
          <w:spacing w:val="-4"/>
          <w:sz w:val="28"/>
          <w:szCs w:val="28"/>
          <w:highlight w:val="none"/>
        </w:rPr>
      </w:pPr>
      <w:r>
        <w:rPr>
          <w:rFonts w:hint="default" w:ascii="Times New Roman" w:hAnsi="Times New Roman" w:cs="Times New Roman"/>
          <w:color w:val="auto"/>
          <w:spacing w:val="-4"/>
          <w:sz w:val="28"/>
          <w:szCs w:val="28"/>
          <w:highlight w:val="none"/>
        </w:rPr>
        <w:t xml:space="preserve">Đánh giá được thực hiện trên nguyên tắc bám sát nội dung dự thảo Nghị quyết, kết quả lấy ý kiến các cơ quan, tổ chức, địa phương; bảo đảm tính khách quan, khả thi, có căn cứ pháp lý và phù hợp điều kiện thực tiễn của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pacing w:val="-4"/>
          <w:sz w:val="28"/>
          <w:szCs w:val="28"/>
          <w:highlight w:val="none"/>
        </w:rPr>
        <w:t>.</w:t>
      </w:r>
    </w:p>
    <w:p w14:paraId="26033D37">
      <w:pPr>
        <w:spacing w:before="40" w:line="247" w:lineRule="auto"/>
        <w:ind w:left="0" w:leftChars="0" w:firstLine="658" w:firstLineChars="235"/>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II. KẾT QUẢ ĐÁNH GIÁ</w:t>
      </w:r>
    </w:p>
    <w:p w14:paraId="65503FFE">
      <w:pPr>
        <w:spacing w:before="40" w:line="247" w:lineRule="auto"/>
        <w:ind w:left="0" w:leftChars="0" w:firstLine="658" w:firstLineChars="235"/>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1. Đánh giá thủ tục hành chính</w:t>
      </w:r>
    </w:p>
    <w:p w14:paraId="52B3EB62">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Dự thảo Nghị quyết có quy định 01 thủ tục hành chính mới: “Thủ tục đề nghị hỗ trợ kinh phí lắp đặt hệ thống điện mặt trời mái nhà tự sản xuất, tự tiêu thụ và hệ thống lưu trữ điện cho hộ gia đình”. Thủ tục này được quy định chủ yếu tại Điều 6, Điều 8 và Điều 9 của dự thảo Nghị quyết.</w:t>
      </w:r>
    </w:p>
    <w:p w14:paraId="5B59EEF5">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Thủ tục hành chính nêu trên phát sinh do chính sách hỗ trợ, sử dụng ngân sách nhà nước để hỗ trợ trực tiếp cho hộ gia đình sau khi hệ thống điện mặt trời hộ gia đình hoàn thành lắp đặt, đưa vào vận hành và đáp ứng các điều kiện theo dự thảo Nghị quyết. Việc quy định thủ tục là cần thiết để xác định rõ đối tượng thụ hưởng, điều kiện hỗ trợ, thành phần hồ sơ, cơ quan thực hiện, trình tự kiểm tra, phê duyệt, công khai kết quả, theo dõi sau hỗ trợ và thu hồi kinh phí hỗ trợ khi phát sinh vi phạm.</w:t>
      </w:r>
    </w:p>
    <w:p w14:paraId="24311D79">
      <w:pPr>
        <w:spacing w:before="40" w:line="247" w:lineRule="auto"/>
        <w:jc w:val="center"/>
        <w:rPr>
          <w:rFonts w:hint="default" w:ascii="Times New Roman" w:hAnsi="Times New Roman" w:cs="Times New Roman"/>
          <w:color w:val="auto"/>
          <w:sz w:val="28"/>
          <w:szCs w:val="28"/>
          <w:highlight w:val="none"/>
        </w:rPr>
      </w:pPr>
      <w:r>
        <w:rPr>
          <w:rFonts w:hint="default" w:ascii="Times New Roman" w:hAnsi="Times New Roman" w:cs="Times New Roman"/>
          <w:i/>
          <w:color w:val="auto"/>
          <w:sz w:val="28"/>
          <w:szCs w:val="28"/>
          <w:highlight w:val="none"/>
        </w:rPr>
        <w:t>Bảng tóm tắt nội dung thủ tục hành chính dự kiến quy định trong dự thảo Nghị quyết:</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6344"/>
      </w:tblGrid>
      <w:tr w14:paraId="0089B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0B447716">
            <w:pPr>
              <w:spacing w:before="40" w:line="247" w:lineRule="auto"/>
              <w:ind w:firstLine="0"/>
              <w:jc w:val="center"/>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Nội dung</w:t>
            </w:r>
          </w:p>
        </w:tc>
        <w:tc>
          <w:tcPr>
            <w:tcW w:w="6344" w:type="dxa"/>
            <w:vAlign w:val="center"/>
          </w:tcPr>
          <w:p w14:paraId="5C994F72">
            <w:pPr>
              <w:spacing w:before="40" w:line="247" w:lineRule="auto"/>
              <w:ind w:firstLine="0"/>
              <w:jc w:val="center"/>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Dự kiến quy định</w:t>
            </w:r>
          </w:p>
        </w:tc>
      </w:tr>
      <w:tr w14:paraId="6ADE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3ED9DE7B">
            <w:pPr>
              <w:spacing w:before="40" w:line="247" w:lineRule="auto"/>
              <w:ind w:firstLine="0"/>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Tên thủ tục</w:t>
            </w:r>
          </w:p>
        </w:tc>
        <w:tc>
          <w:tcPr>
            <w:tcW w:w="6344" w:type="dxa"/>
            <w:vAlign w:val="center"/>
          </w:tcPr>
          <w:p w14:paraId="4738D8B8">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Thủ tục đề nghị hỗ trợ kinh phí lắp đặt hệ thống điện mặt trời mái nhà tự sản xuất, tự tiêu thụ và hệ thống lưu trữ điện cho hộ gia đình.</w:t>
            </w:r>
          </w:p>
        </w:tc>
      </w:tr>
      <w:tr w14:paraId="4150F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0548301E">
            <w:pPr>
              <w:spacing w:before="40" w:line="247" w:lineRule="auto"/>
              <w:ind w:firstLine="0"/>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Đối tượng thực hiện</w:t>
            </w:r>
          </w:p>
        </w:tc>
        <w:tc>
          <w:tcPr>
            <w:tcW w:w="6344" w:type="dxa"/>
            <w:vAlign w:val="center"/>
          </w:tcPr>
          <w:p w14:paraId="3D6AB28F">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Chủ hộ là cá nhân đại diện cho hộ gia đình thực hiện thủ tục đề nghị hỗ trợ. Chủ hộ phải là chủ sở hữu nhà ở riêng lẻ nơi lắp đặt hệ thống điện mặt trời mái nhà hoặc là người được các chủ sở hữu nhà ở riêng lẻ ủy quyền, thống nhất giao thực hiện thủ tục theo quy định của pháp luật.</w:t>
            </w:r>
          </w:p>
        </w:tc>
      </w:tr>
      <w:tr w14:paraId="3F6D3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597842A1">
            <w:pPr>
              <w:spacing w:before="40" w:line="247" w:lineRule="auto"/>
              <w:ind w:firstLine="0"/>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Cơ quan thực hiện</w:t>
            </w:r>
          </w:p>
        </w:tc>
        <w:tc>
          <w:tcPr>
            <w:tcW w:w="6344" w:type="dxa"/>
            <w:vAlign w:val="center"/>
          </w:tcPr>
          <w:p w14:paraId="75A11345">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Ủy ban nhân dân cấp xã nơi Chủ hộ lắp đặt hệ thống điện mặt trời hộ gia đình.</w:t>
            </w:r>
          </w:p>
        </w:tc>
      </w:tr>
      <w:tr w14:paraId="2A3A6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5BDB3BBF">
            <w:pPr>
              <w:spacing w:before="40" w:line="247" w:lineRule="auto"/>
              <w:ind w:firstLine="0"/>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Thành phần hồ sơ chính</w:t>
            </w:r>
          </w:p>
        </w:tc>
        <w:tc>
          <w:tcPr>
            <w:tcW w:w="6344" w:type="dxa"/>
            <w:vAlign w:val="center"/>
          </w:tcPr>
          <w:p w14:paraId="657D7A9A">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Đơn đề nghị hỗ trợ kinh phí lắp đặt của Chủ hộ theo Mẫu số 01;</w:t>
            </w:r>
          </w:p>
          <w:p w14:paraId="19D55AFC">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Bản sao không bắt buộc chứng thực Thông báo phát triển nguồn điện hoặc Giấy chứng nhận đăng ký phát triển nguồn điện mặt trời mái nhà tự sản xuất, tự tiêu thụ, đối với trường hợp pháp luật quy định phải thông báo hoặc đăng ký;</w:t>
            </w:r>
          </w:p>
          <w:p w14:paraId="291044BF">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Tài liệu chứng minh hệ thống điện mặt trời mái nhà và hệ thống lưu trữ điện (nếu có) đã hoàn thành lắp đặt, đưa vào vận hành, trong đó thể hiện địa điểm lắp đặt, tổng công suất định mức của các bộ chuyển đổi nghịch lưu và tổng dung lượng hệ thống lưu trữ điện;</w:t>
            </w:r>
          </w:p>
          <w:p w14:paraId="65CDFB9B">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Văn bản ủy quyền hoặc văn bản thống nhất của các đồng chủ sở hữu nhà ở riêng lẻ cho Chủ hộ thực hiện thủ tục đề nghị hỗ trợ, trong trường hợp nhà ở riêng lẻ thuộc sở hữu chung của nhiều người.</w:t>
            </w:r>
          </w:p>
        </w:tc>
      </w:tr>
      <w:tr w14:paraId="57A6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1C92C7EA">
            <w:pPr>
              <w:spacing w:before="40" w:line="247" w:lineRule="auto"/>
              <w:ind w:firstLine="0"/>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Hình thức nộp hồ sơ</w:t>
            </w:r>
          </w:p>
        </w:tc>
        <w:tc>
          <w:tcPr>
            <w:tcW w:w="6344" w:type="dxa"/>
            <w:vAlign w:val="center"/>
          </w:tcPr>
          <w:p w14:paraId="460C0EF6">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Nộp trực tiếp tại Trung tâm Phục vụ hành chính công hoặc Bộ phận Một cửa; nộp qua dịch vụ bưu chính công ích; nộp trực tuyến trên Hệ thống thông tin giải quyết thủ tục hành chính của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xml:space="preserve"> hoặc Cổng dịch vụ công quốc gia khi đáp ứng điều kiện thực hiện trên môi trường điện tử.</w:t>
            </w:r>
          </w:p>
        </w:tc>
      </w:tr>
      <w:tr w14:paraId="4981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32525C00">
            <w:pPr>
              <w:spacing w:before="40" w:line="247" w:lineRule="auto"/>
              <w:ind w:firstLine="0"/>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Số lượng hồ sơ</w:t>
            </w:r>
          </w:p>
        </w:tc>
        <w:tc>
          <w:tcPr>
            <w:tcW w:w="6344" w:type="dxa"/>
            <w:vAlign w:val="center"/>
          </w:tcPr>
          <w:p w14:paraId="1CA0379B">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01 bộ.</w:t>
            </w:r>
          </w:p>
        </w:tc>
      </w:tr>
      <w:tr w14:paraId="4D80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19618676">
            <w:pPr>
              <w:spacing w:before="40" w:line="247" w:lineRule="auto"/>
              <w:ind w:firstLine="0"/>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Thời hạn giải quyết</w:t>
            </w:r>
          </w:p>
        </w:tc>
        <w:tc>
          <w:tcPr>
            <w:tcW w:w="6344" w:type="dxa"/>
            <w:vAlign w:val="center"/>
          </w:tcPr>
          <w:p w14:paraId="43EB662E">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Tiếp nhận hồ sơ trong thời gian đã công bố tại kế hoạch hằng năm; kết thúc khi hết thời hạn tiếp nhận theo kế hoạch.</w:t>
            </w:r>
          </w:p>
          <w:p w14:paraId="38BBCBA7">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Thông báo trả hồ sơ chưa đầy đủ hoặc chưa hợp lệ trong 03 ngày làm việc kể từ ngày tiếp nhận.</w:t>
            </w:r>
          </w:p>
          <w:p w14:paraId="17809073">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Kiểm tra điều kiện hỗ trợ trong 10 ngày làm việc kể từ ngày nhận được hồ sơ đầy đủ, hợp lệ.</w:t>
            </w:r>
          </w:p>
          <w:p w14:paraId="7384ECE4">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Sau khi kết thúc thời gian tiếp nhận và hoàn thành kiểm tra điều kiện hỗ trợ, trong 05 ngày làm việc, ban hành Quyết định phê duyệt hoặc thông báo bằng văn bản theo quy định.</w:t>
            </w:r>
          </w:p>
        </w:tc>
      </w:tr>
      <w:tr w14:paraId="29C3C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65908B33">
            <w:pPr>
              <w:spacing w:before="40" w:line="247" w:lineRule="auto"/>
              <w:ind w:firstLine="0"/>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Kết quả giải quyết</w:t>
            </w:r>
          </w:p>
        </w:tc>
        <w:tc>
          <w:tcPr>
            <w:tcW w:w="6344" w:type="dxa"/>
            <w:vAlign w:val="center"/>
          </w:tcPr>
          <w:p w14:paraId="4713A896">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Quyết định phê duyệt kinh phí hỗ trợ đối với hồ sơ đáp ứng đầy đủ điều kiện, đúng thứ tự ưu tiên và còn trong phạm vi kinh phí, số lượng hộ theo kế hoạch hằng năm;</w:t>
            </w:r>
          </w:p>
          <w:p w14:paraId="58376625">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Thông báo bằng văn bản, nêu rõ lý do đối với hồ sơ không đáp ứng điều kiện;</w:t>
            </w:r>
          </w:p>
          <w:p w14:paraId="75391411">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Thông báo bằng văn bản đối với hồ sơ đáp ứng điều kiện nhưng đã hết kinh phí hoặc đạt số lượng hộ theo kế hoạch. Chủ hộ được đăng ký đề nghị hỗ trợ trong năm kế hoạch tiếp theo nếu hệ thống vẫn đáp ứng đầy đủ điều kiện.</w:t>
            </w:r>
          </w:p>
        </w:tc>
      </w:tr>
      <w:tr w14:paraId="3331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571B36A0">
            <w:pPr>
              <w:spacing w:before="40" w:line="247" w:lineRule="auto"/>
              <w:ind w:firstLine="0"/>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Phí, lệ phí</w:t>
            </w:r>
          </w:p>
        </w:tc>
        <w:tc>
          <w:tcPr>
            <w:tcW w:w="6344" w:type="dxa"/>
            <w:vAlign w:val="center"/>
          </w:tcPr>
          <w:p w14:paraId="4A0B6BBF">
            <w:pPr>
              <w:spacing w:before="40" w:line="247"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Không quy định phí, lệ phí.</w:t>
            </w:r>
          </w:p>
        </w:tc>
      </w:tr>
    </w:tbl>
    <w:p w14:paraId="49684850">
      <w:pPr>
        <w:spacing w:before="40" w:line="247" w:lineRule="auto"/>
        <w:jc w:val="both"/>
        <w:rPr>
          <w:rFonts w:hint="default" w:ascii="Times New Roman" w:hAnsi="Times New Roman" w:cs="Times New Roman"/>
          <w:b/>
          <w:color w:val="auto"/>
          <w:szCs w:val="28"/>
          <w:highlight w:val="none"/>
        </w:rPr>
      </w:pPr>
    </w:p>
    <w:p w14:paraId="05690DE3">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1.1. Sự cần thiết của thủ tục hành chính</w:t>
      </w:r>
    </w:p>
    <w:p w14:paraId="734D5154">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Chính sách hỗ trợ kinh phí lắp đặt hệ thống điện mặt trời hộ gia đình là chính sách hỗ trợ trực tiếp từ ngân sách nhà nước. Do đó, việc quy định thủ tục hành chính là cần thiết nhằm xác định rõ đối tượng, điều kiện, mức hỗ trợ, trình tự thực hiện, trách nhiệm của cơ quan giải quyết và trách nhiệm của hộ gia đình; đồng thời bảo đảm việc lựa chọn, phê duyệt hồ sơ đúng thứ tự ưu tiên, trong phạm vi kinh phí và số lượng hộ gia đình được hỗ trợ theo kế hoạch hằng năm, không làm phát sinh nghĩa vụ chi ngoài dự toán được giao.</w:t>
      </w:r>
    </w:p>
    <w:p w14:paraId="6AC0E6B9">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Việc quy định thủ tục hành chính tạo cơ sở pháp lý thống nhất để cơ quan nhà nước tiếp nhận, kiểm tra hồ sơ, xác định điều kiện hỗ trợ, phê duyệt kinh phí hỗ trợ, công khai kết quả, quyết toán ngân sách và kiểm tra sau hỗ trợ. Đồng thời, đây cũng là căn cứ để xử lý, thu hồi kinh phí hỗ trợ trong trường hợp Chủ hộ cung cấp thông tin, hồ sơ không trung thực, không đúng thực tế; không thực hiện đúng cam kết về mục đích đầu tư, lắp đặt, khai thác, sử dụng hệ thống điện mặt trời hộ gia đình theo quy định.</w:t>
      </w:r>
    </w:p>
    <w:p w14:paraId="05602971">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Bên cạnh đó, thủ tục hành chính giúp kiểm soát nguy cơ trục lợi chính sách, ngăn ngừa việc hỗ trợ trùng lặp đối với cùng một hệ thống điện mặt trời hộ gia đình, bảo đảm mỗi hệ thống trên địa bàn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xml:space="preserve"> chỉ được hỗ trợ tài chính một lần trong thời gian hiệu lực của Nghị quyết. Việc quy định rõ trình tự, hồ sơ và trách nhiệm giải quyết còn tạo điều kiện để Ủy ban nhân dân cấp xã cập nhật, công khai kết quả thực hiện chính sách, phục vụ công tác theo dõi, giám sát của người dân, Hội đồng nhân dân và các cơ quan quản lý nhà nước có liên quan.</w:t>
      </w:r>
    </w:p>
    <w:p w14:paraId="55228C8C">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1.2. Tính hợp pháp của thủ tục hành chính</w:t>
      </w:r>
    </w:p>
    <w:p w14:paraId="2976AF0D">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Thủ tục hành chính được quy định nhằm cụ thể hóa thẩm quyền của Hội đồng nhân dân cấp tỉnh tại khoản 2 Điều 22 Luật Điện lực số 61/2024/QH15 về ban hành chính sách hỗ trợ cho hộ gia đình lắp đặt điện tự sản xuất, tự tiêu thụ. Nội dung hỗ trợ bao gồm hỗ trợ tài chính cho đầu tư lắp đặt điện mặt trời mái nhà và hệ thống lưu trữ điện; hỗ trợ kỹ thuật về thiết kế, giải pháp bảo đảm an toàn chịu lực công trình, giải pháp phòng cháy, chữa cháy.</w:t>
      </w:r>
    </w:p>
    <w:p w14:paraId="4926578B">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Việc quy định thành phần hồ sơ, trình tự, thời hạn giải quyết, cơ quan thực hiện trong dự thảo Nghị quyết nhằm bảo đảm quản lý ngân sách nhà nước, phù hợp nguyên tắc công khai, minh bạch, đúng đối tượng, đúng mục đích, tránh trục lợi chính sách. Thủ tục không đặt ra phí, lệ phí; không hạn chế quyền, lợi ích hợp pháp của người dân; không đặt ra điều kiện ngoài phạm vi chính sách hỗ trợ và điều kiện quản lý nhà nước về phát triển điện mặt trời mái nhà tự sản xuất, tự tiêu thụ.</w:t>
      </w:r>
    </w:p>
    <w:p w14:paraId="74A7812B">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Các giấy tờ trong thành phần hồ sơ gắn trực tiếp với việc chứng minh điều kiện hỗ trợ, gồm: Đơn đề nghị hỗ trợ; bản sao không bắt buộc chứng thực Thông báo phát triển nguồn điện hoặc Giấy chứng nhận đăng ký phát triển nguồn điện đối với trường hợp pháp luật quy định phải thông báo hoặc đăng ký; tài liệu chứng minh hệ thống đã hoàn thành lắp đặt, đưa vào vận hành và thể hiện các thông số làm căn cứ tính hỗ trợ; văn bản ủy quyền hoặc văn bản thống nhất của các đồng chủ sở hữu nhà ở riêng lẻ trong trường hợp nhà ở thuộc sở hữu chung. Các giấy tờ này phù hợp phạm vi quản lý và không làm phát sinh thành phần hồ sơ ngoài Điều 8 dự thảo Nghị quyết.</w:t>
      </w:r>
    </w:p>
    <w:p w14:paraId="1E84A2A3">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1.3. Tính hợp lý, đơn giản, minh bạch của thủ tục hành chính</w:t>
      </w:r>
    </w:p>
    <w:p w14:paraId="344E8C88">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Thành phần hồ sơ được rà soát, tinh gọn, gồm: Đơn đề nghị hỗ trợ; bản sao không bắt buộc chứng thực Thông báo hoặc Giấy chứng nhận đăng ký phát triển nguồn điện trong trường hợp pháp luật yêu cầu; tài liệu chứng minh hệ thống đã hoàn thành lắp đặt, đưa vào vận hành và thể hiện địa điểm lắp đặt, tổng công suất định mức của các bộ chuyển đổi nghịch lưu, tổng dung lượng hệ thống lưu trữ điện; văn bản ủy quyền hoặc văn bản thống nhất trong trường hợp nhà ở riêng lẻ thuộc sở hữu chung. Dự thảo không quy định hợp đồng mua bán điện hoặc thỏa thuận đấu nối là thành phần hồ sơ.</w:t>
      </w:r>
    </w:p>
    <w:p w14:paraId="0618B7FB">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Trường hợp thông tin, giấy tờ đã có trong Cổng dịch vụ công quốc gia, Hệ thống thông tin giải quyết thủ tục hành chính của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cơ sở dữ liệu quốc gia hoặc cơ sở dữ liệu chuyên ngành được chia sẻ, khai thác theo quy định thì cơ quan giải quyết không yêu cầu Chủ hộ cung cấp lại. Quy định này góp phần hạn chế việc nộp lại giấy tờ, thúc đẩy khai thác dữ liệu số và đơn giản hóa thủ tục cho người dân.</w:t>
      </w:r>
    </w:p>
    <w:p w14:paraId="29A03FF3">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Hình thức nộp hồ sơ được quy định đa dạng, bao gồm nộp trực tiếp, qua dịch vụ bưu chính công ích hoặc nộp trực tuyến khi đáp ứng điều kiện thực hiện trên môi trường điện tử. Việc tiếp nhận hồ sơ được thực hiện trong thời gian công bố theo kế hoạch hằng năm đến hết thời hạn tiếp nhận theo kế hoạch. Thời hạn giải quyết được xác định cụ thể cho từng bước; trường hợp hồ sơ chưa đầy đủ hoặc chưa hợp lệ thì cơ quan giải quyết thông báo trả hồ sơ và nêu rõ nội dung cần bổ sung; trường hợp hồ sơ đáp ứng điều kiện nhưng đã hết kinh phí hoặc đạt số lượng được hỗ trợ theo kế hoạch thì phải thông báo bằng văn bản và nêu rõ lý do chưa được hỗ trợ.</w:t>
      </w:r>
    </w:p>
    <w:p w14:paraId="06E0F7C9">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Kết quả giải quyết hồ sơ và danh sách hộ gia đình được hỗ trợ được cập nhật, công khai theo quy định, tạo điều kiện để người dân, cơ quan, tổ chức có liên quan giám sát quá trình thực hiện. Thủ tục không quy định phí, lệ phí, không đặt ra yêu cầu vượt quá phạm vi cần thiết của chính sách hỗ trợ và bảo đảm nguyên tắc công khai, minh bạch, đúng đối tượng, đúng mục đích, hạn chế trục lợi chính sách.</w:t>
      </w:r>
    </w:p>
    <w:p w14:paraId="4585FABA">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Trình tự, thời hạn giải quyết được xác định theo từng bước: Ủy ban nhân dân cấp xã tiếp nhận hồ sơ trong toàn bộ thời gian đã công bố; nếu hồ sơ chưa đầy đủ hoặc chưa hợp lệ thì thông báo trong 03 ngày làm việc; trường hợp hồ sơ đầy đủ, hợp lệ thì kiểm tra điều kiện hỗ trợ trong 10 ngày làm việc kể từ ngày nhận hồ sơ. Sau khi kết thúc thời gian tiếp nhận hồ sơ và hoàn thành việc kiểm tra điều kiện hỗ trợ, trong 05 ngày làm việc, Chủ tịch Ủy ban nhân dân cấp xã ban hành Quyết định phê duyệt hoặc Ủy ban nhân dân cấp xã thông báo bằng văn bản, nêu rõ lý do đối với hồ sơ không đáp ứng điều kiện hoặc chưa được hỗ trợ do hết kinh phí, đạt số lượng hộ theo kế hoạch.</w:t>
      </w:r>
    </w:p>
    <w:p w14:paraId="2A062D73">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1.4. Chi phí tuân thủ thủ tục hành chính</w:t>
      </w:r>
    </w:p>
    <w:p w14:paraId="4A0A51B2">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Thủ tục không quy định phí, lệ phí. Chi phí tuân thủ của Chủ hộ chủ yếu là chi phí chuẩn bị hồ sơ, sao chụp hoặc chứng thực một số giấy tờ, số hóa hồ sơ khi nộp trực tuyến, chi phí đi lại hoặc gửi hồ sơ qua dịch vụ bưu chính công ích, nếu có. Các chi phí này ở mức thấp so với lợi ích kinh tế của chính sách hỗ trợ và cần thiết để chứng minh điều kiện thụ hưởng ngân sách nhà nước.</w:t>
      </w:r>
    </w:p>
    <w:p w14:paraId="08ECE6FE">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Việc cho phép nộp hồ sơ theo nhiều hình thức, trong đó có nộp trực tuyến khi đáp ứng điều kiện, góp phần giảm chi phí đi lại, thời gian chờ đợi của người dân. Việc cập nhật, công khai kết quả giải quyết hồ sơ và danh sách hộ gia đình được hỗ trợ trên Hệ thống thông tin giải quyết thủ tục hành chính hoặc tại trụ sở Ủy ban nhân dân cấp xã góp phần tăng tính minh bạch và giảm chi phí tìm kiếm thông tin.</w:t>
      </w:r>
    </w:p>
    <w:p w14:paraId="03666323">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Trong quá trình tổ chức thực hiện, cơ quan chủ trì cần hướng dẫn Ủy ban nhân dân cấp xã không yêu cầu Chủ hộ nộp lại các thông tin, giấy tờ mà cơ quan nhà nước đã có khả năng khai thác, chia sẻ từ Cổng dịch vụ công quốc gia, Hệ thống thông tin giải quyết thủ tục hành chính, cơ sở dữ liệu quốc gia hoặc cơ sở dữ liệu chuyên ngành theo quy định. Việc này giúp giảm chi phí tuân thủ, tránh phát sinh yêu cầu hồ sơ ngoài quy định.</w:t>
      </w:r>
    </w:p>
    <w:p w14:paraId="09F5E66C">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1.5. Kiểm soát rủi ro và điều kiện bảo đảm thực hiện thủ tục</w:t>
      </w:r>
    </w:p>
    <w:p w14:paraId="2DDD1257">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Dự thảo Nghị quyết đã thiết kế các cơ chế kiểm soát rủi ro như: nguyên tắc hỗ trợ công khai, minh bạch, đúng đối tượng, đúng mục đích, tránh trục lợi chính sách; mỗi hộ gia đình chỉ được hỗ trợ tài chính 01 lần trong thời gian Nghị quyết có hiệu lực đối với 01 hệ thống tại 01 địa điểm lắp đặt; không hỗ trợ nhà ở riêng lẻ đã được hỗ trợ từ chương trình, chính sách khác; quy định điều kiện hỗ trợ, trách nhiệm của Chủ hộ và các trường hợp thu hồi kinh phí.</w:t>
      </w:r>
    </w:p>
    <w:p w14:paraId="15156CD9">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Ủy ban nhân dân cấp xã có trách nhiệm tiếp nhận hồ sơ, giao phòng chuyên môn kiểm tra thành phần hồ sơ, kiểm tra điều kiện hỗ trợ, cập nhật và công khai kết quả; Chủ tịch Ủy ban nhân dân cấp xã ban hành Quyết định phê duyệt kinh phí hỗ trợ và quyết định thu hồi kinh phí khi có căn cứ. Việc phân định này phù hợp tính chất chính sách và mô hình chính quyền địa phương 02 cấp.</w:t>
      </w:r>
    </w:p>
    <w:p w14:paraId="7721577C">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Để bảo đảm thực hiện thống nhất, sau khi Nghị quyết được ban hành, Ủy ban nhân dân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xml:space="preserve"> cần ban hành kế hoạch thực hiện chính sách hằng năm, xác định tổng kinh phí, số lượng hộ gia đình dự kiến được hỗ trợ, phương án phân bổ cho các địa phương và thời gian tiếp nhận hồ sơ; đồng thời hướng dẫn nghiệp vụ về giao dự toán, hình thức thanh toán, kiểm tra hồ sơ, phương thức công khai, quản lý dữ liệu, chế độ báo cáo, thu hồi kinh phí hỗ trợ và tổ chức tập huấn cho các cơ quan, đơn vị liên quan.</w:t>
      </w:r>
    </w:p>
    <w:p w14:paraId="144B460D">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2. Đánh giá việc phân quyền, phân cấp</w:t>
      </w:r>
    </w:p>
    <w:p w14:paraId="26CB27D5">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Dự thảo Nghị quyết phân cấp cho Ủy ban nhân dân cấp xã là cơ quan thực hiện thủ tục hành chính; Chủ tịch Ủy ban nhân dân cấp xã là người có thẩm quyền quyết định phê duyệt kinh phí hỗ trợ và thu hồi kinh phí hỗ trợ. Cách thiết kế này phân định rõ trách nhiệm giữa cơ quan tổ chức thực hiện và người ban hành quyết định cá biệt.</w:t>
      </w:r>
    </w:p>
    <w:p w14:paraId="26077424">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Ủy ban nhân dân cấp xã là cơ quan tiếp nhận, tổ chức kiểm tra hồ sơ và điều kiện hỗ trợ, chi trả kinh phí, cập nhật, công khai kết quả; Chủ tịch Ủy ban nhân dân cấp xã là người có thẩm quyền ban hành Quyết định phê duyệt và quyết định thu hồi kinh phí hỗ trợ. Việc phân cấp cho cấp xã phù hợp vì cấp xã gần dân, có điều kiện xác định địa chỉ nhà ở, hiện trạng lắp đặt và theo dõi sau hỗ trợ.</w:t>
      </w:r>
    </w:p>
    <w:p w14:paraId="0789EFDE">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Việc bố trí kinh phí từ ngân sách cấp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xml:space="preserve"> trong phạm vi dự toán được cấp có thẩm quyền giao hằng năm, phù hợp khả năng cân đối ngân sách địa phương; đồng thời xác định số lượng hộ dự kiến được hỗ trợ và phân bổ kinh phí cho từng địa phương trong kế hoạch hằng năm là phù hợp yêu cầu quản lý ngân sách nhà nước, bảo đảm chính sách được triển khai thống nhất, không vượt dự toán và phát huy vai trò của cấp cơ sở.</w:t>
      </w:r>
    </w:p>
    <w:p w14:paraId="2A0F8DB9">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3. Đánh giá việc ứng dụng, thúc đẩy phát triển khoa học, công nghệ, đổi mới sáng tạo và chuyển đổi số</w:t>
      </w:r>
    </w:p>
    <w:p w14:paraId="31BCBC03">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Dự thảo Nghị quyết có tác động tích cực đến việc ứng dụng, thúc đẩy phát triển khoa học, công nghệ, đổi mới sáng tạo và chuyển đổi số trong lĩnh vực năng lượng. Chính sách hỗ trợ hộ gia đình lắp đặt điện mặt trời mái nhà tự sản xuất, tự tiêu thụ và hệ thống lưu trữ điện góp phần thúc đẩy ứng dụng công nghệ năng lượng tái tạo, công nghệ lưu trữ điện, thiết bị chuyển đổi nghịch lưu, thiết bị giám sát, điều khiển và các giải pháp kỹ thuật an toàn, hiệu quả, thân thiện với môi trường.</w:t>
      </w:r>
    </w:p>
    <w:p w14:paraId="308595B5">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Chính sách khuyến khích sử dụng thiết bị, công nghệ có hiệu suất cao, an toàn, thân thiện với môi trường, có nguồn gốc xuất xứ rõ ràng, đáp ứng tiêu chuẩn, quy chuẩn kỹ thuật hiện hành. Quy định này góp phần định hướng thị trường thiết bị điện mặt trời mái nhà và hệ thống lưu trữ điện theo hướng chất lượng, an toàn, bền vững; khuyến khích người dân và đơn vị cung cấp dịch vụ lựa chọn công nghệ phù hợp, hạn chế thiết bị kém chất lượng, không rõ nguồn gốc, tiềm ẩn rủi ro an toàn điện, phòng cháy, chữa cháy và môi trường.</w:t>
      </w:r>
    </w:p>
    <w:p w14:paraId="0FCD19B2">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Việc hỗ trợ hệ thống lưu trữ điện lắp đặt đồng bộ với điện mặt trời hộ gia đình có ý nghĩa thúc đẩy ứng dụng công nghệ lưu trữ năng lượng ở quy mô hộ gia đình, góp phần nâng cao khả năng tự chủ nguồn điện tại chỗ, tăng tỷ lệ tự tiêu thụ, giảm phụ tải giờ cao điểm, hỗ trợ vận hành hệ thống điện an toàn, linh hoạt hơn. Đây là nội dung phù hợp với định hướng phát triển năng lượng sạch, chuyển dịch năng lượng và sử dụng điện tiết kiệm, hiệu quả.</w:t>
      </w:r>
    </w:p>
    <w:p w14:paraId="4A5F8C71">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Về chuyển đổi số trong giải quyết thủ tục hành chính, dự thảo đã quy định Chủ hộ có thể nộp hồ sơ trực tuyến trên Hệ thống thông tin giải quyết thủ tục hành chính của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xml:space="preserve"> hoặc Cổng dịch vụ công quốc gia khi đáp ứng điều kiện thực hiện trên môi trường điện tử. Đồng thời, Ủy ban nhân dân cấp xã cập nhật, công khai kết quả giải quyết hồ sơ, danh sách hộ gia đình được hỗ trợ trên Hệ thống thông tin giải quyết thủ tục hành chính hoặc tại trụ sở Ủy ban nhân dân cấp xã theo quy định. Quy định này phù hợp yêu cầu cải cách hành chính, số hóa hồ sơ, công khai minh bạch và giám sát xã hội.</w:t>
      </w:r>
    </w:p>
    <w:p w14:paraId="4E9BAF87">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Trong quá trình triển khai, có thể hình thành cơ sở dữ liệu phục vụ quản lý chính sách hỗ trợ điện mặt trời mái nhà hộ gia đình, bao gồm thông tin Chủ hộ, địa điểm lắp đặt, công suất tấm quang điện, công suất inverter, dung lượng hệ thống lưu trữ điện, tình trạng đấu nối, mức kinh phí hỗ trợ, thời gian nhận hỗ trợ và thời hạn cam kết khai thác, sử dụng. Dữ liệu này có thể phục vụ công tác thống kê, báo cáo, lập kế hoạch ngân sách, theo dõi mục tiêu phát triển điện mặt trời mái nhà, kiểm tra sau hỗ trợ và kết nối với hệ thống dữ liệu ngành điện, dữ liệu năng lượng của t</w:t>
      </w:r>
      <w:r>
        <w:rPr>
          <w:rFonts w:hint="default" w:ascii="Times New Roman" w:hAnsi="Times New Roman" w:cs="Times New Roman"/>
          <w:color w:val="auto"/>
          <w:sz w:val="28"/>
          <w:szCs w:val="28"/>
          <w:highlight w:val="none"/>
          <w:lang w:val="en-US"/>
        </w:rPr>
        <w:t>hành phố</w:t>
      </w:r>
      <w:r>
        <w:rPr>
          <w:rFonts w:hint="default" w:ascii="Times New Roman" w:hAnsi="Times New Roman" w:cs="Times New Roman"/>
          <w:color w:val="auto"/>
          <w:sz w:val="28"/>
          <w:szCs w:val="28"/>
          <w:highlight w:val="none"/>
        </w:rPr>
        <w:t xml:space="preserve"> khi có điều kiện.</w:t>
      </w:r>
    </w:p>
    <w:p w14:paraId="45A9BE23">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Để phát huy đầy đủ yếu tố chuyển đổi số, cần tiếp tục hoàn thiện quy trình điện tử đối với thủ tục đề nghị hỗ trợ; xây dựng biểu mẫu điện tử thống nhất; hướng dẫn UBND cấp xã cập nhật dữ liệu đúng, đủ, kịp thời; ưu tiên khai thác lại dữ liệu từ Cổng dịch vụ công quốc gia, Hệ thống thông tin giải quyết thủ tục hành chính, cơ sở dữ liệu về dân cư, đất đai, nhà ở, cơ sở dữ liệu ngành điện và các cơ sở dữ liệu chuyên ngành khác theo quy định, nhằm giảm giấy tờ, giảm chi phí tuân thủ cho người dân.</w:t>
      </w:r>
    </w:p>
    <w:p w14:paraId="1BF0145E">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4. Đánh giá việc bảo đảm bình đẳng giới</w:t>
      </w:r>
    </w:p>
    <w:p w14:paraId="3923506A">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Dự thảo Nghị quyết áp dụng đối với hộ gia đình lắp đặt hệ thống điện mặt trời mái nhà tự sản xuất, tự tiêu thụ và hệ thống lưu trữ điện tại công trình xây dựng là nhà ở riêng lẻ trên địa bàn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không phân biệt giới tính của Chủ hộ, người đại diện hộ gia đình hoặc các chủ sở hữu nhà ở. Nam và nữ đều có quyền đại diện thực hiện thủ tục nếu đáp ứng điều kiện theo quy định của pháp luật về nhà ở, dân sự và các quy định có liên quan.</w:t>
      </w:r>
    </w:p>
    <w:p w14:paraId="08751F3D">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Quy định về Chủ hộ là cá nhân đại diện hợp pháp của các chủ sở hữu nhà ở nhằm bảo đảm có một đầu mối thực hiện thủ tục, nhận kinh phí hỗ trợ và chịu trách nhiệm về hồ sơ, cam kết. Quy định này không tạo ra sự phân biệt đối xử giữa nam và nữ; không hạn chế quyền của phụ nữ trong việc đứng tên đại diện, nộp hồ sơ, nhận kinh phí hỗ trợ, quản lý và sử dụng hệ thống điện mặt trời hộ gia đình.</w:t>
      </w:r>
    </w:p>
    <w:p w14:paraId="103C28CD">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Chính sách hỗ trợ được thiết kế theo nguyên tắc công khai, minh bạch, đúng đối tượng, đúng mục đích, bảo đảm công bằng giữa các đối tượng được hỗ trợ. Việc ưu tiên xem xét hỗ trợ đối với hộ nghèo, hộ cận nghèo theo quy định của pháp luật và danh sách do cơ quan có thẩm quyền xác nhận có thể gián tiếp hỗ trợ tốt hơn cho các hộ do phụ nữ làm chủ hộ hoặc phụ nữ thuộc nhóm yếu thế, nếu thuộc diện khó khăn.</w:t>
      </w:r>
    </w:p>
    <w:p w14:paraId="6EF5F871">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Việc cho phép nộp hồ sơ trực tiếp, qua dịch vụ bưu chính công ích hoặc trực tuyến giúp tăng khả năng tiếp cận chính sách cho cả nam và nữ, đặc biệt đối với người có hạn chế về thời gian, điều kiện đi lại, người chăm sóc trẻ nhỏ, người cao tuổi hoặc người làm việc xa nơi cư trú. Do đó, dự thảo Nghị quyết bảo đảm nguyên tắc bình đẳng giới, không làm phát sinh tác động bất lợi hoặc phân biệt đối xử về giới.</w:t>
      </w:r>
    </w:p>
    <w:p w14:paraId="6D48FB30">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Trong quá trình tổ chức thực hiện, cần chú trọng tuyên truyền chính sách bằng hình thức dễ hiểu, dễ tiếp cận; hướng dẫn người dân thực hiện hồ sơ không phân biệt giới tính người đại diện; khuyến khích các địa phương hỗ trợ tư vấn cho hộ nghèo, hộ cận nghèo, hộ có hoàn cảnh khó khăn, trong đó có hộ do phụ nữ làm chủ hộ, để bảo đảm cơ hội tiếp cận chính sách bình đẳng và thực chất.</w:t>
      </w:r>
    </w:p>
    <w:p w14:paraId="23D94F42">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5. Đánh giá việc thực hiện chính sách dân tộc</w:t>
      </w:r>
    </w:p>
    <w:p w14:paraId="62C26354">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Dự thảo Nghị quyết áp dụng chung đối với hộ gia đình trên địa bàn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xml:space="preserve">, không phân biệt thành phần dân tộc, tôn giáo, khu vực cư trú trong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Hộ gia đình là đồng bào dân tộc thiểu số, nếu đáp ứng điều kiện hỗ trợ, được tiếp cận, thụ hưởng chính sách bình đẳng như các hộ gia đình khác.</w:t>
      </w:r>
    </w:p>
    <w:p w14:paraId="56696AE0">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Dự thảo không quy định mức hỗ trợ riêng theo thành phần dân tộc, do chính sách được thiết kế theo nguyên tắc hỗ trợ chung, công khai, minh bạch, đúng đối tượng, phù hợp khả năng cân đối ngân sách địa phương. Tuy nhiên, quy định ưu tiên xem xét hỗ trợ đối với hộ nghèo, hộ cận nghèo có ý nghĩa tích cực đối với các nhóm yếu thế, trong đó có thể bao gồm hộ đồng bào dân tộc thiểu số ở khu vực miền núi, vùng sâu, vùng xa, nơi điều kiện kinh tế - xã hội còn khó khăn.</w:t>
      </w:r>
    </w:p>
    <w:p w14:paraId="2535F9A7">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Việc giao Ủy ban nhân dân cấp xã tiếp nhận, kiểm tra hồ sơ, hướng dẫn hộ gia đình thực hiện các quy định pháp luật có liên quan về thông báo, đăng ký phát triển nguồn điện mặt trời mái nhà, an toàn công trình xây dựng, phòng cháy, chữa cháy và các nội dung thuộc phạm vi quản lý tại địa phương tạo thuận lợi cho người dân ở cơ sở, nhất là các hộ ở xa trung tâm hành chính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hộ còn hạn chế trong tiếp cận thông tin, công nghệ hoặc dịch vụ hành chính công trực tuyến.</w:t>
      </w:r>
    </w:p>
    <w:p w14:paraId="22B75330">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Trong quá trình tổ chức thực hiện, Ủy ban nhân dân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xml:space="preserve"> cần chỉ đạo các cơ quan, đơn vị, địa phương đẩy mạnh tuyên truyền, hướng dẫn chính sách bằng phương thức phù hợp với đặc thù địa bàn, dân cư; quan tâm hỗ trợ tiếp cận chính sách đối với hộ đồng bào dân tộc thiểu số, hộ nghèo, hộ cận nghèo, hộ có hoàn cảnh khó khăn; lồng ghép với các chương trình, kế hoạch hợp pháp khác về tiết kiệm điện, phát triển năng lượng tái tạo, chuyển đổi số và phát triển kinh tế - xã hội vùng đồng bào dân tộc thiểu số, vùng miền núi khi đủ điều kiện.</w:t>
      </w:r>
    </w:p>
    <w:p w14:paraId="6DFF11E8">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Nhìn chung, dự thảo Nghị quyết không phát sinh tác động bất lợi đối với đồng bào dân tộc thiểu số, không đặt ra rào cản tiếp cận chính sách theo thành phần dân tộc, đồng thời có yếu tố hỗ trợ nhóm khó khăn thông qua nguyên tắc ưu tiên trong phạm vi dự toán ngân sách được giao hằng năm.</w:t>
      </w:r>
    </w:p>
    <w:p w14:paraId="6D5ED755">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b/>
          <w:color w:val="auto"/>
          <w:sz w:val="28"/>
          <w:szCs w:val="28"/>
          <w:highlight w:val="none"/>
        </w:rPr>
        <w:t>III. KẾT LUẬN VÀ KIẾN NGHỊ</w:t>
      </w:r>
    </w:p>
    <w:p w14:paraId="6A77C100">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Qua đánh giá, dự thảo Nghị quyết quy định 01 thủ tục hành chính mới là thủ tục đề nghị hỗ trợ kinh phí lắp đặt hệ thống điện mặt trời mái nhà tự sản xuất, tự tiêu thụ và hệ thống lưu trữ điện cho hộ gia đình. Việc quy định thủ tục hành chính là cần thiết, có cơ sở pháp lý, phù hợp với thẩm quyền của Hội đồng nhân dân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xml:space="preserve"> theo Luật Điện lực, bảo đảm yêu cầu quản lý ngân sách nhà nước, công khai, minh bạch, đúng đối tượng, đúng điều kiện, đúng mức hỗ trợ và kiểm soát rủi ro trục lợi chính sách.</w:t>
      </w:r>
    </w:p>
    <w:p w14:paraId="50020294">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Việc phân quyền, phân cấp trong dự thảo cơ bản phù hợp với mô hình chính quyền địa phương 02 cấp và yêu cầu cải cách hành chính. Ủy ban nhân dân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xml:space="preserve"> ban hành kế hoạch thực hiện chính sách hằng năm, xác định kinh phí, số lượng hộ và phương án phân bổ; Ủy ban nhân dân cấp xã tiếp nhận, tổ chức kiểm tra và giải quyết hồ sơ; Chủ tịch Ủy ban nhân dân cấp xã ban hành Quyết định phê duyệt hoặc quyết định thu hồi kinh phí theo thẩm quyền. Cách phân định này bảo đảm quản lý thống nhất và tạo thuận lợi cho người dân.</w:t>
      </w:r>
    </w:p>
    <w:p w14:paraId="5C6B2FE8">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Dự thảo có tác động tích cực đối với việc ứng dụng, thúc đẩy phát triển khoa học, công nghệ, đổi mới sáng tạo và chuyển đổi số trong lĩnh vực năng lượng; khuyến khích hộ gia đình ứng dụng công nghệ điện mặt trời mái nhà, hệ thống lưu trữ điện, thiết bị có hiệu suất cao, an toàn, thân thiện với môi trường; đồng thời từng bước số hóa quy trình tiếp nhận, giải quyết hồ sơ và quản lý dữ liệu hỗ trợ.</w:t>
      </w:r>
    </w:p>
    <w:p w14:paraId="1719C774">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Dự thảo bảo đảm nguyên tắc bình đẳng giới, không phân biệt nam, nữ trong tiếp cận, thực hiện thủ tục và thụ hưởng chính sách; không phát sinh tác động bất lợi đối với đồng bào dân tộc thiểu số, bảo đảm hộ gia đình thuộc mọi thành phần dân tộc nếu đáp ứng điều kiện hỗ trợ đều được tiếp cận chính sách bình đẳng, công khai, minh bạch.</w:t>
      </w:r>
    </w:p>
    <w:p w14:paraId="53055D65">
      <w:pPr>
        <w:spacing w:before="40" w:line="247" w:lineRule="auto"/>
        <w:ind w:left="0" w:leftChars="0" w:firstLine="658" w:firstLineChars="235"/>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Trên cơ sở kết quả đánh giá nêu trên, dự thảo Nghị quyết đủ điều kiện tiếp tục hoàn thiện, trình cơ quan có thẩm quyền xem xét theo quy định của pháp luật về ban hành văn bản quy phạm pháp luật.</w:t>
      </w:r>
    </w:p>
    <w:p w14:paraId="5234ADA3">
      <w:pPr>
        <w:spacing w:before="60" w:line="252" w:lineRule="auto"/>
        <w:ind w:left="0" w:leftChars="0" w:firstLine="658" w:firstLineChars="235"/>
        <w:jc w:val="both"/>
        <w:rPr>
          <w:rFonts w:hint="default" w:ascii="Times New Roman" w:hAnsi="Times New Roman" w:cs="Times New Roman"/>
          <w:color w:val="auto"/>
          <w:sz w:val="28"/>
          <w:szCs w:val="28"/>
          <w:highlight w:val="none"/>
        </w:rPr>
      </w:pPr>
    </w:p>
    <w:p w14:paraId="487BE634">
      <w:pPr>
        <w:spacing w:before="60" w:line="247" w:lineRule="auto"/>
        <w:ind w:left="0" w:leftChars="0" w:firstLine="658" w:firstLineChars="235"/>
        <w:jc w:val="center"/>
        <w:rPr>
          <w:rFonts w:hint="default" w:ascii="Times New Roman" w:hAnsi="Times New Roman" w:cs="Times New Roman"/>
          <w:b/>
          <w:color w:val="auto"/>
          <w:sz w:val="28"/>
          <w:szCs w:val="28"/>
          <w:highlight w:val="none"/>
        </w:rPr>
      </w:pPr>
      <w:r>
        <w:rPr>
          <w:rFonts w:hint="default" w:ascii="Times New Roman" w:hAnsi="Times New Roman" w:cs="Times New Roman"/>
          <w:color w:val="auto"/>
          <w:sz w:val="28"/>
          <w:szCs w:val="28"/>
          <w:highlight w:val="none"/>
        </w:rPr>
        <w:br w:type="page"/>
      </w:r>
      <w:r>
        <w:rPr>
          <w:rFonts w:hint="default" w:ascii="Times New Roman" w:hAnsi="Times New Roman" w:cs="Times New Roman"/>
          <w:b/>
          <w:color w:val="auto"/>
          <w:sz w:val="28"/>
          <w:szCs w:val="28"/>
          <w:highlight w:val="none"/>
        </w:rPr>
        <w:t>PHỤ LỤC 1</w:t>
      </w:r>
    </w:p>
    <w:p w14:paraId="2E7AF962">
      <w:pPr>
        <w:spacing w:before="60" w:line="247" w:lineRule="auto"/>
        <w:ind w:firstLine="0"/>
        <w:jc w:val="center"/>
        <w:rPr>
          <w:rFonts w:hint="default" w:ascii="Times New Roman" w:hAnsi="Times New Roman" w:cs="Times New Roman"/>
          <w:color w:val="auto"/>
          <w:sz w:val="28"/>
          <w:szCs w:val="28"/>
          <w:highlight w:val="none"/>
        </w:rPr>
      </w:pPr>
      <w:r>
        <w:rPr>
          <w:rFonts w:hint="default" w:ascii="Times New Roman" w:hAnsi="Times New Roman" w:cs="Times New Roman"/>
          <w:b/>
          <w:bCs/>
          <w:color w:val="auto"/>
          <w:sz w:val="28"/>
          <w:szCs w:val="28"/>
          <w:highlight w:val="none"/>
        </w:rPr>
        <w:t>BIỂU MẪU SỐ 01/ĐGTĐ-BHM</w:t>
      </w:r>
    </w:p>
    <w:p w14:paraId="3EBDF261">
      <w:pPr>
        <w:pStyle w:val="47"/>
        <w:spacing w:before="60" w:after="0" w:line="247" w:lineRule="auto"/>
        <w:ind w:firstLine="403"/>
        <w:jc w:val="center"/>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BIỂU MẪU ĐÁNH GIÁ TÁC ĐỘNG CỦA THỦ TỤC HÀNH CHÍNH</w:t>
      </w:r>
      <w:r>
        <w:rPr>
          <w:rFonts w:hint="default" w:ascii="Times New Roman" w:hAnsi="Times New Roman" w:cs="Times New Roman"/>
          <w:b/>
          <w:bCs/>
          <w:color w:val="auto"/>
          <w:sz w:val="28"/>
          <w:szCs w:val="28"/>
          <w:highlight w:val="none"/>
        </w:rPr>
        <w:br w:type="textWrapping"/>
      </w:r>
      <w:r>
        <w:rPr>
          <w:rFonts w:hint="default" w:ascii="Times New Roman" w:hAnsi="Times New Roman" w:cs="Times New Roman"/>
          <w:b/>
          <w:bCs/>
          <w:color w:val="auto"/>
          <w:sz w:val="28"/>
          <w:szCs w:val="28"/>
          <w:highlight w:val="none"/>
        </w:rPr>
        <w:t>DỰ KIẾN BAN HÀNH MỚI TRONG DỰ THẢO VĂN BẢN</w:t>
      </w:r>
    </w:p>
    <w:p w14:paraId="4D5988FB">
      <w:pPr>
        <w:pStyle w:val="47"/>
        <w:spacing w:before="60" w:after="0" w:line="247" w:lineRule="auto"/>
        <w:ind w:firstLine="403"/>
        <w:jc w:val="center"/>
        <w:rPr>
          <w:rFonts w:hint="default" w:ascii="Times New Roman" w:hAnsi="Times New Roman" w:cs="Times New Roman"/>
          <w:b/>
          <w:bCs/>
          <w:color w:val="auto"/>
          <w:sz w:val="28"/>
          <w:szCs w:val="28"/>
          <w:highlight w:val="none"/>
        </w:rPr>
      </w:pPr>
    </w:p>
    <w:p w14:paraId="18083B8C">
      <w:pPr>
        <w:pStyle w:val="47"/>
        <w:spacing w:before="60" w:after="0" w:line="247" w:lineRule="auto"/>
        <w:ind w:firstLine="720"/>
        <w:jc w:val="both"/>
        <w:rPr>
          <w:rFonts w:hint="default" w:ascii="Times New Roman" w:hAnsi="Times New Roman" w:cs="Times New Roman"/>
          <w:color w:val="auto"/>
          <w:sz w:val="28"/>
          <w:szCs w:val="28"/>
          <w:highlight w:val="none"/>
        </w:rPr>
      </w:pPr>
      <w:r>
        <w:rPr>
          <w:rFonts w:hint="default" w:ascii="Times New Roman" w:hAnsi="Times New Roman" w:cs="Times New Roman"/>
          <w:b/>
          <w:bCs/>
          <w:color w:val="auto"/>
          <w:sz w:val="28"/>
          <w:szCs w:val="28"/>
          <w:highlight w:val="none"/>
        </w:rPr>
        <w:t xml:space="preserve">Tên dự thảo văn bản: </w:t>
      </w:r>
      <w:r>
        <w:rPr>
          <w:rFonts w:hint="default" w:ascii="Times New Roman" w:hAnsi="Times New Roman" w:cs="Times New Roman"/>
          <w:color w:val="auto"/>
          <w:sz w:val="28"/>
          <w:szCs w:val="28"/>
          <w:highlight w:val="none"/>
        </w:rPr>
        <w:t xml:space="preserve">Nghị quyết quy định chính sách hỗ trợ cho hộ gia đình lắp đặt điện mặt trời mái nhà tự sản xuất, tự tiêu thụ và hệ thống lưu trữ điện trên địa bàn </w:t>
      </w:r>
      <w:r>
        <w:rPr>
          <w:rFonts w:hint="default" w:ascii="Times New Roman" w:hAnsi="Times New Roman" w:cs="Times New Roman"/>
          <w:color w:val="auto"/>
          <w:sz w:val="28"/>
          <w:szCs w:val="28"/>
          <w:highlight w:val="none"/>
          <w:lang w:val="en-US"/>
        </w:rPr>
        <w:t>thành phố Hải Phòng</w:t>
      </w:r>
      <w:r>
        <w:rPr>
          <w:rFonts w:hint="default" w:ascii="Times New Roman" w:hAnsi="Times New Roman" w:cs="Times New Roman"/>
          <w:color w:val="auto"/>
          <w:sz w:val="28"/>
          <w:szCs w:val="28"/>
          <w:highlight w:val="none"/>
        </w:rPr>
        <w:t xml:space="preserve"> giai đoạn 202</w:t>
      </w:r>
      <w:r>
        <w:rPr>
          <w:rFonts w:hint="default" w:ascii="Times New Roman" w:hAnsi="Times New Roman" w:cs="Times New Roman"/>
          <w:color w:val="auto"/>
          <w:sz w:val="28"/>
          <w:szCs w:val="28"/>
          <w:highlight w:val="none"/>
          <w:lang w:val="en-US"/>
        </w:rPr>
        <w:t>7</w:t>
      </w:r>
      <w:r>
        <w:rPr>
          <w:rFonts w:hint="default" w:ascii="Times New Roman" w:hAnsi="Times New Roman" w:cs="Times New Roman"/>
          <w:color w:val="auto"/>
          <w:sz w:val="28"/>
          <w:szCs w:val="28"/>
          <w:highlight w:val="none"/>
        </w:rPr>
        <w:t>-2030.</w:t>
      </w:r>
    </w:p>
    <w:p w14:paraId="0EE12834">
      <w:pPr>
        <w:spacing w:before="60" w:line="247"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b/>
          <w:bCs/>
          <w:color w:val="auto"/>
          <w:sz w:val="28"/>
          <w:szCs w:val="28"/>
          <w:highlight w:val="none"/>
        </w:rPr>
        <w:t>Thủ tục hành chính</w:t>
      </w:r>
      <w:r>
        <w:rPr>
          <w:rFonts w:hint="default" w:ascii="Times New Roman" w:hAnsi="Times New Roman" w:cs="Times New Roman"/>
          <w:color w:val="auto"/>
          <w:sz w:val="28"/>
          <w:szCs w:val="28"/>
          <w:highlight w:val="none"/>
        </w:rPr>
        <w:t>: Thủ tục đề nghị hỗ trợ kinh phí lắp đặt hệ thống điện mặt trời mái nhà tự sản xuất, tự tiêu thụ và hệ thống lưu trữ điện cho hộ gia đình.</w:t>
      </w:r>
    </w:p>
    <w:tbl>
      <w:tblPr>
        <w:tblStyle w:val="2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2"/>
        <w:gridCol w:w="6432"/>
      </w:tblGrid>
      <w:tr w14:paraId="3E490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6ED00B29">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b/>
                <w:bCs/>
                <w:color w:val="auto"/>
                <w:sz w:val="28"/>
                <w:szCs w:val="28"/>
                <w:highlight w:val="none"/>
              </w:rPr>
              <w:t xml:space="preserve">I. SỰ CẦN THIẾT CỦA QUY ĐỊNH VỀ THỦ TỤC HÀNH CHÍNH TẠI DỰ THẢO VĂN </w:t>
            </w:r>
            <w:r>
              <w:rPr>
                <w:rFonts w:hint="default" w:ascii="Times New Roman" w:hAnsi="Times New Roman" w:cs="Times New Roman"/>
                <w:b/>
                <w:bCs/>
                <w:smallCaps/>
                <w:color w:val="auto"/>
                <w:sz w:val="28"/>
                <w:szCs w:val="28"/>
                <w:highlight w:val="none"/>
              </w:rPr>
              <w:t>BẢN</w:t>
            </w:r>
          </w:p>
        </w:tc>
      </w:tr>
      <w:tr w14:paraId="0AAC3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13996BD5">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1. Nội dung cụ thể trong ngành, lĩnh vực mà Nhà nước cần quản lý hoặc các biện pháp phát triển kinh tế - xã hội, ngân sách, quốc phòng, an ninh?</w:t>
            </w:r>
          </w:p>
        </w:tc>
        <w:tc>
          <w:tcPr>
            <w:tcW w:w="6432" w:type="dxa"/>
            <w:vAlign w:val="center"/>
          </w:tcPr>
          <w:p w14:paraId="7FCA9827">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Nghị quyết nhằm cụ thể hóa khoản 2 Điều 22 Luật Điện lực số 61/2024/QH15 về chính sách hỗ trợ hộ gia đình lắp đặt điện tự sản xuất, tự tiêu thụ; đồng thời tổ chức thực hiện mục tiêu phát triển điện mặt trời mái nhà theo Quy hoạch điện VIII điều chỉnh và Chỉ thị số 10/CT-TTg ngày 30/3/2026.</w:t>
            </w:r>
          </w:p>
          <w:p w14:paraId="1A3BFED7">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Nhà nước cần quản lý việc hỗ trợ từ ngân sách nhà nước đối với hộ gia đình bảo đảm đúng đối tượng, đúng điều kiện, đúng mức hỗ trợ; bảo đảm công khai, minh bạch, tránh trục lợi chính sách và thất thoát ngân sách.</w:t>
            </w:r>
          </w:p>
        </w:tc>
      </w:tr>
      <w:tr w14:paraId="5BB69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0C9A9FEC">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2. Nội dung quyền, nghĩa vụ và lợi ích hợp pháp cụ thể của cá nhân, tổ chức cần được bảo đảm?</w:t>
            </w:r>
          </w:p>
        </w:tc>
        <w:tc>
          <w:tcPr>
            <w:tcW w:w="6432" w:type="dxa"/>
            <w:vAlign w:val="center"/>
          </w:tcPr>
          <w:p w14:paraId="22F5DFE7">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 Quyền, lợi ích cần bảo đảm: Hộ gia đình đáp ứng điều kiện có quyền đề nghị và được xem xét hỗ trợ theo thứ tự ưu tiên, trong phạm vi kinh phí và số lượng hộ được hỗ trợ theo kế hoạch hằng năm; mức hỗ trợ tối đa </w:t>
            </w:r>
            <w:r>
              <w:rPr>
                <w:rFonts w:hint="default" w:ascii="Times New Roman" w:hAnsi="Times New Roman" w:cs="Times New Roman"/>
                <w:color w:val="auto"/>
                <w:sz w:val="28"/>
                <w:szCs w:val="28"/>
                <w:highlight w:val="none"/>
                <w:lang w:val="en-US"/>
              </w:rPr>
              <w:t>2</w:t>
            </w:r>
            <w:r>
              <w:rPr>
                <w:rFonts w:hint="default" w:ascii="Times New Roman" w:hAnsi="Times New Roman" w:cs="Times New Roman"/>
                <w:color w:val="auto"/>
                <w:sz w:val="28"/>
                <w:szCs w:val="28"/>
                <w:highlight w:val="none"/>
              </w:rPr>
              <w:t xml:space="preserve">.000.000 đồng đối với điện mặt trời mái nhà và tối đa </w:t>
            </w:r>
            <w:r>
              <w:rPr>
                <w:rFonts w:hint="default" w:ascii="Times New Roman" w:hAnsi="Times New Roman" w:cs="Times New Roman"/>
                <w:color w:val="auto"/>
                <w:sz w:val="28"/>
                <w:szCs w:val="28"/>
                <w:highlight w:val="none"/>
                <w:lang w:val="en-US"/>
              </w:rPr>
              <w:t>2</w:t>
            </w:r>
            <w:r>
              <w:rPr>
                <w:rFonts w:hint="default" w:ascii="Times New Roman" w:hAnsi="Times New Roman" w:cs="Times New Roman"/>
                <w:color w:val="auto"/>
                <w:sz w:val="28"/>
                <w:szCs w:val="28"/>
                <w:highlight w:val="none"/>
              </w:rPr>
              <w:t xml:space="preserve">.000.000 đồng đối với hệ thống lưu trữ điện lắp đặt đồng bộ, tổng mức tối đa </w:t>
            </w:r>
            <w:r>
              <w:rPr>
                <w:rFonts w:hint="default" w:ascii="Times New Roman" w:hAnsi="Times New Roman" w:cs="Times New Roman"/>
                <w:color w:val="auto"/>
                <w:sz w:val="28"/>
                <w:szCs w:val="28"/>
                <w:highlight w:val="none"/>
                <w:lang w:val="en-US"/>
              </w:rPr>
              <w:t>4</w:t>
            </w:r>
            <w:r>
              <w:rPr>
                <w:rFonts w:hint="default" w:ascii="Times New Roman" w:hAnsi="Times New Roman" w:cs="Times New Roman"/>
                <w:color w:val="auto"/>
                <w:sz w:val="28"/>
                <w:szCs w:val="28"/>
                <w:highlight w:val="none"/>
              </w:rPr>
              <w:t>.000.000 đồng/hộ</w:t>
            </w:r>
          </w:p>
          <w:p w14:paraId="4D9B591D">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Nghĩa vụ cần bảo đảm: Chủ hộ chịu trách nhiệm về tính chính xác của hồ sơ; tuân thủ quy định về điện lực, an toàn điện, phòng cháy, chữa cháy, xây dựng, môi trường; cam kết khai thác, sử dụng hệ thống tối thiểu 03 năm kể từ khi nhận hỗ trợ; hoàn trả kinh phí hỗ trợ nếu vi phạm các trường hợp phải thu hồi theo dự thảo Nghị quyết.</w:t>
            </w:r>
          </w:p>
        </w:tc>
      </w:tr>
      <w:tr w14:paraId="1AF3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05C7704A">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3. Lý do lựa chọn biện pháp quy định thủ tục hành chính?</w:t>
            </w:r>
          </w:p>
        </w:tc>
        <w:tc>
          <w:tcPr>
            <w:tcW w:w="6432" w:type="dxa"/>
            <w:vAlign w:val="center"/>
          </w:tcPr>
          <w:p w14:paraId="22DCAB06">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Thủ tục hành chính là công cụ để người dân thực hiện quyền đề nghị hỗ trợ và để cơ quan nhà nước kiểm tra, phê duyệt, chi trả, quyết toán và thu hồi kinh phí khi cần thiết.</w:t>
            </w:r>
          </w:p>
          <w:p w14:paraId="53CDD867">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Nội dung được quy định tại Điều 6 về điều kiện hỗ trợ; Điều 8 về hồ sơ; Điều 9 về trình tự giải quyết hồ sơ và chi trả kinh phí; Điều 10 về thu hồi kinh phí hỗ trợ.</w:t>
            </w:r>
          </w:p>
        </w:tc>
      </w:tr>
      <w:tr w14:paraId="0940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13249FD8">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4. Có biện pháp nào khác có thể sử dụng mà không phải bằng quy định thủ tục hành chính không?</w:t>
            </w:r>
          </w:p>
        </w:tc>
        <w:tc>
          <w:tcPr>
            <w:tcW w:w="6432" w:type="dxa"/>
            <w:vAlign w:val="center"/>
          </w:tcPr>
          <w:p w14:paraId="7F14D2D8">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Không.</w:t>
            </w:r>
          </w:p>
          <w:p w14:paraId="5CE99D35">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Lý do: Chính sách có sử dụng ngân sách nhà nước để hỗ trợ trực tiếp cho hộ gia đình; do đó bắt buộc phải có hồ sơ, trình tự kiểm tra, phê duyệt, chi trả, quyết toán và kiểm soát sau hỗ trợ. Nếu không quy định thủ tục hành chính sẽ không có căn cứ pháp lý để xác định đối tượng, điều kiện, mức hỗ trợ, trách nhiệm của cơ quan giải quyết và trách nhiệm của người thụ hưởng.</w:t>
            </w:r>
          </w:p>
        </w:tc>
      </w:tr>
      <w:tr w14:paraId="2C38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17156E65">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II. ĐÁNH GIÁ TÍNH HỢP HIẾN, HỢP PHÁP CỦA THỦ TỤC HÀNH CHÍNH</w:t>
            </w:r>
          </w:p>
        </w:tc>
      </w:tr>
      <w:tr w14:paraId="0FF3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19EC2012">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1. Có phù hợp với Hiến pháp không?</w:t>
            </w:r>
          </w:p>
        </w:tc>
        <w:tc>
          <w:tcPr>
            <w:tcW w:w="6432" w:type="dxa"/>
            <w:vAlign w:val="center"/>
          </w:tcPr>
          <w:p w14:paraId="12971E4B">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Có</w:t>
            </w:r>
          </w:p>
          <w:p w14:paraId="4A71EF39">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Lý do: Thủ tục nhằm bảo đảm quyền, lợi ích hợp pháp của công dân khi tiếp cận chính sách hỗ trợ của Nhà nước; không hạn chế quyền công dân, không phân biệt đối xử, phù hợp nguyên tắc công khai, minh bạch trong quản lý ngân sách và cung cấp dịch vụ công.</w:t>
            </w:r>
          </w:p>
        </w:tc>
      </w:tr>
      <w:tr w14:paraId="3380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01B4FB61">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2. Có mâu thuẫn, chồng chéo hoặc không phù hợp, thống nhất với quy định tại các văn bản khác, điều ước quốc tế có liên quan mà nước Cộng hòa xã hội chủ nghĩa Việt Nam là thành viên không?</w:t>
            </w:r>
          </w:p>
        </w:tc>
        <w:tc>
          <w:tcPr>
            <w:tcW w:w="6432" w:type="dxa"/>
            <w:vAlign w:val="center"/>
          </w:tcPr>
          <w:p w14:paraId="599731A8">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Với văn bản của cơ quan nhà nước cấp trên:</w:t>
            </w:r>
          </w:p>
          <w:p w14:paraId="171C6785">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Không.</w:t>
            </w:r>
          </w:p>
          <w:p w14:paraId="37BC2466">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Phù hợp khoản 2 Điều 22 Luật Điện lực số 61/2024/QH15; phù hợp Luật Ngân sách nhà nước số 89/2025/QH15; phù hợp Luật Ban hành văn bản quy phạm pháp luật số 64/2025/QH15, Luật số 87/2025/QH15 và Nghị định số 78/2025/NĐ-CP được sửa đổi, bổ sung bởi Nghị định số 187/2025/NĐ-CP.</w:t>
            </w:r>
          </w:p>
          <w:p w14:paraId="47CD27AF">
            <w:pPr>
              <w:pStyle w:val="48"/>
              <w:tabs>
                <w:tab w:val="left" w:pos="178"/>
              </w:tabs>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Với văn bản của cơ quan khác: không phát hiện mâu thuẫn, chồng chéo.</w:t>
            </w:r>
          </w:p>
          <w:p w14:paraId="24783B1E">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Với điều ước quốc tế: không phát sinh nội dung trái với điều ước quốc tế có liên quan.</w:t>
            </w:r>
          </w:p>
        </w:tc>
      </w:tr>
      <w:tr w14:paraId="55897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6D4D9CE9">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III. ĐÁNH GIÁ TÍNH HỢP LÝ CỦA THỦ TỤC HÀNH CHÍNH</w:t>
            </w:r>
          </w:p>
        </w:tc>
      </w:tr>
      <w:tr w14:paraId="52FC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1636E501">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1. Tên thủ tục hành chính</w:t>
            </w:r>
          </w:p>
        </w:tc>
      </w:tr>
      <w:tr w14:paraId="502A9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2BC839CD">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Có được quy định rõ ràng, cụ thể và phù hợp không?</w:t>
            </w:r>
          </w:p>
        </w:tc>
        <w:tc>
          <w:tcPr>
            <w:tcW w:w="6432" w:type="dxa"/>
            <w:vAlign w:val="center"/>
          </w:tcPr>
          <w:p w14:paraId="3B5E497C">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Có.</w:t>
            </w:r>
          </w:p>
          <w:p w14:paraId="2B35F5FC">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Lý do: Tên thủ tục hành chính được xác định thống nhất là: “Thủ tục đề nghị hỗ trợ kinh phí lắp đặt điện mặt trời mái nhà tự sản xuất, tự tiêu thụ và hệ thống lưu trữ điện cho hộ gia đình”. Dự thảo Nghị quyết đã chỉnh lý Điều 8 dự thảo Nghị quyết và mẫu đơn đề nghị hỗ trợ để thể hiện rõ tên thủ tục, bảo đảm thống nhất với nội dung đánh giá tác động TTHC.</w:t>
            </w:r>
          </w:p>
        </w:tc>
      </w:tr>
      <w:tr w14:paraId="5936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0D50360C">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2. Trình tự thực hiện</w:t>
            </w:r>
          </w:p>
        </w:tc>
      </w:tr>
      <w:tr w14:paraId="0DD7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0BF84E5B">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a) Có được quy định rõ ràng và cụ thể về các bước thực hiện không?</w:t>
            </w:r>
          </w:p>
        </w:tc>
        <w:tc>
          <w:tcPr>
            <w:tcW w:w="6432" w:type="dxa"/>
            <w:vAlign w:val="center"/>
          </w:tcPr>
          <w:p w14:paraId="4FE2C389">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Có.</w:t>
            </w:r>
          </w:p>
          <w:p w14:paraId="49744DBD">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Trình tự gồm: (1) Ủy ban nhân dân cấp xã tiếp nhận hồ sơ trong thời gian công bố tại kế hoạch hằng năm; (2) Chủ hộ nộp 01 bộ hồ sơ; (3) nếu hồ sơ chưa đầy đủ hoặc chưa hợp lệ, thông báo trả hồ sơ trong 03 ngày làm việc; (4) kiểm tra điều kiện hỗ trợ trong 10 ngày làm việc kể từ ngày nhận hồ sơ đầy đủ, hợp lệ; (5) sau khi kết thúc thời gian tiếp nhận và hoàn thành kiểm tra điều kiện, trong 05 ngày làm việc, Chủ tịch Ủy ban nhân dân cấp xã ban hành Quyết định phê duyệt hoặc Ủy ban nhân dân cấp xã thông báo bằng văn bản theo từng trường hợp; (6) thực hiện chi trả và công khai kết quả theo quy định.</w:t>
            </w:r>
          </w:p>
        </w:tc>
      </w:tr>
      <w:tr w14:paraId="0E34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11D4D087">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b) Có được quy định, phân định rõ trách nhiệm và nội dung công việc của cơ quan nhà nước và cá nhân, tổ chức khi thực hiện không?</w:t>
            </w:r>
          </w:p>
        </w:tc>
        <w:tc>
          <w:tcPr>
            <w:tcW w:w="6432" w:type="dxa"/>
            <w:vAlign w:val="center"/>
          </w:tcPr>
          <w:p w14:paraId="2C508FD4">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Có</w:t>
            </w:r>
          </w:p>
          <w:p w14:paraId="29AA881E">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Lý do: Dự thảo Nghị quyết đã phân định rõ trách nhiệm của cơ quan nhà nước và Chủ hộ trong quá trình thực hiện thủ tục hành chính. Chủ hộ lập, nộp hồ sơ và chịu trách nhiệm về tính chính xác, trung thực, đầy đủ của hồ sơ. Ủy ban nhân dân cấp xã tiếp nhận, kiểm tra hồ sơ, kiểm tra điều kiện hỗ trợ, tổ chức chi trả, lưu trữ hồ sơ, cập nhật kết quả giải quyết. Chủ tịch Ủy ban nhân dân cấp xã ban hành quyết định phê duyệt kinh phí hỗ trợ và quyết định thu hồi kinh phí hỗ trợ khi phát sinh vi phạm</w:t>
            </w:r>
          </w:p>
        </w:tc>
      </w:tr>
      <w:tr w14:paraId="2D4D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1412FB0A">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 Có áp dụng cơ chế liên thông không?</w:t>
            </w:r>
          </w:p>
        </w:tc>
        <w:tc>
          <w:tcPr>
            <w:tcW w:w="6432" w:type="dxa"/>
            <w:vAlign w:val="center"/>
          </w:tcPr>
          <w:p w14:paraId="37357285">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Không.</w:t>
            </w:r>
          </w:p>
          <w:p w14:paraId="18772186">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Lý do: Thủ tục được phân cấp giải quyết tại Ủy ban nhân dân cấp xã; các giấy tờ chứng minh việc phát triển nguồn điện mặt trời mái nhà đã được thực hiện theo quy định chuyên ngành trước khi đề nghị hỗ trợ. Việc không thiết kế cơ chế liên thông giúp giảm tầng nấc xử lý, rút ngắn thời gian giải quyết.</w:t>
            </w:r>
          </w:p>
        </w:tc>
      </w:tr>
      <w:tr w14:paraId="030CB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1E3AA28E">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d) Có quy định việc kiểm tra, đánh giá, xác minh thực tế của cơ quan nhà nước không?</w:t>
            </w:r>
          </w:p>
        </w:tc>
        <w:tc>
          <w:tcPr>
            <w:tcW w:w="6432" w:type="dxa"/>
            <w:vAlign w:val="center"/>
          </w:tcPr>
          <w:p w14:paraId="4A7AE95E">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Có.</w:t>
            </w:r>
          </w:p>
          <w:p w14:paraId="6857956F">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Ủy ban nhân dân cấp xã kiểm tra việc đáp ứng các điều kiện quy định tại Điều 6 dự thảo Nghị quyết trên cơ sở hồ sơ đã tiếp nhận. Dự thảo không quy định kiểm tra thực địa là bước bắt buộc đối với mọi hồ sơ và không cho phép yêu cầu thêm thành phần hồ sơ ngoài Điều 8.</w:t>
            </w:r>
          </w:p>
        </w:tc>
      </w:tr>
      <w:tr w14:paraId="0899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1B00CBDD">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3. Cách thức thực hiện</w:t>
            </w:r>
          </w:p>
        </w:tc>
      </w:tr>
      <w:tr w14:paraId="2A7B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0AABDF78">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a) Nộp hồ sơ</w:t>
            </w:r>
          </w:p>
        </w:tc>
        <w:tc>
          <w:tcPr>
            <w:tcW w:w="6432" w:type="dxa"/>
            <w:vAlign w:val="center"/>
          </w:tcPr>
          <w:p w14:paraId="7EA8B8F6">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Cách thức thực hiện: nộp trực tiếp tại Trung tâm Phục vụ hành chính công/Bộ phận Một cửa theo quy định tiếp nhận hồ sơ không phụ thuộc địa giới hành chính; nộp qua dịch vụ bưu chính công ích; nộp trực tuyến trên Hệ thống thông tin giải quyết TTHC của t</w:t>
            </w:r>
            <w:r>
              <w:rPr>
                <w:rFonts w:hint="default" w:ascii="Times New Roman" w:hAnsi="Times New Roman" w:cs="Times New Roman"/>
                <w:color w:val="auto"/>
                <w:sz w:val="28"/>
                <w:szCs w:val="28"/>
                <w:highlight w:val="none"/>
                <w:lang w:val="en-US"/>
              </w:rPr>
              <w:t>hành phố</w:t>
            </w:r>
            <w:r>
              <w:rPr>
                <w:rFonts w:hint="default" w:ascii="Times New Roman" w:hAnsi="Times New Roman" w:cs="Times New Roman"/>
                <w:color w:val="auto"/>
                <w:sz w:val="28"/>
                <w:szCs w:val="28"/>
                <w:highlight w:val="none"/>
              </w:rPr>
              <w:t xml:space="preserve"> hoặc Cổng dịch vụ công quốc gia khi đáp ứng điều kiện thực hiện trên môi trường điện tử.</w:t>
            </w:r>
          </w:p>
          <w:p w14:paraId="29CCA251">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Lý do: Cách thức nộp hồ sơ đa dạng, bổ sung hình thức trực tuyến để tạo thuận lợi cho người dân, giảm thời gian đi lại, phù hợp yêu cầu cải cách TTHC và thực hiện thủ tục hành chính trên môi trường điện tử. Việc thanh toán kinh phí hỗ trợ thực hiện qua tài khoản ngân hàng của Chủ hộ để bảo đảm công khai, minh bạch, hạn chế phát sinh tiêu cực.</w:t>
            </w:r>
          </w:p>
        </w:tc>
      </w:tr>
      <w:tr w14:paraId="214D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66DF5858">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4. Thành phần, số lượng hồ sơ</w:t>
            </w:r>
          </w:p>
        </w:tc>
      </w:tr>
      <w:tr w14:paraId="3A30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27E2B378">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a) Thành phần hồ sơ 1: Đơn đề nghị hỗ trợ kinh phí lắp đặt điện mặt trời mái nhà tự sản xuất, tự tiêu thụ và hệ thống lưu trữ điện cho hộ gia đình</w:t>
            </w:r>
          </w:p>
        </w:tc>
        <w:tc>
          <w:tcPr>
            <w:tcW w:w="6432" w:type="dxa"/>
            <w:vAlign w:val="center"/>
          </w:tcPr>
          <w:p w14:paraId="3F0BC8F4">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Lý do quy định: Là văn bản đề nghị hỗ trợ của Chủ hộ; cung cấp thông tin về người đề nghị, địa chỉ nhà ở, quy mô hệ thống, hình thức nhận tiền hỗ trợ, cam kết sử dụng hệ thống và trách nhiệm hoàn trả kinh phí nếu vi phạm.</w:t>
            </w:r>
          </w:p>
          <w:p w14:paraId="4229019F">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Yêu cầu về hình thức: Theo mẫu 01 tại Phụ lục kèm theo Nghị quyết; bản chính; có chữ ký của Chủ hộ hoặc người đại diện hợp pháp. Trường hợp nộp trực tuyến thì sử dụng bản điện tử hoặc bản chụp theo quy định.</w:t>
            </w:r>
          </w:p>
        </w:tc>
      </w:tr>
      <w:tr w14:paraId="6FAD9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5F9ACD0C">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b) Thành phần hồ sơ 2: Bản sao (không bắt buộc chứng thực) Thông báo phát triển nguồn điện hoặc Giấy chứng nhận đăng ký phát triển nguồn điện mặt trời mái nhà tự sản xuất, tự tiêu thụ theo quy định tại Nghị định số 58/2025/NĐ-CP được sửa đổi, bổ sung bởi Nghị định số 243/2026/NĐ-CP, đối với trường hợp pháp luật quy định phải thông báo hoặc đăng ký phát triển nguồn điện</w:t>
            </w:r>
          </w:p>
        </w:tc>
        <w:tc>
          <w:tcPr>
            <w:tcW w:w="6432" w:type="dxa"/>
            <w:vAlign w:val="center"/>
          </w:tcPr>
          <w:p w14:paraId="59E89147">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 Lý do quy định: Đây là căn cứ chứng minh hệ thống điện mặt trời mái nhà đã thực hiện thủ tục chuyên ngành theo Nghị định số 58/2025/NĐ-CP được sửa đổi, bổ sung bởi Nghị định số 243/2026/NĐ-CP và thuộc phạm vi chính sách hỗ trợ. </w:t>
            </w:r>
          </w:p>
          <w:p w14:paraId="6BCE9817">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Yêu cầu về hình thức: Bản sao không cần chứng thực; trường hợp nộp trực tuyến thì sử dụng bản chụp/bản điện tử theo quy định về giao dịch điện tử và giải quyết thủ tục hành chính trên môi trường điện tử.</w:t>
            </w:r>
          </w:p>
        </w:tc>
      </w:tr>
      <w:tr w14:paraId="5715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7183E394">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 Thành phần hồ sơ 3: Tài liệu chứng minh hệ thống điện mặt trời mái nhà và hệ thống lưu trữ điện (nếu có) đã hoàn thành lắp đặt, đưa vào vận hành, trong đó thể hiện địa điểm lắp đặt, tổng công suất định mức của các bộ chuyển đổi nghịch lưu và tổng dung lượng hệ thống lưu trữ điện;</w:t>
            </w:r>
          </w:p>
        </w:tc>
        <w:tc>
          <w:tcPr>
            <w:tcW w:w="6432" w:type="dxa"/>
            <w:vAlign w:val="center"/>
          </w:tcPr>
          <w:p w14:paraId="603D1E44">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Lý do: Là căn cứ xác định hệ thống đã hoàn thành lắp đặt, đưa vào vận hành và xác định đúng địa điểm, công suất, dung lượng làm căn cứ tính mức hỗ trợ.</w:t>
            </w:r>
          </w:p>
          <w:p w14:paraId="07DD7D1C">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Hình thức: Bản chính, bản sao hoặc bản điện tử tương ứng với loại tài liệu; dự thảo không bắt buộc phải có xác nhận của đơn vị điện lực và không quy định hợp đồng mua bán điện hoặc thỏa thuận đấu nối là thành phần hồ sơ.</w:t>
            </w:r>
          </w:p>
        </w:tc>
      </w:tr>
      <w:tr w14:paraId="5D88D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6623D73C">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d) Thành phần hồ sơ 4: Văn bản ủy quyền hoặc văn bản thống nhất của các đồng chủ sở hữu nhà ở riêng lẻ cho Chủ hộ thực hiện thủ tục đề nghị hỗ trợ, trong trường hợp nhà ở riêng lẻ thuộc sở hữu chung của nhiều người.</w:t>
            </w:r>
          </w:p>
        </w:tc>
        <w:tc>
          <w:tcPr>
            <w:tcW w:w="6432" w:type="dxa"/>
            <w:vAlign w:val="center"/>
          </w:tcPr>
          <w:p w14:paraId="10B63E7A">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Lý do: Bảo đảm tư cách đại diện của Chủ hộ trong trường hợp nhà ở riêng lẻ thuộc sở hữu chung.</w:t>
            </w:r>
          </w:p>
          <w:p w14:paraId="74FB08AD">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Hình thức: Văn bản ủy quyền hoặc văn bản thống nhất theo quy định; khi nộp trực tuyến sử dụng bản điện tử hoặc bản chụp hợp lệ.</w:t>
            </w:r>
          </w:p>
        </w:tc>
      </w:tr>
      <w:tr w14:paraId="3394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34A4CDC8">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e) Số lượng bộ hồ sơ</w:t>
            </w:r>
          </w:p>
        </w:tc>
        <w:tc>
          <w:tcPr>
            <w:tcW w:w="6432" w:type="dxa"/>
            <w:vAlign w:val="center"/>
          </w:tcPr>
          <w:p w14:paraId="3177444E">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01 bộ.</w:t>
            </w:r>
          </w:p>
          <w:p w14:paraId="47842539">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Lý do: Cơ quan giải quyết là Ủy ban nhân dân cấp xã, không chuyển hồ sơ qua nhiều cấp; 01 bộ hồ sơ là đủ để tiếp nhận, kiểm tra, lưu trữ và giải quyết thủ tục.</w:t>
            </w:r>
          </w:p>
        </w:tc>
      </w:tr>
      <w:tr w14:paraId="1D28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718BD99D">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5. Thời hạn giải quyết</w:t>
            </w:r>
          </w:p>
        </w:tc>
      </w:tr>
      <w:tr w14:paraId="631A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2D3706A3">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a) Có được quy định rõ ràng, cụ thể và phù hợp không?</w:t>
            </w:r>
          </w:p>
        </w:tc>
        <w:tc>
          <w:tcPr>
            <w:tcW w:w="6432" w:type="dxa"/>
            <w:vAlign w:val="center"/>
          </w:tcPr>
          <w:p w14:paraId="330668B1">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Có.</w:t>
            </w:r>
          </w:p>
          <w:p w14:paraId="17EB2119">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Thời hạn giải quyết: thời hạn gồm Ủy ban nhân dân cấp xã kiểm tra thành phần hồ sơ; nếu chưa đầy đủ, chưa hợp lệ thì thông báo trong 03 ngày làm việc; trường hợp hồ sơ đầy đủ, hợp lệ, Ủy ban nhân dân cấp xã kiểm tra điều kiện hỗ trợ trong 10 ngày làm việc; trong 05 ngày làm việc kể từ ngày hết thời hạn kiểm tra điều kiện Chủ tịch Ủy ban nhân dân cấp xã ban hành quyết định phê duyệt kinh phí hỗ trợ hoặc Ủy ban nhân dân cấp xã thông báo không đủ điều kiện; sau khi có Quyết định phê duyệt và kinh phí thực hiện chính sách được bố trí, UBND cấp xã thực hiện chuyển kinh phí hỗ trợ cho Chủ hộ. Thời gian chuyển kinh phí không tính vào thời hạn giải quyết TTHC. Tổng thời hạn giải quyết thủ tục hành chính không quá 15 ngày làm việc kể từ ngày nhận đủ hồ sơ hợp lệ; thời gian Chủ hộ bổ sung, hoàn thiện hồ sơ không tính vào thời hạn giải quyết.</w:t>
            </w:r>
          </w:p>
          <w:p w14:paraId="32618AE8">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Lý do quy định: Thời hạn nêu trên phù hợp tính chất hồ sơ, bảo đảm đủ thời gian kiểm tra điều kiện hỗ trợ nhưng không kéo dài, tạo thuận lợi cho người dân và bảo đảm công khai, minh bạch trong theo dõi tiến độ xử lý hồ sơ.</w:t>
            </w:r>
          </w:p>
        </w:tc>
      </w:tr>
      <w:tr w14:paraId="6B7C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14C7B13F">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b) Trong trường hợp một thủ tục hành chính do nhiều cơ quan có thẩm quyền giải quyết, đã quy định rõ ràng, đầy đủ thời hạn giải quyết của từng cơ quan và thời hạn chuyển giao hồ sơ giữa các cơ quan?</w:t>
            </w:r>
          </w:p>
        </w:tc>
        <w:tc>
          <w:tcPr>
            <w:tcW w:w="6432" w:type="dxa"/>
            <w:vAlign w:val="center"/>
          </w:tcPr>
          <w:p w14:paraId="4BE77B67">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Không áp dụng.</w:t>
            </w:r>
          </w:p>
          <w:p w14:paraId="0A75FD22">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Lý do: Thủ tục hành chính này được thiết kế theo hướng giao Ủy ban nhân dân cấp xã là cơ quan tiếp nhận, kiểm tra, phê duyệt hoặc thông báo không đủ điều kiện hỗ trợ và tổ chức chuyển kinh phí hỗ trợ theo quy định. Trong quá trình giải quyết, Ủy ban nhân dân cấp xã có thể phối hợp, trao đổi thông tin với cơ quan, đơn vị có liên quan khi cần thiết, nhưng không làm phát sinh cơ chế liên thông bắt buộc giữa nhiều cơ quan có thẩm quyền giải quyết. Do đó, không cần quy định thời hạn chuyển giao hồ sơ giữa các cơ quan.</w:t>
            </w:r>
          </w:p>
        </w:tc>
      </w:tr>
      <w:tr w14:paraId="4135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27DC1597">
            <w:pPr>
              <w:spacing w:before="60" w:line="264" w:lineRule="auto"/>
              <w:ind w:firstLine="0"/>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6. Đối tượng thực hiện</w:t>
            </w:r>
          </w:p>
        </w:tc>
      </w:tr>
      <w:tr w14:paraId="746E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29A2F94F">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a) Đối tượng thực hiện</w:t>
            </w:r>
          </w:p>
        </w:tc>
        <w:tc>
          <w:tcPr>
            <w:tcW w:w="6432" w:type="dxa"/>
            <w:vAlign w:val="center"/>
          </w:tcPr>
          <w:p w14:paraId="6C4312CE">
            <w:pPr>
              <w:pStyle w:val="48"/>
              <w:numPr>
                <w:ilvl w:val="0"/>
                <w:numId w:val="1"/>
              </w:numPr>
              <w:tabs>
                <w:tab w:val="left" w:pos="139"/>
              </w:tabs>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Tổ chức: Không.</w:t>
            </w:r>
          </w:p>
          <w:p w14:paraId="6C14411D">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Cá nhân: Chủ hộ là chủ sở hữu nhà ở riêng lẻ nơi lắp đặt hệ thống điện mặt trời mái nhà hoặc là người được các chủ sở hữu nhà ở riêng lẻ ủy quyền, thống nhất giao thực hiện thủ tục; đại diện cho hộ gia đình thuộc đối tượng hỗ trợ theo dự thảo Nghị quyết.</w:t>
            </w:r>
          </w:p>
          <w:p w14:paraId="6C767F8F">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Có thể mở rộng/thu hẹp đối tượng thực hiện không: Không.</w:t>
            </w:r>
          </w:p>
          <w:p w14:paraId="1908749B">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Lý do: Đối tượng chính sách được xác định theo khoản 2 Điều 22 Luật Điện lực là hộ gia đình lắp đặt điện tự sản xuất, tự tiêu thụ; việc mở rộng sang tổ chức, doanh nghiệp hoặc cơ sở sản xuất không phù hợp phạm vi chính sách này.</w:t>
            </w:r>
          </w:p>
        </w:tc>
      </w:tr>
      <w:tr w14:paraId="0892C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410B76E5">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b) Phạm vi áp dụng</w:t>
            </w:r>
          </w:p>
        </w:tc>
        <w:tc>
          <w:tcPr>
            <w:tcW w:w="6432" w:type="dxa"/>
            <w:vAlign w:val="center"/>
          </w:tcPr>
          <w:p w14:paraId="6FDD0009">
            <w:pPr>
              <w:pStyle w:val="48"/>
              <w:numPr>
                <w:ilvl w:val="0"/>
                <w:numId w:val="2"/>
              </w:numPr>
              <w:tabs>
                <w:tab w:val="left" w:pos="130"/>
              </w:tabs>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Phạm vi: Địa phương - trên địa bàn t</w:t>
            </w:r>
            <w:r>
              <w:rPr>
                <w:rFonts w:hint="default" w:ascii="Times New Roman" w:hAnsi="Times New Roman" w:cs="Times New Roman"/>
                <w:color w:val="auto"/>
                <w:sz w:val="28"/>
                <w:szCs w:val="28"/>
                <w:highlight w:val="none"/>
                <w:lang w:val="en-US"/>
              </w:rPr>
              <w:t>hành phố Hải Phòng</w:t>
            </w:r>
            <w:r>
              <w:rPr>
                <w:rFonts w:hint="default" w:ascii="Times New Roman" w:hAnsi="Times New Roman" w:cs="Times New Roman"/>
                <w:color w:val="auto"/>
                <w:sz w:val="28"/>
                <w:szCs w:val="28"/>
                <w:highlight w:val="none"/>
              </w:rPr>
              <w:t>.</w:t>
            </w:r>
          </w:p>
          <w:p w14:paraId="0C57591A">
            <w:pPr>
              <w:pStyle w:val="48"/>
              <w:numPr>
                <w:ilvl w:val="0"/>
                <w:numId w:val="2"/>
              </w:numPr>
              <w:tabs>
                <w:tab w:val="left" w:pos="134"/>
              </w:tabs>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Khu vực áp dụng: Nông thôn, đô thị và các khu vực dân cư khác trong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không phân biệt khu vực, dân tộc, tôn giáo.</w:t>
            </w:r>
          </w:p>
          <w:p w14:paraId="0E01E96E">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Có thể mở rộng/thu hẹp phạm vi áp dụng không: Không.</w:t>
            </w:r>
          </w:p>
          <w:p w14:paraId="7A64D02A">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Lý do: Nghị quyết của Hội đồng nhân dân </w:t>
            </w:r>
            <w:r>
              <w:rPr>
                <w:rFonts w:hint="default" w:ascii="Times New Roman" w:hAnsi="Times New Roman" w:cs="Times New Roman"/>
                <w:color w:val="auto"/>
                <w:sz w:val="28"/>
                <w:szCs w:val="28"/>
                <w:highlight w:val="none"/>
                <w:lang w:val="en-US"/>
              </w:rPr>
              <w:t>thành phố Hải Phòng</w:t>
            </w:r>
            <w:r>
              <w:rPr>
                <w:rFonts w:hint="default" w:ascii="Times New Roman" w:hAnsi="Times New Roman" w:cs="Times New Roman"/>
                <w:color w:val="auto"/>
                <w:sz w:val="28"/>
                <w:szCs w:val="28"/>
                <w:highlight w:val="none"/>
              </w:rPr>
              <w:t xml:space="preserve"> chỉ điều chỉnh trong phạm vi địa bàn </w:t>
            </w:r>
            <w:r>
              <w:rPr>
                <w:rFonts w:hint="default" w:ascii="Times New Roman" w:hAnsi="Times New Roman" w:cs="Times New Roman"/>
                <w:color w:val="auto"/>
                <w:sz w:val="28"/>
                <w:szCs w:val="28"/>
                <w:highlight w:val="none"/>
                <w:lang w:val="en-US"/>
              </w:rPr>
              <w:t>thành phố Hải Phòng</w:t>
            </w:r>
            <w:r>
              <w:rPr>
                <w:rFonts w:hint="default" w:ascii="Times New Roman" w:hAnsi="Times New Roman" w:cs="Times New Roman"/>
                <w:color w:val="auto"/>
                <w:sz w:val="28"/>
                <w:szCs w:val="28"/>
                <w:highlight w:val="none"/>
              </w:rPr>
              <w:t xml:space="preserve">; việc áp dụng toàn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xml:space="preserve"> bảo đảm công bằng giữa các hộ gia đình.</w:t>
            </w:r>
          </w:p>
        </w:tc>
      </w:tr>
      <w:tr w14:paraId="1C71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01B8751F">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c) Dự kiến số lượng đối tượng thực hiện/01 năm: Hiện nay toàn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xml:space="preserve"> có </w:t>
            </w:r>
            <w:r>
              <w:rPr>
                <w:rFonts w:hint="default" w:ascii="Times New Roman" w:hAnsi="Times New Roman" w:cs="Times New Roman"/>
                <w:color w:val="auto"/>
                <w:sz w:val="28"/>
                <w:szCs w:val="28"/>
                <w:highlight w:val="none"/>
                <w:lang w:val="en-US"/>
              </w:rPr>
              <w:t>khoảng 1,1 triệu</w:t>
            </w:r>
            <w:r>
              <w:rPr>
                <w:rFonts w:hint="default" w:ascii="Times New Roman" w:hAnsi="Times New Roman" w:cs="Times New Roman"/>
                <w:color w:val="auto"/>
                <w:sz w:val="28"/>
                <w:szCs w:val="28"/>
                <w:highlight w:val="none"/>
              </w:rPr>
              <w:t xml:space="preserve"> hộ gia đình sử dụng điện. Theo khái toán, số lượng đối tượng thực hiện bình quân khoảng </w:t>
            </w:r>
            <w:r>
              <w:rPr>
                <w:rFonts w:hint="default" w:ascii="Times New Roman" w:hAnsi="Times New Roman" w:cs="Times New Roman"/>
                <w:color w:val="auto"/>
                <w:sz w:val="28"/>
                <w:szCs w:val="28"/>
                <w:highlight w:val="none"/>
                <w:lang w:val="en-US"/>
              </w:rPr>
              <w:t>4.500</w:t>
            </w:r>
            <w:r>
              <w:rPr>
                <w:rFonts w:hint="default" w:ascii="Times New Roman" w:hAnsi="Times New Roman" w:cs="Times New Roman"/>
                <w:color w:val="auto"/>
                <w:sz w:val="28"/>
                <w:szCs w:val="28"/>
                <w:highlight w:val="none"/>
              </w:rPr>
              <w:t xml:space="preserve"> hộ/năm, tổng số khoảng </w:t>
            </w:r>
            <w:r>
              <w:rPr>
                <w:rFonts w:hint="default" w:ascii="Times New Roman" w:hAnsi="Times New Roman" w:cs="Times New Roman"/>
                <w:color w:val="auto"/>
                <w:sz w:val="28"/>
                <w:szCs w:val="28"/>
                <w:highlight w:val="none"/>
                <w:lang w:val="en-US"/>
              </w:rPr>
              <w:t>18.000</w:t>
            </w:r>
            <w:r>
              <w:rPr>
                <w:rFonts w:hint="default" w:ascii="Times New Roman" w:hAnsi="Times New Roman" w:cs="Times New Roman"/>
                <w:color w:val="auto"/>
                <w:sz w:val="28"/>
                <w:szCs w:val="28"/>
                <w:highlight w:val="none"/>
              </w:rPr>
              <w:t xml:space="preserve"> hộ trong giai đoạn 202</w:t>
            </w:r>
            <w:r>
              <w:rPr>
                <w:rFonts w:hint="default" w:ascii="Times New Roman" w:hAnsi="Times New Roman" w:cs="Times New Roman"/>
                <w:color w:val="auto"/>
                <w:sz w:val="28"/>
                <w:szCs w:val="28"/>
                <w:highlight w:val="none"/>
                <w:lang w:val="en-US"/>
              </w:rPr>
              <w:t>7</w:t>
            </w:r>
            <w:r>
              <w:rPr>
                <w:rFonts w:hint="default" w:ascii="Times New Roman" w:hAnsi="Times New Roman" w:cs="Times New Roman"/>
                <w:color w:val="auto"/>
                <w:sz w:val="28"/>
                <w:szCs w:val="28"/>
                <w:highlight w:val="none"/>
              </w:rPr>
              <w:t xml:space="preserve">-2030. Số lượng thực tế từng năm do Ủy ban nhân dân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xml:space="preserve"> xác định trong kế hoạch hằng năm trên cơ sở khả năng cân đối ngân sách, nhu cầu đăng ký và tình hình thực tế.</w:t>
            </w:r>
          </w:p>
        </w:tc>
      </w:tr>
      <w:tr w14:paraId="715E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589543FF">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b/>
                <w:bCs/>
                <w:color w:val="auto"/>
                <w:sz w:val="28"/>
                <w:szCs w:val="28"/>
                <w:highlight w:val="none"/>
              </w:rPr>
              <w:t>7. Cơ quan giải quyết</w:t>
            </w:r>
          </w:p>
        </w:tc>
      </w:tr>
      <w:tr w14:paraId="2160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4CEB4E0B">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a) Có được quy định rõ ràng, cụ thể về cơ quan giải quyết thủ tục hành chính không?</w:t>
            </w:r>
          </w:p>
        </w:tc>
        <w:tc>
          <w:tcPr>
            <w:tcW w:w="6432" w:type="dxa"/>
            <w:vAlign w:val="center"/>
          </w:tcPr>
          <w:p w14:paraId="7A1DE950">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Có.</w:t>
            </w:r>
          </w:p>
          <w:p w14:paraId="764DFB9E">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Cơ quan giải quyết: Ủy ban nhân dân cấp xã nơi Chủ hộ lắp đặt hệ thống điện mặt trời mái nhà. Việc tiếp nhận hồ sơ thực hiện tại Trung tâm Phục vụ hành chính công/Bộ phận Một cửa theo quy định về tiếp nhận hồ sơ không phụ thuộc địa giới hành chính hoặc qua hình thức trực tuyến/dịch vụ bưu chính công ích.</w:t>
            </w:r>
          </w:p>
          <w:p w14:paraId="28BACD3E">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Lý do quy định: Ủy ban nhân dân cấp xã nơi lắp đặt hệ thống là cấp chính quyền gần dân, có điều kiện xác định địa chỉ nhà ở, hiện trạng lắp đặt, đối tượng thụ hưởng và thực hiện chi trả, theo dõi sau hỗ trợ thuận lợi nhất; đồng thời việc tiếp nhận hồ sơ được chỉnh lý để phù hợp chủ trương tiếp nhận không phụ thuộc địa giới hành chính.</w:t>
            </w:r>
          </w:p>
        </w:tc>
      </w:tr>
      <w:tr w14:paraId="6A65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0FF267F2">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b) Có thể mở rộng ủy quyền hoặc phân cấp thực hiện không?</w:t>
            </w:r>
          </w:p>
        </w:tc>
        <w:tc>
          <w:tcPr>
            <w:tcW w:w="6432" w:type="dxa"/>
            <w:vAlign w:val="center"/>
          </w:tcPr>
          <w:p w14:paraId="618A74D2">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Không cần thiết.</w:t>
            </w:r>
          </w:p>
          <w:p w14:paraId="17B08830">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Lý do: Dự thảo đã phân cấp trực tiếp cho Ủy ban nhân dân cấp xã giải quyết. Nếu tiếp tục ủy quyền xuống đơn vị không có thẩm quyền quản lý ngân sách sẽ khó bảo đảm trách nhiệm pháp lý trong phê duyệt, chi trả, quyết toán và thu hồi kinh phí hỗ trợ.</w:t>
            </w:r>
          </w:p>
        </w:tc>
      </w:tr>
      <w:tr w14:paraId="369D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0F7FD864">
            <w:pPr>
              <w:pStyle w:val="48"/>
              <w:spacing w:before="60" w:line="264" w:lineRule="auto"/>
              <w:jc w:val="both"/>
              <w:rPr>
                <w:rFonts w:hint="default" w:ascii="Times New Roman" w:hAnsi="Times New Roman" w:cs="Times New Roman"/>
                <w:b/>
                <w:color w:val="auto"/>
                <w:sz w:val="28"/>
                <w:szCs w:val="28"/>
                <w:highlight w:val="none"/>
              </w:rPr>
            </w:pPr>
            <w:r>
              <w:rPr>
                <w:rFonts w:hint="default" w:ascii="Times New Roman" w:hAnsi="Times New Roman" w:cs="Times New Roman"/>
                <w:b/>
                <w:color w:val="auto"/>
                <w:sz w:val="28"/>
                <w:szCs w:val="28"/>
                <w:highlight w:val="none"/>
              </w:rPr>
              <w:t>8. Phí, lệ phí và các chi phí khác (nếu có)</w:t>
            </w:r>
          </w:p>
        </w:tc>
      </w:tr>
      <w:tr w14:paraId="3FFD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65B746B1">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a) Có quy định về phí, lệ phí và các chi phí khác không?</w:t>
            </w:r>
          </w:p>
        </w:tc>
        <w:tc>
          <w:tcPr>
            <w:tcW w:w="6432" w:type="dxa"/>
            <w:vAlign w:val="center"/>
          </w:tcPr>
          <w:p w14:paraId="431FD795">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Không.</w:t>
            </w:r>
          </w:p>
          <w:p w14:paraId="379E3C75">
            <w:pPr>
              <w:pStyle w:val="48"/>
              <w:numPr>
                <w:ilvl w:val="0"/>
                <w:numId w:val="3"/>
              </w:numPr>
              <w:tabs>
                <w:tab w:val="left" w:pos="130"/>
              </w:tabs>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Lệ phí: Không.</w:t>
            </w:r>
          </w:p>
          <w:p w14:paraId="4C82195D">
            <w:pPr>
              <w:pStyle w:val="48"/>
              <w:numPr>
                <w:ilvl w:val="0"/>
                <w:numId w:val="3"/>
              </w:numPr>
              <w:tabs>
                <w:tab w:val="left" w:pos="130"/>
              </w:tabs>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Phí: Không.</w:t>
            </w:r>
          </w:p>
          <w:p w14:paraId="3613DBDA">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Chi phí khác do cơ quan nhà nước thu: Không.</w:t>
            </w:r>
          </w:p>
          <w:p w14:paraId="32E61695">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Lý do: Đây là thủ tục đề nghị thụ hưởng chính sách hỗ trợ từ ngân sách nhà nước; không đặt ra khoản thu từ người dân để bảo đảm mục tiêu khuyến khích, hỗ trợ và giảm chi phí tuân thủ.</w:t>
            </w:r>
          </w:p>
        </w:tc>
      </w:tr>
      <w:tr w14:paraId="7F36E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6E55FD38">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b) Quy định về cách thức, thời điểm nộp phí, lệ phí và các chi phí khác có hợp lý không?</w:t>
            </w:r>
          </w:p>
        </w:tc>
        <w:tc>
          <w:tcPr>
            <w:tcW w:w="6432" w:type="dxa"/>
            <w:vAlign w:val="center"/>
          </w:tcPr>
          <w:p w14:paraId="73E04EAB">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Không áp dụng do thủ tục không quy định phí, lệ phí hoặc chi phí khác do cơ quan nhà nước thu.</w:t>
            </w:r>
          </w:p>
        </w:tc>
      </w:tr>
      <w:tr w14:paraId="5E908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77CBBFF8">
            <w:pPr>
              <w:pStyle w:val="48"/>
              <w:spacing w:before="60" w:line="264" w:lineRule="auto"/>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9. Mẫu đơn, tờ khai</w:t>
            </w:r>
          </w:p>
        </w:tc>
      </w:tr>
      <w:tr w14:paraId="73AC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69757AC5">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a) Có quy định về mẫu đơn, tờ khai không?</w:t>
            </w:r>
          </w:p>
        </w:tc>
        <w:tc>
          <w:tcPr>
            <w:tcW w:w="6432" w:type="dxa"/>
            <w:vAlign w:val="center"/>
          </w:tcPr>
          <w:p w14:paraId="5AF3C3E9">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Có.</w:t>
            </w:r>
          </w:p>
          <w:p w14:paraId="54AFB482">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Dự thảo quy định Đơn đề nghị hỗ trợ kinh phí lắp đặt theo mẫu số 01 tại Phụ lục kèm theo Nghị quyết. Việc mẫu hóa là cần thiết để thống nhất thông tin, giảm thời gian hướng dẫn, tiếp nhận và xử lý hồ sơ.</w:t>
            </w:r>
          </w:p>
        </w:tc>
      </w:tr>
      <w:tr w14:paraId="4817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46E254B7">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b) Tên mẫu đơn, tờ khai 1: Đơn đề nghị hỗ trợ kinh phí lắp đặt hệ thống điện mặt trời mái nhà tự sản xuất, tự tiêu thụ và hệ thống lưu trữ điện.</w:t>
            </w:r>
          </w:p>
          <w:p w14:paraId="73D8C8D1">
            <w:pPr>
              <w:spacing w:before="60" w:line="264" w:lineRule="auto"/>
              <w:ind w:firstLine="0"/>
              <w:jc w:val="both"/>
              <w:rPr>
                <w:rFonts w:hint="default" w:ascii="Times New Roman" w:hAnsi="Times New Roman" w:cs="Times New Roman"/>
                <w:color w:val="auto"/>
                <w:sz w:val="28"/>
                <w:szCs w:val="28"/>
                <w:highlight w:val="none"/>
              </w:rPr>
            </w:pPr>
          </w:p>
        </w:tc>
        <w:tc>
          <w:tcPr>
            <w:tcW w:w="6432" w:type="dxa"/>
            <w:vAlign w:val="center"/>
          </w:tcPr>
          <w:p w14:paraId="5E9D000C">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Nhóm thông tin cần cung cấp: (1) thông tin Chủ hộ; (2) địa chỉ nhà ở lắp đặt hệ thống; (3) thông tin hệ thống điện mặt trời mái nhà, công suất tấm quang điện kWp, Tổng công suất định mức các inverter kW; (4) thông tin hệ thống lưu trữ điện, tổng dung lượng lưu trữ của hệ thống lưu trữ điện kWh (nếu có); (5) tài khoản ngân hàng nhận hỗ trợ; (6) danh mục hồ sơ gửi kèm theo; (7) cam kết về tính chính xác của hồ sơ, thời gian sử dụng tối thiểu 03 năm và trách nhiệm hoàn trả kinh phí nếu vi phạm.</w:t>
            </w:r>
          </w:p>
        </w:tc>
      </w:tr>
      <w:tr w14:paraId="049E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4F1EBAE3">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 Tên mẫu đơn, tờ khai khác</w:t>
            </w:r>
          </w:p>
        </w:tc>
        <w:tc>
          <w:tcPr>
            <w:tcW w:w="6432" w:type="dxa"/>
            <w:vAlign w:val="center"/>
          </w:tcPr>
          <w:p w14:paraId="68F47A0B">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Không có.</w:t>
            </w:r>
          </w:p>
          <w:p w14:paraId="05FAE133">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Lý do: Chỉ cần 01 mẫu đơn đề nghị hỗ trợ là đủ để thu thập thông tin cần thiết. Không phát sinh tờ khai khác nhằm tránh tăng thành phần hồ sơ và chi phí tuân thủ.</w:t>
            </w:r>
          </w:p>
        </w:tc>
      </w:tr>
      <w:tr w14:paraId="0800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3FBB177C">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d) Ngôn ngữ</w:t>
            </w:r>
          </w:p>
        </w:tc>
        <w:tc>
          <w:tcPr>
            <w:tcW w:w="6432" w:type="dxa"/>
            <w:vAlign w:val="center"/>
          </w:tcPr>
          <w:p w14:paraId="0780BE5A">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Tiếng Việt.</w:t>
            </w:r>
          </w:p>
          <w:p w14:paraId="71132F0D">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Lý do: Thủ tục áp dụng đối với hộ gia đình trên địa bàn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cơ quan tiếp nhận và giải quyết là cơ quan hành chính nhà nước trong nước; không phát sinh yêu cầu sử dụng mẫu song ngữ.</w:t>
            </w:r>
          </w:p>
        </w:tc>
      </w:tr>
      <w:tr w14:paraId="0AD4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279B45E2">
            <w:pPr>
              <w:pStyle w:val="48"/>
              <w:spacing w:before="60" w:line="264" w:lineRule="auto"/>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10. Yêu cầu, điều kiện</w:t>
            </w:r>
          </w:p>
        </w:tc>
      </w:tr>
      <w:tr w14:paraId="1DD0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1FE5BA75">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Có quy định yêu cầu, điều kiện không?</w:t>
            </w:r>
          </w:p>
        </w:tc>
        <w:tc>
          <w:tcPr>
            <w:tcW w:w="6432" w:type="dxa"/>
            <w:vAlign w:val="center"/>
          </w:tcPr>
          <w:p w14:paraId="4B2EE7D4">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Có.</w:t>
            </w:r>
          </w:p>
          <w:p w14:paraId="61809B3C">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Việc quy định yêu cầu, điều kiện là cần thiết để bảo đảm chính sách hỗ trợ được thực hiện đúng đối tượng, đúng mục tiêu, đúng phạm vi hỗ trợ, phù hợp khả năng cân đối ngân sách và tránh trục lợi chính sách.</w:t>
            </w:r>
          </w:p>
        </w:tc>
      </w:tr>
      <w:tr w14:paraId="3A886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5ABC6F75">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a) Yêu cầu, điều kiện 1: Hệ thống điện mặt trời hộ gia đình phải có tổng công suất tấm quang điện lắp đặt phải đạt từ 01 kWp trở lên và tổng công suất định mức của các bộ chuyển đổi nghịch lưu phải đạt từ 01 kW trở lên</w:t>
            </w:r>
            <w:bookmarkStart w:id="1" w:name="bookmark124"/>
            <w:bookmarkEnd w:id="1"/>
            <w:r>
              <w:rPr>
                <w:rFonts w:hint="default" w:ascii="Times New Roman" w:hAnsi="Times New Roman" w:cs="Times New Roman"/>
                <w:color w:val="auto"/>
                <w:sz w:val="28"/>
                <w:szCs w:val="28"/>
                <w:highlight w:val="none"/>
              </w:rPr>
              <w:t>.</w:t>
            </w:r>
          </w:p>
        </w:tc>
        <w:tc>
          <w:tcPr>
            <w:tcW w:w="6432" w:type="dxa"/>
            <w:vAlign w:val="center"/>
          </w:tcPr>
          <w:p w14:paraId="0A0CB3EC">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b/>
                <w:bCs/>
                <w:color w:val="auto"/>
                <w:sz w:val="28"/>
                <w:szCs w:val="28"/>
                <w:highlight w:val="none"/>
              </w:rPr>
              <w:t xml:space="preserve">Lý do quy định: </w:t>
            </w:r>
            <w:r>
              <w:rPr>
                <w:rFonts w:hint="default" w:ascii="Times New Roman" w:hAnsi="Times New Roman" w:cs="Times New Roman"/>
                <w:color w:val="auto"/>
                <w:sz w:val="28"/>
                <w:szCs w:val="28"/>
                <w:highlight w:val="none"/>
              </w:rPr>
              <w:t>Điều kiện này nhằm xác định ngưỡng tối thiểu của hệ thống điện mặt trời mái nhà được hỗ trợ, bảo đảm hệ thống có quy mô thực tế, có khả năng phục vụ nhu cầu tự sản xuất, tự tiêu thụ điện của hộ gia đình.</w:t>
            </w:r>
          </w:p>
          <w:p w14:paraId="245F251A">
            <w:pPr>
              <w:pStyle w:val="48"/>
              <w:spacing w:before="60" w:line="264" w:lineRule="auto"/>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Để đáp ứng yêu cầu, điều kiện này, cá nhân cần:</w:t>
            </w:r>
          </w:p>
          <w:p w14:paraId="711F0B0B">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b/>
                <w:bCs/>
                <w:color w:val="auto"/>
                <w:sz w:val="28"/>
                <w:szCs w:val="28"/>
                <w:highlight w:val="none"/>
              </w:rPr>
              <w:t xml:space="preserve">+ </w:t>
            </w:r>
            <w:r>
              <w:rPr>
                <w:rFonts w:hint="default" w:ascii="Times New Roman" w:hAnsi="Times New Roman" w:cs="Times New Roman"/>
                <w:color w:val="auto"/>
                <w:sz w:val="28"/>
                <w:szCs w:val="28"/>
                <w:highlight w:val="none"/>
              </w:rPr>
              <w:t>Có kết quả từ một thủ tục hành chính khác:   Không.</w:t>
            </w:r>
          </w:p>
          <w:p w14:paraId="4EF79277">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Đáp ứng được sự kiểm tra, xác minh, đánh giá của cơ quan nhà nước: Có.</w:t>
            </w:r>
          </w:p>
          <w:p w14:paraId="0ABAC79C">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Thực hiện công việc khác: Cung cấp thông tin, tài liệu về công suất hệ thống trong hồ sơ đề nghị hỗ trợ.</w:t>
            </w:r>
          </w:p>
        </w:tc>
      </w:tr>
      <w:tr w14:paraId="3548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1CDC64CC">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b) Yêu cầu, điều kiện 2: Hệ thống lưu trữ điện nếu đề nghị hỗ trợ phải được lắp đặt đồng bộ với hệ thống điện mặt trời hộ gia đình và có tổng dung lượng hệ thống lưu trữ điện từ 02 kWh trở lên</w:t>
            </w:r>
          </w:p>
        </w:tc>
        <w:tc>
          <w:tcPr>
            <w:tcW w:w="6432" w:type="dxa"/>
            <w:vAlign w:val="center"/>
          </w:tcPr>
          <w:p w14:paraId="4E13B04A">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b/>
                <w:bCs/>
                <w:color w:val="auto"/>
                <w:sz w:val="28"/>
                <w:szCs w:val="28"/>
                <w:highlight w:val="none"/>
              </w:rPr>
              <w:t xml:space="preserve">Lý do quy định: </w:t>
            </w:r>
            <w:r>
              <w:rPr>
                <w:rFonts w:hint="default" w:ascii="Times New Roman" w:hAnsi="Times New Roman" w:cs="Times New Roman"/>
                <w:color w:val="auto"/>
                <w:sz w:val="28"/>
                <w:szCs w:val="28"/>
                <w:highlight w:val="none"/>
              </w:rPr>
              <w:t>Điều kiện này nhằm bảo đảm hỗ trợ đúng đối tượng là hệ thống lưu trữ điện gắn với điện mặt trời mái nhà tự sản xuất, tự tiêu thụ; khuyến khích sử dụng điện hiệu quả, tăng khả năng tự chủ nguồn điện tại chỗ và góp phần giảm phụ tải giờ cao điểm.</w:t>
            </w:r>
          </w:p>
          <w:p w14:paraId="645ED9FA">
            <w:pPr>
              <w:pStyle w:val="48"/>
              <w:spacing w:before="60" w:line="264" w:lineRule="auto"/>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Để đáp ứng yêu cầu, điều kiện này, cá nhân cần:</w:t>
            </w:r>
          </w:p>
          <w:p w14:paraId="25DD3685">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Có kết quả từ một thủ tục hành chính khác:  Không.</w:t>
            </w:r>
          </w:p>
          <w:p w14:paraId="328158F8">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Đáp ứng được sự kiểm tra, xác minh, đánh giá của cơ quan nhà nước: Có.</w:t>
            </w:r>
          </w:p>
          <w:p w14:paraId="273EF4F7">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Thực hiện công việc khác: Cung cấp thông tin, tài liệu về dung lượng hệ thống lưu trữ điện và việc lắp đặt đồng bộ với hệ thống điện mặt trời mái nhà.</w:t>
            </w:r>
          </w:p>
        </w:tc>
      </w:tr>
      <w:tr w14:paraId="44AE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390456B2">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 Yêu cầu, điều kiện 3: Có Thông báo phát triển nguồn điện hoặc Giấy chứng nhận đăng ký phát triển nguồn điện mặt trời mái nhà tự sản xuất, tự tiêu thụ đối với trường hợp pháp luật quy định phải thông báo hoặc đăng ký</w:t>
            </w:r>
          </w:p>
        </w:tc>
        <w:tc>
          <w:tcPr>
            <w:tcW w:w="6432" w:type="dxa"/>
            <w:vAlign w:val="center"/>
          </w:tcPr>
          <w:p w14:paraId="767EBC68">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b/>
                <w:bCs/>
                <w:color w:val="auto"/>
                <w:sz w:val="28"/>
                <w:szCs w:val="28"/>
                <w:highlight w:val="none"/>
              </w:rPr>
              <w:t xml:space="preserve">Lý do quy định: </w:t>
            </w:r>
            <w:r>
              <w:rPr>
                <w:rFonts w:hint="default" w:ascii="Times New Roman" w:hAnsi="Times New Roman" w:cs="Times New Roman"/>
                <w:bCs/>
                <w:color w:val="auto"/>
                <w:sz w:val="28"/>
                <w:szCs w:val="28"/>
                <w:highlight w:val="none"/>
              </w:rPr>
              <w:t>Điều kiện này nhằm bảo đảm hệ thống điện mặt trời mái nhà đề nghị hỗ trợ đã thực hiện đúng yêu cầu quản lý chuyên ngành điện lực, phù hợp với quy định về phát triển điện năng lượng tái tạo, điện năng lượng mới theo Nghị định 58/2025/NĐ-CP được sửa đổi, bổ sung bởi Nghị định số 243/2026/NĐ-CP.</w:t>
            </w:r>
          </w:p>
          <w:p w14:paraId="770EE880">
            <w:pPr>
              <w:pStyle w:val="48"/>
              <w:spacing w:before="60" w:line="264" w:lineRule="auto"/>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Để đáp ứng yêu cầu, điều kiện này, cá nhân cần:</w:t>
            </w:r>
          </w:p>
          <w:p w14:paraId="11FA671F">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b w:val="0"/>
                <w:bCs w:val="0"/>
                <w:color w:val="auto"/>
                <w:sz w:val="28"/>
                <w:szCs w:val="28"/>
                <w:highlight w:val="none"/>
              </w:rPr>
              <w:t>+</w:t>
            </w:r>
            <w:r>
              <w:rPr>
                <w:rFonts w:hint="default" w:ascii="Times New Roman" w:hAnsi="Times New Roman" w:cs="Times New Roman"/>
                <w:b/>
                <w:bCs/>
                <w:color w:val="auto"/>
                <w:sz w:val="28"/>
                <w:szCs w:val="28"/>
                <w:highlight w:val="none"/>
              </w:rPr>
              <w:t xml:space="preserve"> </w:t>
            </w:r>
            <w:r>
              <w:rPr>
                <w:rFonts w:hint="default" w:ascii="Times New Roman" w:hAnsi="Times New Roman" w:cs="Times New Roman"/>
                <w:color w:val="auto"/>
                <w:sz w:val="28"/>
                <w:szCs w:val="28"/>
                <w:highlight w:val="none"/>
              </w:rPr>
              <w:t>Có kết quả từ một thủ tục hành chính khác: Có.</w:t>
            </w:r>
          </w:p>
          <w:p w14:paraId="4E52C409">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Nếu Có, đề nghị nêu rõ: Thông báo phát triển nguồn điện hoặc Giấy chứng nhận đăng ký phát triển nguồn điện mặt trời mái nhà tự sản xuất, tự tiêu thụ theo quy định pháp luật về điện lực đối với trường hợp phải thông báo hoặc đăng ký. Thủ tục này đã được phân cấp về UBND cấp xã và yêu cầu phải Thông báo trước khi lắp đặt 10 ngày theo Nghị định số 243/2026/NĐ-CP.</w:t>
            </w:r>
          </w:p>
          <w:p w14:paraId="58377AD0">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Đáp ứng được sự kiểm tra, xác minh, đánh giá của cơ quan nhà nước: Có.</w:t>
            </w:r>
          </w:p>
          <w:p w14:paraId="636F6CD4">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Thực hiện công việc khác: Nộp bản sao không chứng thực tài liệu nêu trên trong hồ sơ đề nghị hỗ trợ.</w:t>
            </w:r>
          </w:p>
        </w:tc>
      </w:tr>
      <w:tr w14:paraId="249C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074A847A">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d) Yêu cầu, điều kiện 4: Tuân thủ các quy định có liên quan về thông báo phát triển nguồn điện, hoạt động xây dựng, lắp đặt phát triển nguồn điện mặt trời mái nhà tự sản xuất, tự tiêu thụ, an toàn điện, phòng cháy, chữa cháy, an toàn chịu lực công trình và bảo vệ môi trường</w:t>
            </w:r>
          </w:p>
        </w:tc>
        <w:tc>
          <w:tcPr>
            <w:tcW w:w="6432" w:type="dxa"/>
            <w:vAlign w:val="center"/>
          </w:tcPr>
          <w:p w14:paraId="50C9029A">
            <w:pPr>
              <w:pStyle w:val="48"/>
              <w:spacing w:before="60" w:line="264" w:lineRule="auto"/>
              <w:jc w:val="both"/>
              <w:rPr>
                <w:rFonts w:hint="default" w:ascii="Times New Roman" w:hAnsi="Times New Roman" w:cs="Times New Roman"/>
                <w:color w:val="auto"/>
                <w:spacing w:val="-6"/>
                <w:sz w:val="28"/>
                <w:szCs w:val="28"/>
                <w:highlight w:val="none"/>
              </w:rPr>
            </w:pPr>
            <w:r>
              <w:rPr>
                <w:rFonts w:hint="default" w:ascii="Times New Roman" w:hAnsi="Times New Roman" w:cs="Times New Roman"/>
                <w:color w:val="auto"/>
                <w:spacing w:val="-6"/>
                <w:sz w:val="28"/>
                <w:szCs w:val="28"/>
                <w:highlight w:val="none"/>
              </w:rPr>
              <w:t>Chủ hộ phải tuân thủ Nghị định số 58/2025/NĐ-CP, Nghị định số 243/2026/NĐ-CP và các quy định liên quan về điện lực, an toàn điện, an toàn chịu lực công trình, phòng cháy, chữa cháy, bảo vệ môi trường, quy định về nhà ở và các văn bản sửa đổi, bổ sung hoặc thay thế.</w:t>
            </w:r>
          </w:p>
          <w:p w14:paraId="4A75B652">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b/>
                <w:bCs/>
                <w:color w:val="auto"/>
                <w:sz w:val="28"/>
                <w:szCs w:val="28"/>
                <w:highlight w:val="none"/>
              </w:rPr>
              <w:t xml:space="preserve">Lý do quy định: </w:t>
            </w:r>
            <w:r>
              <w:rPr>
                <w:rFonts w:hint="default" w:ascii="Times New Roman" w:hAnsi="Times New Roman" w:cs="Times New Roman"/>
                <w:color w:val="auto"/>
                <w:sz w:val="28"/>
                <w:szCs w:val="28"/>
                <w:highlight w:val="none"/>
              </w:rPr>
              <w:t>Điều kiện này nhằm bảo đảm hệ thống điện mặt trời hộ gia đình được đầu tư, lắp đặt, vận hành an toàn, phù hợp quy định pháp luật chuyên ngành và không gây ảnh hưởng bất lợi đến công trình, lưới điện, môi trường và cộng đồng.</w:t>
            </w:r>
          </w:p>
          <w:p w14:paraId="20E0429B">
            <w:pPr>
              <w:pStyle w:val="48"/>
              <w:spacing w:before="60" w:line="264" w:lineRule="auto"/>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Để đáp ứng yêu cầu, điều kiện này, cá nhân cần:</w:t>
            </w:r>
          </w:p>
          <w:p w14:paraId="5667ED7A">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b w:val="0"/>
                <w:bCs w:val="0"/>
                <w:color w:val="auto"/>
                <w:sz w:val="28"/>
                <w:szCs w:val="28"/>
                <w:highlight w:val="none"/>
              </w:rPr>
              <w:t>+</w:t>
            </w:r>
            <w:r>
              <w:rPr>
                <w:rFonts w:hint="default" w:ascii="Times New Roman" w:hAnsi="Times New Roman" w:cs="Times New Roman"/>
                <w:b/>
                <w:bCs/>
                <w:color w:val="auto"/>
                <w:sz w:val="28"/>
                <w:szCs w:val="28"/>
                <w:highlight w:val="none"/>
              </w:rPr>
              <w:t xml:space="preserve"> </w:t>
            </w:r>
            <w:r>
              <w:rPr>
                <w:rFonts w:hint="default" w:ascii="Times New Roman" w:hAnsi="Times New Roman" w:cs="Times New Roman"/>
                <w:color w:val="auto"/>
                <w:sz w:val="28"/>
                <w:szCs w:val="28"/>
                <w:highlight w:val="none"/>
              </w:rPr>
              <w:t xml:space="preserve">Có kết quả từ một thủ tục hành chính khác: Không </w:t>
            </w:r>
            <w:r>
              <w:rPr>
                <w:rFonts w:hint="default" w:ascii="Times New Roman" w:hAnsi="Times New Roman" w:cs="Times New Roman"/>
                <w:color w:val="auto"/>
                <w:sz w:val="28"/>
                <w:szCs w:val="28"/>
                <w:highlight w:val="none"/>
              </w:rPr>
              <w:br w:type="textWrapping"/>
            </w:r>
            <w:r>
              <w:rPr>
                <w:rFonts w:hint="default" w:ascii="Times New Roman" w:hAnsi="Times New Roman" w:cs="Times New Roman"/>
                <w:color w:val="auto"/>
                <w:sz w:val="28"/>
                <w:szCs w:val="28"/>
                <w:highlight w:val="none"/>
              </w:rPr>
              <w:t>+ Đáp ứng được sự kiểm tra, xác minh, đánh giá của cơ quan nhà nước: Không</w:t>
            </w:r>
          </w:p>
          <w:p w14:paraId="7C675E61">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Thực hiện công việc khác: Chủ hộ c</w:t>
            </w:r>
            <w:r>
              <w:rPr>
                <w:rFonts w:hint="default" w:ascii="Times New Roman" w:hAnsi="Times New Roman" w:cs="Times New Roman"/>
                <w:color w:val="auto"/>
                <w:sz w:val="28"/>
                <w:szCs w:val="28"/>
                <w:highlight w:val="none"/>
                <w:lang w:val="en-US"/>
              </w:rPr>
              <w:t>a</w:t>
            </w:r>
            <w:r>
              <w:rPr>
                <w:rFonts w:hint="default" w:ascii="Times New Roman" w:hAnsi="Times New Roman" w:cs="Times New Roman"/>
                <w:color w:val="auto"/>
                <w:sz w:val="28"/>
                <w:szCs w:val="28"/>
                <w:highlight w:val="none"/>
              </w:rPr>
              <w:t>m kết và tự chịu trách nhiệm tuân thủ quy định pháp luật có liên quan; cung cấp tài liệu chứng minh trong hồ sơ khi dự thảo Nghị quyết yêu cầu.</w:t>
            </w:r>
          </w:p>
        </w:tc>
      </w:tr>
      <w:tr w14:paraId="2A08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26CD38C9">
            <w:pPr>
              <w:pStyle w:val="48"/>
              <w:spacing w:before="60" w:line="264" w:lineRule="auto"/>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11. Kết quả thực hiện</w:t>
            </w:r>
          </w:p>
        </w:tc>
      </w:tr>
      <w:tr w14:paraId="0698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1B74C0B6">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a) Hình thức của kết quả thực hiện thủ tục hành chính là gì?</w:t>
            </w:r>
          </w:p>
        </w:tc>
        <w:tc>
          <w:tcPr>
            <w:tcW w:w="6432" w:type="dxa"/>
            <w:vAlign w:val="center"/>
          </w:tcPr>
          <w:p w14:paraId="677174BE">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Hình thức kết quả: (1) Quyết định của Chủ tịch Ủy ban nhân dân cấp xã phê duyệt kinh phí hỗ trợ đối với hồ sơ đáp ứng đầy đủ điều kiện, đúng thứ tự ưu tiên và còn trong phạm vi kinh phí, số lượng theo kế hoạch; (2) Thông báo bằng văn bản, nêu rõ lý do đối với hồ sơ không đáp ứng điều kiện; (3) Thông báo bằng văn bản đối với hồ sơ đáp ứng điều kiện nhưng chưa được hỗ trợ do hết kinh phí hoặc đạt số lượng theo kế hoạch. Chủ hộ thuộc trường hợp thứ ba được đăng ký đề nghị hỗ trợ trong năm kế hoạch tiếp theo nếu hệ thống vẫn đáp ứng đầy đủ điều kiện. Kết quả được trả bằng bản giấy hoặc bản điện tử; thời gian chi trả không tính vào thời hạn giải quyết thủ tục hành chính.</w:t>
            </w:r>
          </w:p>
        </w:tc>
      </w:tr>
      <w:tr w14:paraId="6605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260000D3">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b) Kết quả thực hiện thủ tục hành chính có được mẫu hóa phù hợp không?</w:t>
            </w:r>
          </w:p>
        </w:tc>
        <w:tc>
          <w:tcPr>
            <w:tcW w:w="6432" w:type="dxa"/>
            <w:vAlign w:val="center"/>
          </w:tcPr>
          <w:p w14:paraId="692C653C">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Có</w:t>
            </w:r>
          </w:p>
          <w:p w14:paraId="67348CAE">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Lý do: Việc mẫu hóa Quyết định phê duyệt hỗ trợ giúp Ủy ban nhân dân cấp xã thực hiện thống nhất, bảo đảm rõ thông tin về Chủ hộ, địa chỉ lắp đặt, công suất/dung lượng được hỗ trợ, mức kinh phí hỗ trợ, căn cứ chi trả và trách nhiệm của người thụ hưởng.</w:t>
            </w:r>
          </w:p>
        </w:tc>
      </w:tr>
      <w:tr w14:paraId="4608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0A6B81F4">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c) Quy định về thời hạn có giá trị hiệu lực của kết quả thực hiện thủ tục hành chính có hợp lý không (nếu có)?</w:t>
            </w:r>
          </w:p>
        </w:tc>
        <w:tc>
          <w:tcPr>
            <w:tcW w:w="6432" w:type="dxa"/>
            <w:vAlign w:val="center"/>
          </w:tcPr>
          <w:p w14:paraId="596529BB">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Không quy định thời hạn hiệu lực của Quyết định phê duyệt hỗ trợ.</w:t>
            </w:r>
          </w:p>
          <w:p w14:paraId="04B244DC">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Lý do: Quyết định phê duyệt hỗ trợ là căn cứ chi trả một lần và lưu hồ sơ quản lý ngân sách. Tuy nhiên, trách nhiệm cam kết sử dụng hệ thống tối thiểu 03 năm kể từ khi nhận hỗ trợ vẫn được duy trì để làm căn cứ kiểm tra, thu hồi kinh phí nếu vi phạm.</w:t>
            </w:r>
          </w:p>
        </w:tc>
      </w:tr>
      <w:tr w14:paraId="797E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vAlign w:val="center"/>
          </w:tcPr>
          <w:p w14:paraId="493829A0">
            <w:pPr>
              <w:spacing w:before="60" w:line="264" w:lineRule="auto"/>
              <w:ind w:firstLine="0"/>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d) Quy định về phạm vi có hiệu lực của kết quả thực hiện thủ tục hành chính có hợp lý không (nếu có)?</w:t>
            </w:r>
          </w:p>
        </w:tc>
        <w:tc>
          <w:tcPr>
            <w:tcW w:w="6432" w:type="dxa"/>
            <w:vAlign w:val="center"/>
          </w:tcPr>
          <w:p w14:paraId="0AA1B406">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 Phạm vi hiệu lực: Địa phương, trong phạm vi địa bàn </w:t>
            </w:r>
            <w:r>
              <w:rPr>
                <w:rFonts w:hint="default" w:ascii="Times New Roman" w:hAnsi="Times New Roman" w:cs="Times New Roman"/>
                <w:color w:val="auto"/>
                <w:sz w:val="28"/>
                <w:szCs w:val="28"/>
                <w:highlight w:val="none"/>
                <w:lang w:val="en-US"/>
              </w:rPr>
              <w:t>thành phố Hải Phòng</w:t>
            </w:r>
            <w:r>
              <w:rPr>
                <w:rFonts w:hint="default" w:ascii="Times New Roman" w:hAnsi="Times New Roman" w:cs="Times New Roman"/>
                <w:color w:val="auto"/>
                <w:sz w:val="28"/>
                <w:szCs w:val="28"/>
                <w:highlight w:val="none"/>
              </w:rPr>
              <w:t xml:space="preserve"> và đối với nhà ở riêng lẻ có địa chỉ ghi trong hồ sơ đề nghị hỗ trợ.</w:t>
            </w:r>
          </w:p>
          <w:p w14:paraId="7883F5EF">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 Lý do: Chính sách hỗ trợ do Hội đồng nhân dân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xml:space="preserve"> ban hành và sử dụng ngân sách cấp </w:t>
            </w:r>
            <w:r>
              <w:rPr>
                <w:rFonts w:hint="default" w:ascii="Times New Roman" w:hAnsi="Times New Roman" w:cs="Times New Roman"/>
                <w:color w:val="auto"/>
                <w:sz w:val="28"/>
                <w:szCs w:val="28"/>
                <w:highlight w:val="none"/>
                <w:lang w:val="en-US"/>
              </w:rPr>
              <w:t>thành phố</w:t>
            </w:r>
            <w:r>
              <w:rPr>
                <w:rFonts w:hint="default" w:ascii="Times New Roman" w:hAnsi="Times New Roman" w:cs="Times New Roman"/>
                <w:color w:val="auto"/>
                <w:sz w:val="28"/>
                <w:szCs w:val="28"/>
                <w:highlight w:val="none"/>
              </w:rPr>
              <w:t>; kết quả giải quyết thủ tục chỉ áp dụng đối với đối tượng, địa điểm, hệ thống đã được phê duyệt hỗ trợ.</w:t>
            </w:r>
          </w:p>
        </w:tc>
      </w:tr>
      <w:tr w14:paraId="6CB30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11BF231F">
            <w:pPr>
              <w:pStyle w:val="48"/>
              <w:spacing w:before="60" w:line="264" w:lineRule="auto"/>
              <w:jc w:val="both"/>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IV. THÔNG TIN LIÊN HỆ</w:t>
            </w:r>
          </w:p>
        </w:tc>
      </w:tr>
      <w:tr w14:paraId="1B2E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2"/>
            <w:vAlign w:val="center"/>
          </w:tcPr>
          <w:p w14:paraId="2BB79F9C">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Họ và tên người điền: </w:t>
            </w:r>
            <w:r>
              <w:rPr>
                <w:rFonts w:hint="default" w:ascii="Times New Roman" w:hAnsi="Times New Roman" w:cs="Times New Roman"/>
                <w:color w:val="auto"/>
                <w:sz w:val="28"/>
                <w:szCs w:val="28"/>
                <w:highlight w:val="none"/>
                <w:lang w:val="en-US"/>
              </w:rPr>
              <w:t>Nguyễn Văn Thắng</w:t>
            </w:r>
            <w:r>
              <w:rPr>
                <w:rFonts w:hint="default" w:ascii="Times New Roman" w:hAnsi="Times New Roman" w:cs="Times New Roman"/>
                <w:color w:val="auto"/>
                <w:sz w:val="28"/>
                <w:szCs w:val="28"/>
                <w:highlight w:val="none"/>
              </w:rPr>
              <w:t>.</w:t>
            </w:r>
          </w:p>
          <w:p w14:paraId="3E72F86B">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Đơn vị: Sở Công Thương </w:t>
            </w:r>
            <w:r>
              <w:rPr>
                <w:rFonts w:hint="default" w:ascii="Times New Roman" w:hAnsi="Times New Roman" w:cs="Times New Roman"/>
                <w:color w:val="auto"/>
                <w:sz w:val="28"/>
                <w:szCs w:val="28"/>
                <w:highlight w:val="none"/>
                <w:lang w:val="en-US"/>
              </w:rPr>
              <w:t>thành phố Hải Phòng</w:t>
            </w:r>
            <w:r>
              <w:rPr>
                <w:rFonts w:hint="default" w:ascii="Times New Roman" w:hAnsi="Times New Roman" w:cs="Times New Roman"/>
                <w:color w:val="auto"/>
                <w:sz w:val="28"/>
                <w:szCs w:val="28"/>
                <w:highlight w:val="none"/>
              </w:rPr>
              <w:t>.</w:t>
            </w:r>
          </w:p>
          <w:p w14:paraId="5BB0E50E">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Số điện thoại di động: </w:t>
            </w:r>
            <w:r>
              <w:rPr>
                <w:rFonts w:hint="default" w:ascii="Times New Roman" w:hAnsi="Times New Roman" w:cs="Times New Roman"/>
                <w:color w:val="auto"/>
                <w:sz w:val="28"/>
                <w:szCs w:val="28"/>
                <w:highlight w:val="none"/>
                <w:lang w:val="en-US"/>
              </w:rPr>
              <w:t>0982010300</w:t>
            </w:r>
            <w:r>
              <w:rPr>
                <w:rFonts w:hint="default" w:ascii="Times New Roman" w:hAnsi="Times New Roman" w:cs="Times New Roman"/>
                <w:color w:val="auto"/>
                <w:sz w:val="28"/>
                <w:szCs w:val="28"/>
                <w:highlight w:val="none"/>
              </w:rPr>
              <w:t>.</w:t>
            </w:r>
          </w:p>
          <w:p w14:paraId="2C502F2A">
            <w:pPr>
              <w:pStyle w:val="48"/>
              <w:spacing w:before="60" w:line="264" w:lineRule="auto"/>
              <w:jc w:val="both"/>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 xml:space="preserve">Email: </w:t>
            </w:r>
            <w:r>
              <w:rPr>
                <w:rFonts w:hint="default" w:ascii="Times New Roman" w:hAnsi="Times New Roman" w:cs="Times New Roman"/>
                <w:color w:val="auto"/>
                <w:sz w:val="28"/>
                <w:szCs w:val="28"/>
                <w:highlight w:val="none"/>
                <w:lang w:val="en-US"/>
              </w:rPr>
              <w:t>vanthang901@gmail.com</w:t>
            </w:r>
            <w:r>
              <w:rPr>
                <w:rFonts w:hint="default" w:ascii="Times New Roman" w:hAnsi="Times New Roman" w:cs="Times New Roman"/>
                <w:color w:val="auto"/>
                <w:sz w:val="28"/>
                <w:szCs w:val="28"/>
                <w:highlight w:val="none"/>
              </w:rPr>
              <w:t>.</w:t>
            </w:r>
          </w:p>
        </w:tc>
      </w:tr>
    </w:tbl>
    <w:p w14:paraId="575BC68E">
      <w:pPr>
        <w:spacing w:before="60" w:line="247" w:lineRule="auto"/>
        <w:ind w:firstLine="0"/>
        <w:jc w:val="both"/>
        <w:rPr>
          <w:rFonts w:hint="default" w:ascii="Times New Roman" w:hAnsi="Times New Roman" w:cs="Times New Roman"/>
          <w:color w:val="auto"/>
          <w:szCs w:val="28"/>
          <w:highlight w:val="none"/>
        </w:rPr>
      </w:pPr>
    </w:p>
    <w:p w14:paraId="76DD15A4">
      <w:pPr>
        <w:pStyle w:val="47"/>
        <w:spacing w:before="60" w:after="0" w:line="247" w:lineRule="auto"/>
        <w:ind w:firstLine="0"/>
        <w:jc w:val="center"/>
        <w:rPr>
          <w:rFonts w:hint="default" w:ascii="Times New Roman" w:hAnsi="Times New Roman" w:cs="Times New Roman"/>
          <w:b/>
          <w:bCs/>
          <w:color w:val="auto"/>
          <w:highlight w:val="none"/>
        </w:rPr>
        <w:sectPr>
          <w:headerReference r:id="rId5" w:type="default"/>
          <w:pgSz w:w="11906" w:h="16838"/>
          <w:pgMar w:top="1134" w:right="1134" w:bottom="1134" w:left="1701" w:header="720" w:footer="720" w:gutter="0"/>
          <w:cols w:space="720" w:num="1"/>
          <w:docGrid w:linePitch="381" w:charSpace="0"/>
        </w:sectPr>
      </w:pPr>
      <w:r>
        <w:rPr>
          <w:rFonts w:hint="default" w:ascii="Times New Roman" w:hAnsi="Times New Roman" w:cs="Times New Roman"/>
          <w:b/>
          <w:bCs/>
          <w:color w:val="auto"/>
          <w:highlight w:val="none"/>
        </w:rPr>
        <w:br w:type="textWrapping"/>
      </w:r>
    </w:p>
    <w:p w14:paraId="346B3C5C">
      <w:pPr>
        <w:pStyle w:val="47"/>
        <w:spacing w:before="60" w:after="0" w:line="247" w:lineRule="auto"/>
        <w:jc w:val="center"/>
        <w:rPr>
          <w:rFonts w:hint="default" w:ascii="Times New Roman" w:hAnsi="Times New Roman" w:cs="Times New Roman"/>
          <w:b/>
          <w:bCs/>
          <w:color w:val="auto"/>
          <w:sz w:val="28"/>
          <w:szCs w:val="28"/>
          <w:highlight w:val="none"/>
        </w:rPr>
      </w:pPr>
      <w:r>
        <w:rPr>
          <w:rFonts w:hint="default" w:ascii="Times New Roman" w:hAnsi="Times New Roman" w:cs="Times New Roman"/>
          <w:b/>
          <w:color w:val="auto"/>
          <w:sz w:val="28"/>
          <w:szCs w:val="28"/>
          <w:highlight w:val="none"/>
        </w:rPr>
        <w:t>PHỤ LỤC 2</w:t>
      </w:r>
    </w:p>
    <w:p w14:paraId="1A942F8A">
      <w:pPr>
        <w:pStyle w:val="47"/>
        <w:spacing w:before="60" w:after="0" w:line="247" w:lineRule="auto"/>
        <w:jc w:val="center"/>
        <w:rPr>
          <w:rFonts w:hint="default" w:ascii="Times New Roman" w:hAnsi="Times New Roman" w:cs="Times New Roman"/>
          <w:color w:val="auto"/>
          <w:sz w:val="28"/>
          <w:szCs w:val="28"/>
          <w:highlight w:val="none"/>
        </w:rPr>
      </w:pPr>
      <w:r>
        <w:rPr>
          <w:rFonts w:hint="default" w:ascii="Times New Roman" w:hAnsi="Times New Roman" w:cs="Times New Roman"/>
          <w:b/>
          <w:bCs/>
          <w:color w:val="auto"/>
          <w:sz w:val="28"/>
          <w:szCs w:val="28"/>
          <w:highlight w:val="none"/>
        </w:rPr>
        <w:t>BIỂU MẪU SỐ 04/ĐGTĐ-SCM</w:t>
      </w:r>
    </w:p>
    <w:p w14:paraId="41F07775">
      <w:pPr>
        <w:pStyle w:val="47"/>
        <w:spacing w:before="60" w:after="0" w:line="247" w:lineRule="auto"/>
        <w:jc w:val="center"/>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BIỂU MẪU TÍNH CHI PHÍ TUÂN THỦ THỦ TỤC HÀNH CHÍNH TRONG DỰ THẢO VĂN BẢN</w:t>
      </w:r>
    </w:p>
    <w:p w14:paraId="0C8EFF35">
      <w:pPr>
        <w:pStyle w:val="47"/>
        <w:spacing w:before="60" w:after="0" w:line="247" w:lineRule="auto"/>
        <w:ind w:firstLine="0"/>
        <w:rPr>
          <w:rFonts w:hint="default" w:ascii="Times New Roman" w:hAnsi="Times New Roman" w:cs="Times New Roman"/>
          <w:color w:val="auto"/>
          <w:sz w:val="28"/>
          <w:szCs w:val="28"/>
          <w:highlight w:val="none"/>
        </w:rPr>
      </w:pPr>
    </w:p>
    <w:p w14:paraId="64E14A5A">
      <w:pPr>
        <w:pStyle w:val="47"/>
        <w:spacing w:before="60" w:after="0" w:line="247" w:lineRule="auto"/>
        <w:ind w:firstLine="720"/>
        <w:jc w:val="both"/>
        <w:rPr>
          <w:rFonts w:hint="default" w:ascii="Times New Roman" w:hAnsi="Times New Roman" w:cs="Times New Roman"/>
          <w:color w:val="auto"/>
          <w:sz w:val="28"/>
          <w:szCs w:val="28"/>
          <w:highlight w:val="none"/>
        </w:rPr>
      </w:pPr>
      <w:r>
        <w:rPr>
          <w:rFonts w:hint="default" w:ascii="Times New Roman" w:hAnsi="Times New Roman" w:cs="Times New Roman"/>
          <w:b/>
          <w:bCs/>
          <w:color w:val="auto"/>
          <w:sz w:val="28"/>
          <w:szCs w:val="28"/>
          <w:highlight w:val="none"/>
        </w:rPr>
        <w:t xml:space="preserve">Tên thủ tục hành chính: </w:t>
      </w:r>
      <w:r>
        <w:rPr>
          <w:rFonts w:hint="default" w:ascii="Times New Roman" w:hAnsi="Times New Roman" w:cs="Times New Roman"/>
          <w:b w:val="0"/>
          <w:bCs w:val="0"/>
          <w:color w:val="auto"/>
          <w:sz w:val="28"/>
          <w:szCs w:val="28"/>
          <w:highlight w:val="none"/>
          <w:lang w:val="en-US"/>
        </w:rPr>
        <w:t>T</w:t>
      </w:r>
      <w:r>
        <w:rPr>
          <w:rFonts w:hint="default" w:ascii="Times New Roman" w:hAnsi="Times New Roman" w:cs="Times New Roman"/>
          <w:color w:val="auto"/>
          <w:sz w:val="28"/>
          <w:szCs w:val="28"/>
          <w:highlight w:val="none"/>
        </w:rPr>
        <w:t>hủ tục đề nghị hỗ trợ kinh phí lắp đặt điện mặt trời mái nhà và hệ thống lưu trữ điện cho hộ gia đình.</w:t>
      </w:r>
    </w:p>
    <w:p w14:paraId="1BD067E0">
      <w:pPr>
        <w:pStyle w:val="49"/>
        <w:keepNext/>
        <w:keepLines/>
        <w:spacing w:before="60" w:after="0" w:line="247" w:lineRule="auto"/>
        <w:jc w:val="both"/>
        <w:rPr>
          <w:rFonts w:hint="default" w:ascii="Times New Roman" w:hAnsi="Times New Roman" w:cs="Times New Roman"/>
          <w:color w:val="auto"/>
          <w:sz w:val="28"/>
          <w:szCs w:val="28"/>
          <w:highlight w:val="none"/>
        </w:rPr>
      </w:pPr>
      <w:bookmarkStart w:id="2" w:name="bookmark41"/>
      <w:bookmarkStart w:id="3" w:name="bookmark43"/>
      <w:bookmarkStart w:id="4" w:name="bookmark42"/>
      <w:r>
        <w:rPr>
          <w:rFonts w:hint="default" w:ascii="Times New Roman" w:hAnsi="Times New Roman" w:cs="Times New Roman"/>
          <w:color w:val="auto"/>
          <w:sz w:val="28"/>
          <w:szCs w:val="28"/>
          <w:highlight w:val="none"/>
        </w:rPr>
        <w:t>1. CƠ SỞ, GIẢ ĐỊNH PHỤC VỤ TÍNH TOÁN</w:t>
      </w:r>
      <w:bookmarkEnd w:id="2"/>
      <w:bookmarkEnd w:id="3"/>
      <w:bookmarkEnd w:id="4"/>
    </w:p>
    <w:p w14:paraId="252DB15A">
      <w:pPr>
        <w:pStyle w:val="47"/>
        <w:spacing w:before="60" w:after="0" w:line="247" w:lineRule="auto"/>
        <w:ind w:firstLine="720"/>
        <w:jc w:val="both"/>
        <w:rPr>
          <w:rFonts w:hint="default" w:ascii="Times New Roman" w:hAnsi="Times New Roman" w:cs="Times New Roman"/>
          <w:color w:val="auto"/>
          <w:spacing w:val="-6"/>
          <w:sz w:val="28"/>
          <w:szCs w:val="28"/>
          <w:highlight w:val="none"/>
        </w:rPr>
      </w:pPr>
      <w:r>
        <w:rPr>
          <w:rFonts w:hint="default" w:ascii="Times New Roman" w:hAnsi="Times New Roman" w:cs="Times New Roman"/>
          <w:color w:val="auto"/>
          <w:spacing w:val="-6"/>
          <w:sz w:val="28"/>
          <w:szCs w:val="28"/>
          <w:highlight w:val="none"/>
        </w:rPr>
        <w:t xml:space="preserve">Dự kiến tổng số đối tượng thực hiện thủ tục hành chính khoảng </w:t>
      </w:r>
      <w:r>
        <w:rPr>
          <w:rFonts w:hint="default" w:ascii="Times New Roman" w:hAnsi="Times New Roman" w:cs="Times New Roman"/>
          <w:color w:val="auto"/>
          <w:spacing w:val="-6"/>
          <w:sz w:val="28"/>
          <w:szCs w:val="28"/>
          <w:highlight w:val="none"/>
          <w:lang w:val="en-US"/>
        </w:rPr>
        <w:t>18.</w:t>
      </w:r>
      <w:r>
        <w:rPr>
          <w:rFonts w:hint="default" w:ascii="Times New Roman" w:hAnsi="Times New Roman" w:cs="Times New Roman"/>
          <w:color w:val="auto"/>
          <w:spacing w:val="-6"/>
          <w:sz w:val="28"/>
          <w:szCs w:val="28"/>
          <w:highlight w:val="none"/>
        </w:rPr>
        <w:t>000 hộ gia đình trong giai đoạn 202</w:t>
      </w:r>
      <w:r>
        <w:rPr>
          <w:rFonts w:hint="default" w:ascii="Times New Roman" w:hAnsi="Times New Roman" w:cs="Times New Roman"/>
          <w:color w:val="auto"/>
          <w:spacing w:val="-6"/>
          <w:sz w:val="28"/>
          <w:szCs w:val="28"/>
          <w:highlight w:val="none"/>
          <w:lang w:val="en-US"/>
        </w:rPr>
        <w:t>7</w:t>
      </w:r>
      <w:r>
        <w:rPr>
          <w:rFonts w:hint="default" w:ascii="Times New Roman" w:hAnsi="Times New Roman" w:cs="Times New Roman"/>
          <w:color w:val="auto"/>
          <w:spacing w:val="-6"/>
          <w:sz w:val="28"/>
          <w:szCs w:val="28"/>
          <w:highlight w:val="none"/>
        </w:rPr>
        <w:t xml:space="preserve">-2030, bình quân khoảng </w:t>
      </w:r>
      <w:r>
        <w:rPr>
          <w:rFonts w:hint="default" w:ascii="Times New Roman" w:hAnsi="Times New Roman" w:cs="Times New Roman"/>
          <w:color w:val="auto"/>
          <w:spacing w:val="-6"/>
          <w:sz w:val="28"/>
          <w:szCs w:val="28"/>
          <w:highlight w:val="none"/>
          <w:lang w:val="en-US"/>
        </w:rPr>
        <w:t>4.5</w:t>
      </w:r>
      <w:r>
        <w:rPr>
          <w:rFonts w:hint="default" w:ascii="Times New Roman" w:hAnsi="Times New Roman" w:cs="Times New Roman"/>
          <w:color w:val="auto"/>
          <w:spacing w:val="-6"/>
          <w:sz w:val="28"/>
          <w:szCs w:val="28"/>
          <w:highlight w:val="none"/>
        </w:rPr>
        <w:t>00 hồ sơ/năm.</w:t>
      </w:r>
    </w:p>
    <w:p w14:paraId="64F98D47">
      <w:pPr>
        <w:pStyle w:val="47"/>
        <w:spacing w:before="60" w:after="0" w:line="247" w:lineRule="auto"/>
        <w:ind w:firstLine="720"/>
        <w:jc w:val="both"/>
        <w:rPr>
          <w:rFonts w:hint="default" w:ascii="Times New Roman" w:hAnsi="Times New Roman" w:cs="Times New Roman"/>
          <w:color w:val="auto"/>
          <w:spacing w:val="-6"/>
          <w:sz w:val="28"/>
          <w:szCs w:val="28"/>
          <w:highlight w:val="none"/>
        </w:rPr>
      </w:pPr>
      <w:r>
        <w:rPr>
          <w:rFonts w:hint="default" w:ascii="Times New Roman" w:hAnsi="Times New Roman" w:cs="Times New Roman"/>
          <w:color w:val="auto"/>
          <w:spacing w:val="-6"/>
          <w:sz w:val="28"/>
          <w:szCs w:val="28"/>
          <w:highlight w:val="none"/>
        </w:rPr>
        <w:t>Thủ tục hành chính không quy định phí, lệ phí hoặc khoản thu khác của cơ quan nhà nước.</w:t>
      </w:r>
    </w:p>
    <w:p w14:paraId="54ADD6DA">
      <w:pPr>
        <w:pStyle w:val="47"/>
        <w:spacing w:before="60" w:after="0" w:line="247" w:lineRule="auto"/>
        <w:ind w:firstLine="720"/>
        <w:jc w:val="both"/>
        <w:rPr>
          <w:rFonts w:hint="default" w:ascii="Times New Roman" w:hAnsi="Times New Roman" w:cs="Times New Roman"/>
          <w:color w:val="auto"/>
          <w:spacing w:val="-6"/>
          <w:sz w:val="28"/>
          <w:szCs w:val="28"/>
          <w:highlight w:val="none"/>
        </w:rPr>
      </w:pPr>
      <w:r>
        <w:rPr>
          <w:rFonts w:hint="default" w:ascii="Times New Roman" w:hAnsi="Times New Roman" w:cs="Times New Roman"/>
          <w:color w:val="auto"/>
          <w:spacing w:val="-6"/>
          <w:sz w:val="28"/>
          <w:szCs w:val="28"/>
          <w:highlight w:val="none"/>
        </w:rPr>
        <w:t xml:space="preserve">Hồ sơ được tiếp nhận theo các hình thức: trực tiếp, qua dịch vụ bưu chính công ích hoặc trực tuyến trên Hệ thống thông tin giải quyết thủ tục hành chính của </w:t>
      </w:r>
      <w:r>
        <w:rPr>
          <w:rFonts w:hint="default" w:ascii="Times New Roman" w:hAnsi="Times New Roman" w:cs="Times New Roman"/>
          <w:color w:val="auto"/>
          <w:spacing w:val="-6"/>
          <w:sz w:val="28"/>
          <w:szCs w:val="28"/>
          <w:highlight w:val="none"/>
          <w:lang w:val="en-US"/>
        </w:rPr>
        <w:t>thành phố</w:t>
      </w:r>
      <w:r>
        <w:rPr>
          <w:rFonts w:hint="default" w:ascii="Times New Roman" w:hAnsi="Times New Roman" w:cs="Times New Roman"/>
          <w:color w:val="auto"/>
          <w:spacing w:val="-6"/>
          <w:sz w:val="28"/>
          <w:szCs w:val="28"/>
          <w:highlight w:val="none"/>
        </w:rPr>
        <w:t>/Cổng dịch vụ công quốc gia khi đáp ứng điều kiện thực hiện trên môi trường điện tử.</w:t>
      </w:r>
    </w:p>
    <w:p w14:paraId="2C183EEA">
      <w:pPr>
        <w:pStyle w:val="47"/>
        <w:spacing w:before="60" w:after="0" w:line="247" w:lineRule="auto"/>
        <w:ind w:firstLine="686"/>
        <w:jc w:val="both"/>
        <w:rPr>
          <w:rFonts w:hint="default" w:ascii="Times New Roman" w:hAnsi="Times New Roman" w:cs="Times New Roman"/>
          <w:color w:val="auto"/>
          <w:spacing w:val="-6"/>
          <w:sz w:val="28"/>
          <w:szCs w:val="28"/>
          <w:highlight w:val="none"/>
        </w:rPr>
      </w:pPr>
      <w:r>
        <w:rPr>
          <w:rFonts w:hint="default" w:ascii="Times New Roman" w:hAnsi="Times New Roman" w:cs="Times New Roman"/>
          <w:color w:val="auto"/>
          <w:spacing w:val="-6"/>
          <w:sz w:val="28"/>
          <w:szCs w:val="28"/>
          <w:highlight w:val="none"/>
        </w:rPr>
        <w:t xml:space="preserve">Đối với giấy tờ, thông tin đã có trong Cổng dịch vụ công quốc gia, Hệ thống thông tin giải quyết thủ tục hành chính </w:t>
      </w:r>
      <w:r>
        <w:rPr>
          <w:rFonts w:hint="default" w:ascii="Times New Roman" w:hAnsi="Times New Roman" w:cs="Times New Roman"/>
          <w:color w:val="auto"/>
          <w:spacing w:val="-6"/>
          <w:sz w:val="28"/>
          <w:szCs w:val="28"/>
          <w:highlight w:val="none"/>
          <w:lang w:val="en-US"/>
        </w:rPr>
        <w:t>thành phố</w:t>
      </w:r>
      <w:r>
        <w:rPr>
          <w:rFonts w:hint="default" w:ascii="Times New Roman" w:hAnsi="Times New Roman" w:cs="Times New Roman"/>
          <w:color w:val="auto"/>
          <w:spacing w:val="-6"/>
          <w:sz w:val="28"/>
          <w:szCs w:val="28"/>
          <w:highlight w:val="none"/>
        </w:rPr>
        <w:t>, cơ sở dữ liệu quốc gia, cơ sở dữ liệu chuyên ngành hoặc do cơ quan giải quyết thủ tục hành chính đang quản lý, không yêu cầu Chủ hộ cung cấp lại.</w:t>
      </w:r>
    </w:p>
    <w:p w14:paraId="3932690E">
      <w:pPr>
        <w:pStyle w:val="47"/>
        <w:spacing w:before="60" w:after="0" w:line="247" w:lineRule="auto"/>
        <w:ind w:firstLine="686"/>
        <w:jc w:val="both"/>
        <w:rPr>
          <w:rFonts w:hint="default" w:ascii="Times New Roman" w:hAnsi="Times New Roman" w:cs="Times New Roman"/>
          <w:color w:val="auto"/>
          <w:spacing w:val="-6"/>
          <w:sz w:val="28"/>
          <w:szCs w:val="28"/>
          <w:highlight w:val="none"/>
        </w:rPr>
      </w:pPr>
      <w:r>
        <w:rPr>
          <w:rFonts w:hint="default" w:ascii="Times New Roman" w:hAnsi="Times New Roman" w:cs="Times New Roman"/>
          <w:color w:val="auto"/>
          <w:spacing w:val="-6"/>
          <w:sz w:val="28"/>
          <w:szCs w:val="28"/>
          <w:highlight w:val="none"/>
        </w:rPr>
        <w:t>Chi phí thời gian được tạm tính theo mức lương tối thiểu giờ vùng I là 2</w:t>
      </w:r>
      <w:r>
        <w:rPr>
          <w:rFonts w:hint="default" w:ascii="Times New Roman" w:hAnsi="Times New Roman" w:cs="Times New Roman"/>
          <w:color w:val="auto"/>
          <w:spacing w:val="-6"/>
          <w:sz w:val="28"/>
          <w:szCs w:val="28"/>
          <w:highlight w:val="none"/>
          <w:lang w:val="en-US"/>
        </w:rPr>
        <w:t>5</w:t>
      </w:r>
      <w:r>
        <w:rPr>
          <w:rFonts w:hint="default" w:ascii="Times New Roman" w:hAnsi="Times New Roman" w:cs="Times New Roman"/>
          <w:color w:val="auto"/>
          <w:spacing w:val="-6"/>
          <w:sz w:val="28"/>
          <w:szCs w:val="28"/>
          <w:highlight w:val="none"/>
        </w:rPr>
        <w:t>.</w:t>
      </w:r>
      <w:r>
        <w:rPr>
          <w:rFonts w:hint="default" w:ascii="Times New Roman" w:hAnsi="Times New Roman" w:cs="Times New Roman"/>
          <w:color w:val="auto"/>
          <w:spacing w:val="-6"/>
          <w:sz w:val="28"/>
          <w:szCs w:val="28"/>
          <w:highlight w:val="none"/>
          <w:lang w:val="en-US"/>
        </w:rPr>
        <w:t>5</w:t>
      </w:r>
      <w:r>
        <w:rPr>
          <w:rFonts w:hint="default" w:ascii="Times New Roman" w:hAnsi="Times New Roman" w:cs="Times New Roman"/>
          <w:color w:val="auto"/>
          <w:spacing w:val="-6"/>
          <w:sz w:val="28"/>
          <w:szCs w:val="28"/>
          <w:highlight w:val="none"/>
        </w:rPr>
        <w:t xml:space="preserve">00 đồng/giờ theo quy định tại Nghị định 293/2025/NĐ-CP ngày 10/11/2025 của Chính phủ quy định mức lương tối thiểu đối với người lao động làm việc theo hợp đồng lao động, </w:t>
      </w:r>
      <w:r>
        <w:rPr>
          <w:rFonts w:hint="default" w:ascii="Times New Roman" w:hAnsi="Times New Roman" w:cs="Times New Roman"/>
          <w:i/>
          <w:iCs/>
          <w:color w:val="auto"/>
          <w:spacing w:val="-6"/>
          <w:sz w:val="28"/>
          <w:szCs w:val="28"/>
          <w:highlight w:val="none"/>
        </w:rPr>
        <w:t>(</w:t>
      </w:r>
      <w:r>
        <w:rPr>
          <w:rFonts w:hint="default" w:ascii="Times New Roman" w:hAnsi="Times New Roman" w:cs="Times New Roman"/>
          <w:i/>
          <w:iCs/>
          <w:color w:val="auto"/>
          <w:spacing w:val="-6"/>
          <w:sz w:val="28"/>
          <w:szCs w:val="28"/>
          <w:highlight w:val="none"/>
          <w:lang w:val="en-US"/>
        </w:rPr>
        <w:t>Thành phố Hải Phòng</w:t>
      </w:r>
      <w:r>
        <w:rPr>
          <w:rFonts w:hint="default" w:ascii="Times New Roman" w:hAnsi="Times New Roman" w:cs="Times New Roman"/>
          <w:i/>
          <w:iCs/>
          <w:color w:val="auto"/>
          <w:spacing w:val="-6"/>
          <w:sz w:val="28"/>
          <w:szCs w:val="28"/>
          <w:highlight w:val="none"/>
        </w:rPr>
        <w:t xml:space="preserve"> được phân làm 3 vùng gồm vùng I, II và I</w:t>
      </w:r>
      <w:r>
        <w:rPr>
          <w:rFonts w:hint="default" w:ascii="Times New Roman" w:hAnsi="Times New Roman" w:cs="Times New Roman"/>
          <w:i/>
          <w:iCs/>
          <w:color w:val="auto"/>
          <w:spacing w:val="-6"/>
          <w:sz w:val="28"/>
          <w:szCs w:val="28"/>
          <w:highlight w:val="none"/>
          <w:lang w:val="en-US"/>
        </w:rPr>
        <w:t>II</w:t>
      </w:r>
      <w:r>
        <w:rPr>
          <w:rFonts w:hint="default" w:ascii="Times New Roman" w:hAnsi="Times New Roman" w:cs="Times New Roman"/>
          <w:i/>
          <w:iCs/>
          <w:color w:val="auto"/>
          <w:spacing w:val="-6"/>
          <w:sz w:val="28"/>
          <w:szCs w:val="28"/>
          <w:highlight w:val="none"/>
        </w:rPr>
        <w:t xml:space="preserve">, </w:t>
      </w:r>
      <w:r>
        <w:rPr>
          <w:rFonts w:hint="default" w:ascii="Times New Roman" w:hAnsi="Times New Roman" w:cs="Times New Roman"/>
          <w:i/>
          <w:iCs/>
          <w:color w:val="auto"/>
          <w:spacing w:val="-6"/>
          <w:sz w:val="28"/>
          <w:szCs w:val="28"/>
          <w:highlight w:val="none"/>
          <w:lang w:val="en-US"/>
        </w:rPr>
        <w:t xml:space="preserve">trong đó vùng I gồm 98 đơn vị. Vì vậy, </w:t>
      </w:r>
      <w:r>
        <w:rPr>
          <w:rFonts w:hint="default" w:ascii="Times New Roman" w:hAnsi="Times New Roman" w:cs="Times New Roman"/>
          <w:i/>
          <w:iCs/>
          <w:color w:val="auto"/>
          <w:spacing w:val="-6"/>
          <w:sz w:val="28"/>
          <w:szCs w:val="28"/>
          <w:highlight w:val="none"/>
        </w:rPr>
        <w:t>báo cáo lấy mức lương tối thiểu giờ theo vùng I là mức cao nhất, để bảo đảm nguyên tắc tính thận trọng khi lượng hóa chi phí tuân thủ).</w:t>
      </w:r>
    </w:p>
    <w:p w14:paraId="4C32407B">
      <w:pPr>
        <w:pStyle w:val="50"/>
        <w:rPr>
          <w:rFonts w:hint="default" w:ascii="Times New Roman" w:hAnsi="Times New Roman" w:cs="Times New Roman"/>
          <w:color w:val="auto"/>
          <w:sz w:val="28"/>
          <w:szCs w:val="28"/>
          <w:highlight w:val="none"/>
        </w:rPr>
      </w:pPr>
    </w:p>
    <w:p w14:paraId="6E7948F9">
      <w:pPr>
        <w:pStyle w:val="50"/>
        <w:rPr>
          <w:rFonts w:hint="default" w:ascii="Times New Roman" w:hAnsi="Times New Roman" w:cs="Times New Roman"/>
          <w:color w:val="auto"/>
          <w:sz w:val="28"/>
          <w:szCs w:val="28"/>
          <w:highlight w:val="none"/>
        </w:rPr>
      </w:pPr>
    </w:p>
    <w:p w14:paraId="5A2A726E">
      <w:pPr>
        <w:pStyle w:val="50"/>
        <w:rPr>
          <w:rFonts w:hint="default" w:ascii="Times New Roman" w:hAnsi="Times New Roman" w:cs="Times New Roman"/>
          <w:color w:val="auto"/>
          <w:sz w:val="28"/>
          <w:szCs w:val="28"/>
          <w:highlight w:val="none"/>
        </w:rPr>
      </w:pPr>
    </w:p>
    <w:p w14:paraId="108A1658">
      <w:pPr>
        <w:pStyle w:val="50"/>
        <w:rPr>
          <w:rFonts w:hint="default" w:ascii="Times New Roman" w:hAnsi="Times New Roman" w:cs="Times New Roman"/>
          <w:color w:val="auto"/>
          <w:sz w:val="28"/>
          <w:szCs w:val="28"/>
          <w:highlight w:val="none"/>
        </w:rPr>
      </w:pPr>
    </w:p>
    <w:tbl>
      <w:tblPr>
        <w:tblStyle w:val="4"/>
        <w:tblW w:w="148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2"/>
        <w:gridCol w:w="953"/>
        <w:gridCol w:w="1336"/>
        <w:gridCol w:w="760"/>
        <w:gridCol w:w="1369"/>
        <w:gridCol w:w="1247"/>
        <w:gridCol w:w="1151"/>
        <w:gridCol w:w="1228"/>
        <w:gridCol w:w="1211"/>
        <w:gridCol w:w="1319"/>
        <w:gridCol w:w="1794"/>
        <w:gridCol w:w="95"/>
        <w:gridCol w:w="1770"/>
      </w:tblGrid>
      <w:tr w14:paraId="1FC11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865" w:type="dxa"/>
          <w:trHeight w:val="300" w:hRule="atLeast"/>
        </w:trPr>
        <w:tc>
          <w:tcPr>
            <w:tcW w:w="12950" w:type="dxa"/>
            <w:gridSpan w:val="11"/>
            <w:tcBorders>
              <w:top w:val="nil"/>
              <w:left w:val="nil"/>
              <w:bottom w:val="nil"/>
              <w:right w:val="nil"/>
            </w:tcBorders>
            <w:shd w:val="clear" w:color="auto" w:fill="auto"/>
            <w:noWrap/>
            <w:vAlign w:val="center"/>
          </w:tcPr>
          <w:p w14:paraId="57554360">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2. CHI PHÍ TUÂN THỦ THỦ TỤC HÀNH CHÍNH DỰ KIẾN BAN HÀNH MỚI</w:t>
            </w:r>
          </w:p>
        </w:tc>
      </w:tr>
      <w:tr w14:paraId="52ADC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14:paraId="6C80A742">
            <w:pPr>
              <w:rPr>
                <w:rFonts w:hint="eastAsia" w:ascii="Calibri" w:hAnsi="Calibri" w:cs="Calibri"/>
                <w:i w:val="0"/>
                <w:iCs w:val="0"/>
                <w:color w:val="auto"/>
                <w:sz w:val="24"/>
                <w:szCs w:val="24"/>
                <w:highlight w:val="none"/>
                <w:u w:val="none"/>
              </w:rPr>
            </w:pPr>
          </w:p>
        </w:tc>
        <w:tc>
          <w:tcPr>
            <w:tcW w:w="0" w:type="auto"/>
            <w:tcBorders>
              <w:top w:val="nil"/>
              <w:left w:val="nil"/>
              <w:bottom w:val="nil"/>
              <w:right w:val="nil"/>
            </w:tcBorders>
            <w:shd w:val="clear" w:color="auto" w:fill="auto"/>
            <w:noWrap/>
            <w:vAlign w:val="center"/>
          </w:tcPr>
          <w:p w14:paraId="4642FA95">
            <w:pPr>
              <w:rPr>
                <w:rFonts w:hint="default" w:ascii="Calibri" w:hAnsi="Calibri" w:cs="Calibri"/>
                <w:i w:val="0"/>
                <w:iCs w:val="0"/>
                <w:color w:val="auto"/>
                <w:sz w:val="24"/>
                <w:szCs w:val="24"/>
                <w:highlight w:val="none"/>
                <w:u w:val="none"/>
              </w:rPr>
            </w:pPr>
          </w:p>
        </w:tc>
        <w:tc>
          <w:tcPr>
            <w:tcW w:w="0" w:type="auto"/>
            <w:tcBorders>
              <w:top w:val="nil"/>
              <w:left w:val="nil"/>
              <w:bottom w:val="nil"/>
              <w:right w:val="nil"/>
            </w:tcBorders>
            <w:shd w:val="clear" w:color="auto" w:fill="auto"/>
            <w:noWrap/>
            <w:vAlign w:val="center"/>
          </w:tcPr>
          <w:p w14:paraId="00606513">
            <w:pPr>
              <w:rPr>
                <w:rFonts w:hint="default" w:ascii="Calibri" w:hAnsi="Calibri" w:cs="Calibri"/>
                <w:i w:val="0"/>
                <w:iCs w:val="0"/>
                <w:color w:val="auto"/>
                <w:sz w:val="24"/>
                <w:szCs w:val="24"/>
                <w:highlight w:val="none"/>
                <w:u w:val="none"/>
              </w:rPr>
            </w:pPr>
          </w:p>
        </w:tc>
        <w:tc>
          <w:tcPr>
            <w:tcW w:w="0" w:type="auto"/>
            <w:tcBorders>
              <w:top w:val="nil"/>
              <w:left w:val="nil"/>
              <w:bottom w:val="nil"/>
              <w:right w:val="nil"/>
            </w:tcBorders>
            <w:shd w:val="clear" w:color="auto" w:fill="auto"/>
            <w:noWrap/>
            <w:vAlign w:val="center"/>
          </w:tcPr>
          <w:p w14:paraId="1040E221">
            <w:pPr>
              <w:rPr>
                <w:rFonts w:hint="default" w:ascii="Calibri" w:hAnsi="Calibri" w:cs="Calibri"/>
                <w:i w:val="0"/>
                <w:iCs w:val="0"/>
                <w:color w:val="auto"/>
                <w:sz w:val="24"/>
                <w:szCs w:val="24"/>
                <w:highlight w:val="none"/>
                <w:u w:val="none"/>
              </w:rPr>
            </w:pPr>
          </w:p>
        </w:tc>
        <w:tc>
          <w:tcPr>
            <w:tcW w:w="1369" w:type="dxa"/>
            <w:tcBorders>
              <w:top w:val="nil"/>
              <w:left w:val="nil"/>
              <w:bottom w:val="nil"/>
              <w:right w:val="nil"/>
            </w:tcBorders>
            <w:shd w:val="clear" w:color="auto" w:fill="auto"/>
            <w:noWrap/>
            <w:vAlign w:val="center"/>
          </w:tcPr>
          <w:p w14:paraId="09B86D96">
            <w:pPr>
              <w:rPr>
                <w:rFonts w:hint="default" w:ascii="Calibri" w:hAnsi="Calibri" w:cs="Calibri"/>
                <w:i w:val="0"/>
                <w:iCs w:val="0"/>
                <w:color w:val="auto"/>
                <w:sz w:val="24"/>
                <w:szCs w:val="24"/>
                <w:highlight w:val="none"/>
                <w:u w:val="none"/>
              </w:rPr>
            </w:pPr>
          </w:p>
        </w:tc>
        <w:tc>
          <w:tcPr>
            <w:tcW w:w="1247" w:type="dxa"/>
            <w:tcBorders>
              <w:top w:val="nil"/>
              <w:left w:val="nil"/>
              <w:bottom w:val="nil"/>
              <w:right w:val="nil"/>
            </w:tcBorders>
            <w:shd w:val="clear" w:color="auto" w:fill="auto"/>
            <w:noWrap/>
            <w:vAlign w:val="center"/>
          </w:tcPr>
          <w:p w14:paraId="6124AE23">
            <w:pPr>
              <w:rPr>
                <w:rFonts w:hint="default" w:ascii="Calibri" w:hAnsi="Calibri" w:cs="Calibri"/>
                <w:i w:val="0"/>
                <w:iCs w:val="0"/>
                <w:color w:val="auto"/>
                <w:sz w:val="24"/>
                <w:szCs w:val="24"/>
                <w:highlight w:val="none"/>
                <w:u w:val="none"/>
              </w:rPr>
            </w:pPr>
          </w:p>
        </w:tc>
        <w:tc>
          <w:tcPr>
            <w:tcW w:w="1151" w:type="dxa"/>
            <w:tcBorders>
              <w:top w:val="nil"/>
              <w:left w:val="nil"/>
              <w:bottom w:val="nil"/>
              <w:right w:val="nil"/>
            </w:tcBorders>
            <w:shd w:val="clear" w:color="auto" w:fill="auto"/>
            <w:noWrap/>
            <w:vAlign w:val="center"/>
          </w:tcPr>
          <w:p w14:paraId="4CE02CE4">
            <w:pPr>
              <w:rPr>
                <w:rFonts w:hint="default" w:ascii="Calibri" w:hAnsi="Calibri" w:cs="Calibri"/>
                <w:i w:val="0"/>
                <w:iCs w:val="0"/>
                <w:color w:val="auto"/>
                <w:sz w:val="24"/>
                <w:szCs w:val="24"/>
                <w:highlight w:val="none"/>
                <w:u w:val="none"/>
              </w:rPr>
            </w:pPr>
          </w:p>
        </w:tc>
        <w:tc>
          <w:tcPr>
            <w:tcW w:w="1228" w:type="dxa"/>
            <w:tcBorders>
              <w:top w:val="nil"/>
              <w:left w:val="nil"/>
              <w:bottom w:val="nil"/>
              <w:right w:val="nil"/>
            </w:tcBorders>
            <w:shd w:val="clear" w:color="auto" w:fill="auto"/>
            <w:noWrap/>
            <w:vAlign w:val="center"/>
          </w:tcPr>
          <w:p w14:paraId="7F44ECF5">
            <w:pPr>
              <w:rPr>
                <w:rFonts w:hint="default" w:ascii="Calibri" w:hAnsi="Calibri" w:cs="Calibri"/>
                <w:i w:val="0"/>
                <w:iCs w:val="0"/>
                <w:color w:val="auto"/>
                <w:sz w:val="24"/>
                <w:szCs w:val="24"/>
                <w:highlight w:val="none"/>
                <w:u w:val="none"/>
              </w:rPr>
            </w:pPr>
          </w:p>
        </w:tc>
        <w:tc>
          <w:tcPr>
            <w:tcW w:w="1211" w:type="dxa"/>
            <w:tcBorders>
              <w:top w:val="nil"/>
              <w:left w:val="nil"/>
              <w:bottom w:val="nil"/>
              <w:right w:val="nil"/>
            </w:tcBorders>
            <w:shd w:val="clear" w:color="auto" w:fill="auto"/>
            <w:noWrap/>
            <w:vAlign w:val="center"/>
          </w:tcPr>
          <w:p w14:paraId="41E3863B">
            <w:pPr>
              <w:rPr>
                <w:rFonts w:hint="default" w:ascii="Calibri" w:hAnsi="Calibri" w:cs="Calibri"/>
                <w:i w:val="0"/>
                <w:iCs w:val="0"/>
                <w:color w:val="auto"/>
                <w:sz w:val="24"/>
                <w:szCs w:val="24"/>
                <w:highlight w:val="none"/>
                <w:u w:val="none"/>
              </w:rPr>
            </w:pPr>
          </w:p>
        </w:tc>
        <w:tc>
          <w:tcPr>
            <w:tcW w:w="1319" w:type="dxa"/>
            <w:tcBorders>
              <w:top w:val="nil"/>
              <w:left w:val="nil"/>
              <w:bottom w:val="nil"/>
              <w:right w:val="nil"/>
            </w:tcBorders>
            <w:shd w:val="clear" w:color="auto" w:fill="auto"/>
            <w:noWrap/>
            <w:vAlign w:val="center"/>
          </w:tcPr>
          <w:p w14:paraId="468001F3">
            <w:pPr>
              <w:rPr>
                <w:rFonts w:hint="default" w:ascii="Calibri" w:hAnsi="Calibri" w:cs="Calibri"/>
                <w:i w:val="0"/>
                <w:iCs w:val="0"/>
                <w:color w:val="auto"/>
                <w:sz w:val="24"/>
                <w:szCs w:val="24"/>
                <w:highlight w:val="none"/>
                <w:u w:val="none"/>
              </w:rPr>
            </w:pPr>
          </w:p>
        </w:tc>
        <w:tc>
          <w:tcPr>
            <w:tcW w:w="1889" w:type="dxa"/>
            <w:gridSpan w:val="2"/>
            <w:tcBorders>
              <w:top w:val="nil"/>
              <w:left w:val="nil"/>
              <w:bottom w:val="nil"/>
              <w:right w:val="nil"/>
            </w:tcBorders>
            <w:shd w:val="clear" w:color="auto" w:fill="auto"/>
            <w:noWrap/>
            <w:vAlign w:val="center"/>
          </w:tcPr>
          <w:p w14:paraId="674A7C88">
            <w:pPr>
              <w:rPr>
                <w:rFonts w:hint="default" w:ascii="Calibri" w:hAnsi="Calibri" w:cs="Calibri"/>
                <w:i w:val="0"/>
                <w:iCs w:val="0"/>
                <w:color w:val="auto"/>
                <w:sz w:val="24"/>
                <w:szCs w:val="24"/>
                <w:highlight w:val="none"/>
                <w:u w:val="none"/>
              </w:rPr>
            </w:pPr>
          </w:p>
        </w:tc>
        <w:tc>
          <w:tcPr>
            <w:tcW w:w="1770" w:type="dxa"/>
            <w:tcBorders>
              <w:top w:val="nil"/>
              <w:left w:val="nil"/>
              <w:bottom w:val="nil"/>
              <w:right w:val="nil"/>
            </w:tcBorders>
            <w:shd w:val="clear" w:color="auto" w:fill="auto"/>
            <w:noWrap/>
            <w:vAlign w:val="center"/>
          </w:tcPr>
          <w:p w14:paraId="78991C66">
            <w:pPr>
              <w:rPr>
                <w:rFonts w:hint="default" w:ascii="Calibri" w:hAnsi="Calibri" w:cs="Calibri"/>
                <w:i w:val="0"/>
                <w:iCs w:val="0"/>
                <w:color w:val="auto"/>
                <w:sz w:val="24"/>
                <w:szCs w:val="24"/>
                <w:highlight w:val="none"/>
                <w:u w:val="none"/>
              </w:rPr>
            </w:pPr>
          </w:p>
        </w:tc>
      </w:tr>
      <w:tr w14:paraId="5C756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FF5CB68">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TT</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65E379A">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Các công việc khi thực hiện TTHC</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1821F80">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Các hoạt động/cách thức thực hiện cụ thể</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7286C8B">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Thời gian thực hiện (giờ)</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29D7674">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Mức TNBQ/01 giờ làm việc (đồng)</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35EDE94">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Mức chi phí thuê tư vấn, dịch vụ (đồng)</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775AFAE">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Mức phí, lệ phí, chi phí khác (đồng)</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F518F59">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Số lần thực hiện/01 năm</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A01643">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Số lượng đối tượng tuân thủ/01 năm</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527B1B0">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Chi phí thực hiện TTHC (đồng)</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6E331A66">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Tổng chi phí thực hiện TTHC/01 năm (đồng)</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A1F0603">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Ghi chú</w:t>
            </w:r>
          </w:p>
        </w:tc>
      </w:tr>
      <w:tr w14:paraId="106E6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F7C0E07">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1</w:t>
            </w:r>
          </w:p>
        </w:tc>
        <w:tc>
          <w:tcPr>
            <w:tcW w:w="22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59E1407">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Chuẩn bị hồ sơ</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71938AA">
            <w:pPr>
              <w:rPr>
                <w:rFonts w:hint="default" w:ascii="Times New Roman" w:hAnsi="Times New Roman" w:cs="Times New Roman"/>
                <w:b/>
                <w:bCs/>
                <w:i w:val="0"/>
                <w:iCs w:val="0"/>
                <w:color w:val="auto"/>
                <w:sz w:val="24"/>
                <w:szCs w:val="24"/>
                <w:highlight w:val="none"/>
                <w:u w:val="none"/>
              </w:rPr>
            </w:pP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860DEED">
            <w:pPr>
              <w:rPr>
                <w:rFonts w:hint="default" w:ascii="Times New Roman" w:hAnsi="Times New Roman" w:cs="Times New Roman"/>
                <w:b/>
                <w:bCs/>
                <w:i w:val="0"/>
                <w:iCs w:val="0"/>
                <w:color w:val="auto"/>
                <w:sz w:val="24"/>
                <w:szCs w:val="24"/>
                <w:highlight w:val="none"/>
                <w:u w:val="none"/>
              </w:rPr>
            </w:pP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4A99E92">
            <w:pPr>
              <w:rPr>
                <w:rFonts w:hint="default" w:ascii="Times New Roman" w:hAnsi="Times New Roman" w:cs="Times New Roman"/>
                <w:b/>
                <w:bCs/>
                <w:i w:val="0"/>
                <w:iCs w:val="0"/>
                <w:color w:val="auto"/>
                <w:sz w:val="24"/>
                <w:szCs w:val="24"/>
                <w:highlight w:val="none"/>
                <w:u w:val="none"/>
              </w:rPr>
            </w:pP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BC1580D">
            <w:pPr>
              <w:rPr>
                <w:rFonts w:hint="default" w:ascii="Times New Roman" w:hAnsi="Times New Roman" w:cs="Times New Roman"/>
                <w:b/>
                <w:bCs/>
                <w:i w:val="0"/>
                <w:iCs w:val="0"/>
                <w:color w:val="auto"/>
                <w:sz w:val="24"/>
                <w:szCs w:val="24"/>
                <w:highlight w:val="none"/>
                <w:u w:val="none"/>
              </w:rPr>
            </w:pP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B4BE3DA">
            <w:pPr>
              <w:rPr>
                <w:rFonts w:hint="default" w:ascii="Times New Roman" w:hAnsi="Times New Roman" w:cs="Times New Roman"/>
                <w:b/>
                <w:bCs/>
                <w:i w:val="0"/>
                <w:iCs w:val="0"/>
                <w:color w:val="auto"/>
                <w:sz w:val="24"/>
                <w:szCs w:val="24"/>
                <w:highlight w:val="none"/>
                <w:u w:val="none"/>
              </w:rPr>
            </w:pP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1176728">
            <w:pPr>
              <w:rPr>
                <w:rFonts w:hint="default" w:ascii="Times New Roman" w:hAnsi="Times New Roman" w:cs="Times New Roman"/>
                <w:b/>
                <w:bCs/>
                <w:i w:val="0"/>
                <w:iCs w:val="0"/>
                <w:color w:val="auto"/>
                <w:sz w:val="24"/>
                <w:szCs w:val="24"/>
                <w:highlight w:val="none"/>
                <w:u w:val="none"/>
              </w:rPr>
            </w:pP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60A24F3">
            <w:pPr>
              <w:rPr>
                <w:rFonts w:hint="default" w:ascii="Times New Roman" w:hAnsi="Times New Roman" w:cs="Times New Roman"/>
                <w:b/>
                <w:bCs/>
                <w:i w:val="0"/>
                <w:iCs w:val="0"/>
                <w:color w:val="auto"/>
                <w:sz w:val="24"/>
                <w:szCs w:val="24"/>
                <w:highlight w:val="none"/>
                <w:u w:val="none"/>
              </w:rPr>
            </w:pP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67454270">
            <w:pPr>
              <w:rPr>
                <w:rFonts w:hint="default" w:ascii="Times New Roman" w:hAnsi="Times New Roman" w:cs="Times New Roman"/>
                <w:b/>
                <w:bCs/>
                <w:i w:val="0"/>
                <w:iCs w:val="0"/>
                <w:color w:val="auto"/>
                <w:sz w:val="24"/>
                <w:szCs w:val="24"/>
                <w:highlight w:val="none"/>
                <w:u w:val="none"/>
              </w:rPr>
            </w:pP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6894867">
            <w:pPr>
              <w:jc w:val="both"/>
              <w:rPr>
                <w:rFonts w:hint="default" w:ascii="Times New Roman" w:hAnsi="Times New Roman" w:cs="Times New Roman"/>
                <w:b/>
                <w:bCs/>
                <w:i w:val="0"/>
                <w:iCs w:val="0"/>
                <w:color w:val="auto"/>
                <w:sz w:val="24"/>
                <w:szCs w:val="24"/>
                <w:highlight w:val="none"/>
                <w:u w:val="none"/>
              </w:rPr>
            </w:pPr>
          </w:p>
        </w:tc>
      </w:tr>
      <w:tr w14:paraId="6A694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698048A">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1.1</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9F8AF34">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Đơn đề nghị hỗ trợ kinh phí lắp đặt</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732B282">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Tự kê khai đơn theo Mẫu số 01, in/ký</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3850B24">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0,5</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56F5818">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41BF441">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59DB4B8">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29F6C52">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E63E9A1">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18.000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895156">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12.750</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635C7ADA">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229.500.000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5F7F3BB">
            <w:pPr>
              <w:keepNext w:val="0"/>
              <w:keepLines w:val="0"/>
              <w:widowControl/>
              <w:suppressLineNumbers w:val="0"/>
              <w:jc w:val="both"/>
              <w:textAlignment w:val="center"/>
              <w:rPr>
                <w:rFonts w:hint="default" w:ascii="Times New Roman" w:hAnsi="Times New Roman" w:cs="Times New Roman"/>
                <w:i w:val="0"/>
                <w:iCs w:val="0"/>
                <w:color w:val="auto"/>
                <w:highlight w:val="none"/>
                <w:u w:val="none"/>
                <w:lang w:val="en-US"/>
              </w:rPr>
            </w:pPr>
            <w:r>
              <w:rPr>
                <w:rFonts w:hint="default" w:ascii="Times New Roman" w:hAnsi="Times New Roman" w:eastAsia="SimSun" w:cs="Times New Roman"/>
                <w:i w:val="0"/>
                <w:iCs w:val="0"/>
                <w:color w:val="auto"/>
                <w:kern w:val="0"/>
                <w:sz w:val="24"/>
                <w:szCs w:val="24"/>
                <w:highlight w:val="none"/>
                <w:u w:val="none"/>
                <w:lang w:val="en-US" w:eastAsia="zh-CN" w:bidi="ar"/>
              </w:rPr>
              <w:t>Tạm tính 01 trang; 01 giờ/trang theo mức trung bình địa bàn thành phố</w:t>
            </w:r>
          </w:p>
        </w:tc>
      </w:tr>
      <w:tr w14:paraId="44245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97C6D52">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1.2</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331423E">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Thông báo hoặc Giấy chứng nhận đăng ký phát triển nguồn điện</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1F55CB6">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Sao chụp/đính kèm bản sao không chứng thực</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88BC353">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0,1</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4090317">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5B61671">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2BB25B4">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AF462FD">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A758F1D">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18.000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A9ED1C8">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14BF8CCB">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45.900.000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05A31CC">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Bản sao không chứng thực, chỉ áp dụng trường hợp pháp luật yêu cầu thông báo/đăng ký</w:t>
            </w:r>
          </w:p>
        </w:tc>
      </w:tr>
      <w:tr w14:paraId="3AE06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5D91AD1">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1.3</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09E3F08">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Tài liệu chứng minh hệ thống đã hoàn thành lắp đặt, đưa vào vận hành</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40E5D9A">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Sao chụp/đính kèm một hoặc một số tài liệu chứng minh theo dự thảo Nghị quyết</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E7DAA9F">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0,25</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8B1DA72">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A3B290E">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2EAF5CB">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4DCFEDE">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8CE5D25">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18.000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496E504">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6.375</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4F0B51F5">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114.750.000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387C220">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Tạm tính cho hồ sơ có đấu nối lưới điện</w:t>
            </w:r>
          </w:p>
        </w:tc>
      </w:tr>
      <w:tr w14:paraId="13BC2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C751968">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1.4</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A0378E7">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Văn bản ủy quyền hoặc văn bản thống nhất của các chủ sở hữu nhà ở cho Chủ hộ</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82900E1">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Chuẩn bị Văn bản ủy quyền hoặc văn bản thống nhất khi là đại diện hộ gia đình</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8F73D47">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0,5</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682ED23">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D763A26">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58BE00C">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22A4047">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1E9BF8E">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18.000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D17AA78">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12.750</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6212CF1B">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229.500.000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D937268">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Chỉ phát sinh trong trường hợp cần xác định đại diện hợp pháp</w:t>
            </w:r>
          </w:p>
        </w:tc>
      </w:tr>
      <w:tr w14:paraId="4BA83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9C90646">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2</w:t>
            </w:r>
          </w:p>
        </w:tc>
        <w:tc>
          <w:tcPr>
            <w:tcW w:w="22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2990040A">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Nộp hồ sơ</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7AA8DC8">
            <w:pPr>
              <w:jc w:val="right"/>
              <w:rPr>
                <w:rFonts w:hint="default" w:ascii="Times New Roman" w:hAnsi="Times New Roman" w:cs="Times New Roman"/>
                <w:i w:val="0"/>
                <w:iCs w:val="0"/>
                <w:color w:val="auto"/>
                <w:sz w:val="24"/>
                <w:szCs w:val="24"/>
                <w:highlight w:val="none"/>
                <w:u w:val="none"/>
              </w:rPr>
            </w:pP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FC57702">
            <w:pPr>
              <w:jc w:val="right"/>
              <w:rPr>
                <w:rFonts w:hint="default" w:ascii="Times New Roman" w:hAnsi="Times New Roman" w:cs="Times New Roman"/>
                <w:i w:val="0"/>
                <w:iCs w:val="0"/>
                <w:color w:val="auto"/>
                <w:sz w:val="24"/>
                <w:szCs w:val="24"/>
                <w:highlight w:val="none"/>
                <w:u w:val="none"/>
              </w:rPr>
            </w:pP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DB9CE4F">
            <w:pPr>
              <w:jc w:val="right"/>
              <w:rPr>
                <w:rFonts w:hint="default" w:ascii="Times New Roman" w:hAnsi="Times New Roman" w:cs="Times New Roman"/>
                <w:i w:val="0"/>
                <w:iCs w:val="0"/>
                <w:color w:val="auto"/>
                <w:sz w:val="24"/>
                <w:szCs w:val="24"/>
                <w:highlight w:val="none"/>
                <w:u w:val="none"/>
              </w:rPr>
            </w:pP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CE9CD11">
            <w:pPr>
              <w:jc w:val="right"/>
              <w:rPr>
                <w:rFonts w:hint="default" w:ascii="Times New Roman" w:hAnsi="Times New Roman" w:cs="Times New Roman"/>
                <w:i w:val="0"/>
                <w:iCs w:val="0"/>
                <w:color w:val="auto"/>
                <w:sz w:val="24"/>
                <w:szCs w:val="24"/>
                <w:highlight w:val="none"/>
                <w:u w:val="none"/>
              </w:rPr>
            </w:pP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4C3E617">
            <w:pPr>
              <w:jc w:val="right"/>
              <w:rPr>
                <w:rFonts w:hint="default" w:ascii="Times New Roman" w:hAnsi="Times New Roman" w:cs="Times New Roman"/>
                <w:i w:val="0"/>
                <w:iCs w:val="0"/>
                <w:color w:val="auto"/>
                <w:sz w:val="24"/>
                <w:szCs w:val="24"/>
                <w:highlight w:val="none"/>
                <w:u w:val="none"/>
              </w:rPr>
            </w:pP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98E969B">
            <w:pPr>
              <w:jc w:val="right"/>
              <w:rPr>
                <w:rFonts w:hint="default" w:ascii="Times New Roman" w:hAnsi="Times New Roman" w:cs="Times New Roman"/>
                <w:i w:val="0"/>
                <w:iCs w:val="0"/>
                <w:color w:val="auto"/>
                <w:sz w:val="24"/>
                <w:szCs w:val="24"/>
                <w:highlight w:val="none"/>
                <w:u w:val="none"/>
              </w:rPr>
            </w:pP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87006BD">
            <w:pPr>
              <w:jc w:val="right"/>
              <w:rPr>
                <w:rFonts w:hint="default" w:ascii="Times New Roman" w:hAnsi="Times New Roman" w:cs="Times New Roman"/>
                <w:i w:val="0"/>
                <w:iCs w:val="0"/>
                <w:color w:val="auto"/>
                <w:sz w:val="24"/>
                <w:szCs w:val="24"/>
                <w:highlight w:val="none"/>
                <w:u w:val="none"/>
              </w:rPr>
            </w:pP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5C2263D7">
            <w:pPr>
              <w:jc w:val="right"/>
              <w:rPr>
                <w:rFonts w:hint="default" w:ascii="Times New Roman" w:hAnsi="Times New Roman" w:cs="Times New Roman"/>
                <w:i w:val="0"/>
                <w:iCs w:val="0"/>
                <w:color w:val="auto"/>
                <w:sz w:val="24"/>
                <w:szCs w:val="24"/>
                <w:highlight w:val="none"/>
                <w:u w:val="none"/>
              </w:rPr>
            </w:pP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F8F6391">
            <w:pPr>
              <w:jc w:val="both"/>
              <w:rPr>
                <w:rFonts w:hint="default" w:ascii="Times New Roman" w:hAnsi="Times New Roman" w:cs="Times New Roman"/>
                <w:i w:val="0"/>
                <w:iCs w:val="0"/>
                <w:color w:val="auto"/>
                <w:sz w:val="24"/>
                <w:szCs w:val="24"/>
                <w:highlight w:val="none"/>
                <w:u w:val="none"/>
              </w:rPr>
            </w:pPr>
          </w:p>
        </w:tc>
      </w:tr>
      <w:tr w14:paraId="07071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1918160">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2.1</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06B7723">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Nộp trực tiếp</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FEB1055">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Nộp tại Trung tâm Phục vụ HCC/Bộ phận Một cửa</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81C98A1">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0,5</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A04BEBF">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ED89ECB">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A64EF41">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3EDAE6C">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3247E50">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5400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4C1669D">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12.750</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C176976">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68.850.000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71BDBD6">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Tạm tính 30% hồ sơ nộp trực tiếp</w:t>
            </w:r>
          </w:p>
        </w:tc>
      </w:tr>
      <w:tr w14:paraId="4E420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EEB75D7">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2.2</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411C0F2">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Nộp qua bưu chính công ích</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4C76F40">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Gửi hồ sơ qua dịch vụ bưu chính công ích</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05F2A81">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0,25</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B5F747D">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B851945">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20.000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E859755">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9C141D3">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E6734E0">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5400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92FC5A9">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26.375</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48CCDB65">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142.425.000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D1CFB8C">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Tạm tính 30% hồ sơ nộp bưu chính; cước bưu chính tạm tính 20.000 đồng/hồ sơ</w:t>
            </w:r>
          </w:p>
        </w:tc>
      </w:tr>
      <w:tr w14:paraId="4CE88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BFAB015">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2.3</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3A47F86">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Nộp trực tuyến</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791FF29">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Kê khai/đính kèm hồ sơ điện tử trên hệ thống</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5EC9900">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0,5</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55F07C3">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AB008D6">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4136BD9">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F2182F7">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780B4E1">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7200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F90013D">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12.750</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12481114">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91.800.000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2A22D35">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Tạm tính 40% hồ sơ nộp trực tuyến</w:t>
            </w:r>
          </w:p>
        </w:tc>
      </w:tr>
      <w:tr w14:paraId="17D81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FEA38B9">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3</w:t>
            </w:r>
          </w:p>
        </w:tc>
        <w:tc>
          <w:tcPr>
            <w:tcW w:w="22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75EE0ED5">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Nộp phí, lệ phí, chi phí khác</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A83F493">
            <w:pPr>
              <w:jc w:val="right"/>
              <w:rPr>
                <w:rFonts w:hint="default" w:ascii="Times New Roman" w:hAnsi="Times New Roman" w:cs="Times New Roman"/>
                <w:i w:val="0"/>
                <w:iCs w:val="0"/>
                <w:color w:val="auto"/>
                <w:sz w:val="24"/>
                <w:szCs w:val="24"/>
                <w:highlight w:val="none"/>
                <w:u w:val="none"/>
              </w:rPr>
            </w:pP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4A6824F">
            <w:pPr>
              <w:jc w:val="right"/>
              <w:rPr>
                <w:rFonts w:hint="default" w:ascii="Times New Roman" w:hAnsi="Times New Roman" w:cs="Times New Roman"/>
                <w:i w:val="0"/>
                <w:iCs w:val="0"/>
                <w:color w:val="auto"/>
                <w:sz w:val="24"/>
                <w:szCs w:val="24"/>
                <w:highlight w:val="none"/>
                <w:u w:val="none"/>
              </w:rPr>
            </w:pP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9289087">
            <w:pPr>
              <w:jc w:val="right"/>
              <w:rPr>
                <w:rFonts w:hint="default" w:ascii="Times New Roman" w:hAnsi="Times New Roman" w:cs="Times New Roman"/>
                <w:i w:val="0"/>
                <w:iCs w:val="0"/>
                <w:color w:val="auto"/>
                <w:sz w:val="24"/>
                <w:szCs w:val="24"/>
                <w:highlight w:val="none"/>
                <w:u w:val="none"/>
              </w:rPr>
            </w:pP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0F7B657">
            <w:pPr>
              <w:jc w:val="right"/>
              <w:rPr>
                <w:rFonts w:hint="default" w:ascii="Times New Roman" w:hAnsi="Times New Roman" w:cs="Times New Roman"/>
                <w:i w:val="0"/>
                <w:iCs w:val="0"/>
                <w:color w:val="auto"/>
                <w:sz w:val="24"/>
                <w:szCs w:val="24"/>
                <w:highlight w:val="none"/>
                <w:u w:val="none"/>
              </w:rPr>
            </w:pP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DCA2F4E">
            <w:pPr>
              <w:jc w:val="right"/>
              <w:rPr>
                <w:rFonts w:hint="default" w:ascii="Times New Roman" w:hAnsi="Times New Roman" w:cs="Times New Roman"/>
                <w:i w:val="0"/>
                <w:iCs w:val="0"/>
                <w:color w:val="auto"/>
                <w:sz w:val="24"/>
                <w:szCs w:val="24"/>
                <w:highlight w:val="none"/>
                <w:u w:val="none"/>
              </w:rPr>
            </w:pP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124176D">
            <w:pPr>
              <w:jc w:val="right"/>
              <w:rPr>
                <w:rFonts w:hint="default" w:ascii="Times New Roman" w:hAnsi="Times New Roman" w:cs="Times New Roman"/>
                <w:i w:val="0"/>
                <w:iCs w:val="0"/>
                <w:color w:val="auto"/>
                <w:sz w:val="24"/>
                <w:szCs w:val="24"/>
                <w:highlight w:val="none"/>
                <w:u w:val="none"/>
              </w:rPr>
            </w:pP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B5928E8">
            <w:pPr>
              <w:jc w:val="right"/>
              <w:rPr>
                <w:rFonts w:hint="default" w:ascii="Times New Roman" w:hAnsi="Times New Roman" w:cs="Times New Roman"/>
                <w:i w:val="0"/>
                <w:iCs w:val="0"/>
                <w:color w:val="auto"/>
                <w:sz w:val="24"/>
                <w:szCs w:val="24"/>
                <w:highlight w:val="none"/>
                <w:u w:val="none"/>
              </w:rPr>
            </w:pP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3765294">
            <w:pPr>
              <w:jc w:val="right"/>
              <w:rPr>
                <w:rFonts w:hint="default" w:ascii="Times New Roman" w:hAnsi="Times New Roman" w:cs="Times New Roman"/>
                <w:i w:val="0"/>
                <w:iCs w:val="0"/>
                <w:color w:val="auto"/>
                <w:sz w:val="24"/>
                <w:szCs w:val="24"/>
                <w:highlight w:val="none"/>
                <w:u w:val="none"/>
              </w:rPr>
            </w:pP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72934AB">
            <w:pPr>
              <w:jc w:val="both"/>
              <w:rPr>
                <w:rFonts w:hint="default" w:ascii="Times New Roman" w:hAnsi="Times New Roman" w:cs="Times New Roman"/>
                <w:i w:val="0"/>
                <w:iCs w:val="0"/>
                <w:color w:val="auto"/>
                <w:sz w:val="24"/>
                <w:szCs w:val="24"/>
                <w:highlight w:val="none"/>
                <w:u w:val="none"/>
              </w:rPr>
            </w:pPr>
          </w:p>
        </w:tc>
      </w:tr>
      <w:tr w14:paraId="7601C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1208739">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3.1</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0105B4D">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Phí</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9732909">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Không quy định</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2C9609C">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6E65682">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50A6110">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A803378">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0084172">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top"/>
          </w:tcPr>
          <w:p w14:paraId="71888357">
            <w:pPr>
              <w:keepNext w:val="0"/>
              <w:keepLines w:val="0"/>
              <w:widowControl/>
              <w:suppressLineNumbers w:val="0"/>
              <w:jc w:val="right"/>
              <w:textAlignment w:val="top"/>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18.000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7433C3E">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760E237">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C98C6D">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Không phát sinh phí</w:t>
            </w:r>
          </w:p>
        </w:tc>
      </w:tr>
      <w:tr w14:paraId="69963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BA1C98A">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3.2</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3544DF1">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Lệ phí</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E2F467A">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Không quy định</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3F294CF">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1AF9CBB">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B1B7EE9">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F1FE3BD">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945E432">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top"/>
          </w:tcPr>
          <w:p w14:paraId="25324735">
            <w:pPr>
              <w:keepNext w:val="0"/>
              <w:keepLines w:val="0"/>
              <w:widowControl/>
              <w:suppressLineNumbers w:val="0"/>
              <w:jc w:val="right"/>
              <w:textAlignment w:val="top"/>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18.000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3DEB58C">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C4FF89C">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1FC33FC">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Không phát sinh lệ phí</w:t>
            </w:r>
          </w:p>
        </w:tc>
      </w:tr>
      <w:tr w14:paraId="34986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E0486C4">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3.3</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27EAC47">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Chi phí khác</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A0BAA1B">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Không quy định</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4E9ADBC">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00E376D">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E4CEC05">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3F66B1C">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9161C35">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top"/>
          </w:tcPr>
          <w:p w14:paraId="03964003">
            <w:pPr>
              <w:keepNext w:val="0"/>
              <w:keepLines w:val="0"/>
              <w:widowControl/>
              <w:suppressLineNumbers w:val="0"/>
              <w:jc w:val="right"/>
              <w:textAlignment w:val="top"/>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18.000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2109BD4">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75087108">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85E0ADB">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Không phát sinh chi phí khác theo dự thảo</w:t>
            </w:r>
          </w:p>
        </w:tc>
      </w:tr>
      <w:tr w14:paraId="6D6C0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5204C69">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4</w:t>
            </w:r>
          </w:p>
        </w:tc>
        <w:tc>
          <w:tcPr>
            <w:tcW w:w="22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6770B639">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Chuẩn bị, phục vụ kiểm tra, đánh giá của cơ quan có thẩm quyền</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ECC5FDA">
            <w:pPr>
              <w:jc w:val="right"/>
              <w:rPr>
                <w:rFonts w:hint="default" w:ascii="Times New Roman" w:hAnsi="Times New Roman" w:cs="Times New Roman"/>
                <w:i w:val="0"/>
                <w:iCs w:val="0"/>
                <w:color w:val="auto"/>
                <w:sz w:val="24"/>
                <w:szCs w:val="24"/>
                <w:highlight w:val="none"/>
                <w:u w:val="none"/>
              </w:rPr>
            </w:pP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AAC0987">
            <w:pPr>
              <w:jc w:val="right"/>
              <w:rPr>
                <w:rFonts w:hint="default" w:ascii="Times New Roman" w:hAnsi="Times New Roman" w:cs="Times New Roman"/>
                <w:i w:val="0"/>
                <w:iCs w:val="0"/>
                <w:color w:val="auto"/>
                <w:sz w:val="24"/>
                <w:szCs w:val="24"/>
                <w:highlight w:val="none"/>
                <w:u w:val="none"/>
              </w:rPr>
            </w:pP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48FE4FE">
            <w:pPr>
              <w:jc w:val="right"/>
              <w:rPr>
                <w:rFonts w:hint="default" w:ascii="Times New Roman" w:hAnsi="Times New Roman" w:cs="Times New Roman"/>
                <w:i w:val="0"/>
                <w:iCs w:val="0"/>
                <w:color w:val="auto"/>
                <w:sz w:val="24"/>
                <w:szCs w:val="24"/>
                <w:highlight w:val="none"/>
                <w:u w:val="none"/>
              </w:rPr>
            </w:pP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A3449EA">
            <w:pPr>
              <w:jc w:val="right"/>
              <w:rPr>
                <w:rFonts w:hint="default" w:ascii="Times New Roman" w:hAnsi="Times New Roman" w:cs="Times New Roman"/>
                <w:i w:val="0"/>
                <w:iCs w:val="0"/>
                <w:color w:val="auto"/>
                <w:sz w:val="24"/>
                <w:szCs w:val="24"/>
                <w:highlight w:val="none"/>
                <w:u w:val="none"/>
              </w:rPr>
            </w:pP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80057F3">
            <w:pPr>
              <w:jc w:val="right"/>
              <w:rPr>
                <w:rFonts w:hint="default" w:ascii="Times New Roman" w:hAnsi="Times New Roman" w:cs="Times New Roman"/>
                <w:i w:val="0"/>
                <w:iCs w:val="0"/>
                <w:color w:val="auto"/>
                <w:sz w:val="24"/>
                <w:szCs w:val="24"/>
                <w:highlight w:val="none"/>
                <w:u w:val="none"/>
              </w:rPr>
            </w:pP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B8F44EC">
            <w:pPr>
              <w:jc w:val="right"/>
              <w:rPr>
                <w:rFonts w:hint="default" w:ascii="Times New Roman" w:hAnsi="Times New Roman" w:cs="Times New Roman"/>
                <w:i w:val="0"/>
                <w:iCs w:val="0"/>
                <w:color w:val="auto"/>
                <w:sz w:val="24"/>
                <w:szCs w:val="24"/>
                <w:highlight w:val="none"/>
                <w:u w:val="none"/>
              </w:rPr>
            </w:pP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304FCFC">
            <w:pPr>
              <w:jc w:val="right"/>
              <w:rPr>
                <w:rFonts w:hint="default" w:ascii="Times New Roman" w:hAnsi="Times New Roman" w:cs="Times New Roman"/>
                <w:i w:val="0"/>
                <w:iCs w:val="0"/>
                <w:color w:val="auto"/>
                <w:sz w:val="24"/>
                <w:szCs w:val="24"/>
                <w:highlight w:val="none"/>
                <w:u w:val="none"/>
              </w:rPr>
            </w:pP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2143A6A">
            <w:pPr>
              <w:jc w:val="right"/>
              <w:rPr>
                <w:rFonts w:hint="default" w:ascii="Times New Roman" w:hAnsi="Times New Roman" w:cs="Times New Roman"/>
                <w:i w:val="0"/>
                <w:iCs w:val="0"/>
                <w:color w:val="auto"/>
                <w:sz w:val="24"/>
                <w:szCs w:val="24"/>
                <w:highlight w:val="none"/>
                <w:u w:val="none"/>
              </w:rPr>
            </w:pP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622673B">
            <w:pPr>
              <w:jc w:val="both"/>
              <w:rPr>
                <w:rFonts w:hint="default" w:ascii="Times New Roman" w:hAnsi="Times New Roman" w:cs="Times New Roman"/>
                <w:i w:val="0"/>
                <w:iCs w:val="0"/>
                <w:color w:val="auto"/>
                <w:sz w:val="24"/>
                <w:szCs w:val="24"/>
                <w:highlight w:val="none"/>
                <w:u w:val="none"/>
              </w:rPr>
            </w:pPr>
          </w:p>
        </w:tc>
      </w:tr>
      <w:tr w14:paraId="31C36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1773E7">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4.1</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AD5D56D">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Phục vụ kiểm tra/xác minh thực tế khi cần thiết</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05D9A5C">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Chỉ thực hiện khi cần thiết; dự thảo không quy định là bước bắt buộc đối với mọi hồ sơ</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1619067">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0,5</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3CCB6F2">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6116E81">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82DBA8D">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C6A9782">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5693755">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18.000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20EE3E7">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12.750</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6F2D738B">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229.500.000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03ADF7F">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Tạm tính 100% hồ sơ cần kiểm tra/xác minh thực tế</w:t>
            </w:r>
          </w:p>
        </w:tc>
      </w:tr>
      <w:tr w14:paraId="3129E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6D506FB">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5</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9348195">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Công việc khác</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9E8F2C3">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Không phát sinh</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7D46F58">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A346D6B">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FE9C1B3">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D0C6792">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3B48AE6">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1111955">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18.000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C9C9016">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06DCB51F">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7118BFE">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Không phát sinh</w:t>
            </w:r>
          </w:p>
        </w:tc>
      </w:tr>
      <w:tr w14:paraId="43731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8E6568">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6</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861E54F">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Nhận kết quả</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1CEC142">
            <w:pPr>
              <w:jc w:val="center"/>
              <w:rPr>
                <w:rFonts w:hint="default" w:ascii="Times New Roman" w:hAnsi="Times New Roman" w:cs="Times New Roman"/>
                <w:i w:val="0"/>
                <w:iCs w:val="0"/>
                <w:color w:val="auto"/>
                <w:sz w:val="24"/>
                <w:szCs w:val="24"/>
                <w:highlight w:val="none"/>
                <w:u w:val="none"/>
              </w:rPr>
            </w:pP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1B7DE19">
            <w:pPr>
              <w:jc w:val="right"/>
              <w:rPr>
                <w:rFonts w:hint="default" w:ascii="Times New Roman" w:hAnsi="Times New Roman" w:cs="Times New Roman"/>
                <w:i w:val="0"/>
                <w:iCs w:val="0"/>
                <w:color w:val="auto"/>
                <w:sz w:val="24"/>
                <w:szCs w:val="24"/>
                <w:highlight w:val="none"/>
                <w:u w:val="none"/>
              </w:rPr>
            </w:pP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F8545CE">
            <w:pPr>
              <w:jc w:val="right"/>
              <w:rPr>
                <w:rFonts w:hint="default" w:ascii="Times New Roman" w:hAnsi="Times New Roman" w:cs="Times New Roman"/>
                <w:i w:val="0"/>
                <w:iCs w:val="0"/>
                <w:color w:val="auto"/>
                <w:sz w:val="24"/>
                <w:szCs w:val="24"/>
                <w:highlight w:val="none"/>
                <w:u w:val="none"/>
              </w:rPr>
            </w:pP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2A79470">
            <w:pPr>
              <w:jc w:val="right"/>
              <w:rPr>
                <w:rFonts w:hint="default" w:ascii="Times New Roman" w:hAnsi="Times New Roman" w:cs="Times New Roman"/>
                <w:i w:val="0"/>
                <w:iCs w:val="0"/>
                <w:color w:val="auto"/>
                <w:sz w:val="24"/>
                <w:szCs w:val="24"/>
                <w:highlight w:val="none"/>
                <w:u w:val="none"/>
              </w:rPr>
            </w:pP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06CE0AA">
            <w:pPr>
              <w:jc w:val="right"/>
              <w:rPr>
                <w:rFonts w:hint="default" w:ascii="Times New Roman" w:hAnsi="Times New Roman" w:cs="Times New Roman"/>
                <w:i w:val="0"/>
                <w:iCs w:val="0"/>
                <w:color w:val="auto"/>
                <w:sz w:val="24"/>
                <w:szCs w:val="24"/>
                <w:highlight w:val="none"/>
                <w:u w:val="none"/>
              </w:rPr>
            </w:pP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26B9C40">
            <w:pPr>
              <w:jc w:val="right"/>
              <w:rPr>
                <w:rFonts w:hint="default" w:ascii="Times New Roman" w:hAnsi="Times New Roman" w:cs="Times New Roman"/>
                <w:i w:val="0"/>
                <w:iCs w:val="0"/>
                <w:color w:val="auto"/>
                <w:sz w:val="24"/>
                <w:szCs w:val="24"/>
                <w:highlight w:val="none"/>
                <w:u w:val="none"/>
              </w:rPr>
            </w:pP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147B78D">
            <w:pPr>
              <w:jc w:val="right"/>
              <w:rPr>
                <w:rFonts w:hint="default" w:ascii="Times New Roman" w:hAnsi="Times New Roman" w:cs="Times New Roman"/>
                <w:i w:val="0"/>
                <w:iCs w:val="0"/>
                <w:color w:val="auto"/>
                <w:sz w:val="24"/>
                <w:szCs w:val="24"/>
                <w:highlight w:val="none"/>
                <w:u w:val="none"/>
              </w:rPr>
            </w:pP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6883C23">
            <w:pPr>
              <w:jc w:val="right"/>
              <w:rPr>
                <w:rFonts w:hint="default" w:ascii="Times New Roman" w:hAnsi="Times New Roman" w:cs="Times New Roman"/>
                <w:i w:val="0"/>
                <w:iCs w:val="0"/>
                <w:color w:val="auto"/>
                <w:sz w:val="24"/>
                <w:szCs w:val="24"/>
                <w:highlight w:val="none"/>
                <w:u w:val="none"/>
              </w:rPr>
            </w:pP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1E659559">
            <w:pPr>
              <w:jc w:val="right"/>
              <w:rPr>
                <w:rFonts w:hint="default" w:ascii="Times New Roman" w:hAnsi="Times New Roman" w:cs="Times New Roman"/>
                <w:i w:val="0"/>
                <w:iCs w:val="0"/>
                <w:color w:val="auto"/>
                <w:sz w:val="24"/>
                <w:szCs w:val="24"/>
                <w:highlight w:val="none"/>
                <w:u w:val="none"/>
              </w:rPr>
            </w:pP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5B46F96">
            <w:pPr>
              <w:jc w:val="both"/>
              <w:rPr>
                <w:rFonts w:hint="default" w:ascii="Times New Roman" w:hAnsi="Times New Roman" w:cs="Times New Roman"/>
                <w:i w:val="0"/>
                <w:iCs w:val="0"/>
                <w:color w:val="auto"/>
                <w:sz w:val="24"/>
                <w:szCs w:val="24"/>
                <w:highlight w:val="none"/>
                <w:u w:val="none"/>
              </w:rPr>
            </w:pPr>
          </w:p>
        </w:tc>
      </w:tr>
      <w:tr w14:paraId="3C586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FC6C1B8">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6.1</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6A3F4A4">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Nhận kết quả trực tiếp</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6354E7D">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Nhận Quyết định/Thông báo tại bộ phận tiếp nhận</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F6DAE19">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0,25</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EE91028">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000646B">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0EDD658">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EA73E6E">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BFC8285">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5400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B0B30E9">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6.375</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A37A4D0">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34425000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3ED4CF6">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Tạm tính 30% nhận trực tiếp</w:t>
            </w:r>
          </w:p>
        </w:tc>
      </w:tr>
      <w:tr w14:paraId="05151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6F71022">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6.2</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865F35B">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Nhận kết quả qua bưu chính</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3EF517A">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Nhận Quyết định/Thông báo qua bưu chính</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9A88FA8">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0,25</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2C329C8">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57B518E">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20.000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68135A0">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FAF19D3">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8AF8132">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5400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A8F5C29">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26.375</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01F92AC4">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142.425.000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023362E">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Tạm tính 40% nhận qua bưu chính</w:t>
            </w:r>
          </w:p>
        </w:tc>
      </w:tr>
      <w:tr w14:paraId="2B164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3DD185A">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6.3</w:t>
            </w:r>
          </w:p>
        </w:tc>
        <w:tc>
          <w:tcPr>
            <w:tcW w:w="9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03E3062">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Nhận kết quả điện tử</w:t>
            </w:r>
          </w:p>
        </w:tc>
        <w:tc>
          <w:tcPr>
            <w:tcW w:w="1336"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0F58257">
            <w:pPr>
              <w:keepNext w:val="0"/>
              <w:keepLines w:val="0"/>
              <w:widowControl/>
              <w:suppressLineNumbers w:val="0"/>
              <w:jc w:val="center"/>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Nhận Quyết định/Thông báo bản điện tử qua hệ thống</w:t>
            </w:r>
          </w:p>
        </w:tc>
        <w:tc>
          <w:tcPr>
            <w:tcW w:w="7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F61F88D">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0,25</w:t>
            </w:r>
          </w:p>
        </w:tc>
        <w:tc>
          <w:tcPr>
            <w:tcW w:w="136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B8E7D70">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25.500</w:t>
            </w:r>
          </w:p>
        </w:tc>
        <w:tc>
          <w:tcPr>
            <w:tcW w:w="124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644A351">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15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CD72E4D">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0</w:t>
            </w:r>
          </w:p>
        </w:tc>
        <w:tc>
          <w:tcPr>
            <w:tcW w:w="12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1169E00">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1</w:t>
            </w:r>
          </w:p>
        </w:tc>
        <w:tc>
          <w:tcPr>
            <w:tcW w:w="121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5D60DFC">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7200</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DEABC4">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6.375</w:t>
            </w: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16868C7A">
            <w:pPr>
              <w:keepNext w:val="0"/>
              <w:keepLines w:val="0"/>
              <w:widowControl/>
              <w:suppressLineNumbers w:val="0"/>
              <w:jc w:val="right"/>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45.900.000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44A58EA">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Tạm tính 60% nhận điện tử</w:t>
            </w:r>
          </w:p>
        </w:tc>
      </w:tr>
      <w:tr w14:paraId="49F05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1800" w:hRule="atLeast"/>
        </w:trPr>
        <w:tc>
          <w:tcPr>
            <w:tcW w:w="58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191AE2B">
            <w:pPr>
              <w:rPr>
                <w:rFonts w:hint="default" w:ascii="Times New Roman" w:hAnsi="Times New Roman" w:cs="Times New Roman"/>
                <w:b/>
                <w:bCs/>
                <w:i w:val="0"/>
                <w:iCs w:val="0"/>
                <w:color w:val="auto"/>
                <w:sz w:val="24"/>
                <w:szCs w:val="24"/>
                <w:highlight w:val="none"/>
                <w:u w:val="none"/>
              </w:rPr>
            </w:pPr>
          </w:p>
        </w:tc>
        <w:tc>
          <w:tcPr>
            <w:tcW w:w="9255" w:type="dxa"/>
            <w:gridSpan w:val="8"/>
            <w:tcBorders>
              <w:top w:val="single" w:color="000000" w:sz="2" w:space="0"/>
              <w:left w:val="single" w:color="000000" w:sz="2" w:space="0"/>
              <w:bottom w:val="single" w:color="000000" w:sz="2" w:space="0"/>
              <w:right w:val="single" w:color="000000" w:sz="2" w:space="0"/>
            </w:tcBorders>
            <w:shd w:val="clear" w:color="auto" w:fill="auto"/>
            <w:vAlign w:val="center"/>
          </w:tcPr>
          <w:p w14:paraId="2E170FF0">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TỔNG CHI PHÍ TUÂN THỦ ƯỚC TÍNH</w:t>
            </w:r>
          </w:p>
        </w:tc>
        <w:tc>
          <w:tcPr>
            <w:tcW w:w="13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C318600">
            <w:pPr>
              <w:jc w:val="right"/>
              <w:rPr>
                <w:rFonts w:hint="default" w:ascii="Times New Roman" w:hAnsi="Times New Roman" w:cs="Times New Roman"/>
                <w:i w:val="0"/>
                <w:iCs w:val="0"/>
                <w:color w:val="auto"/>
                <w:sz w:val="24"/>
                <w:szCs w:val="24"/>
                <w:highlight w:val="none"/>
                <w:u w:val="none"/>
              </w:rPr>
            </w:pPr>
          </w:p>
        </w:tc>
        <w:tc>
          <w:tcPr>
            <w:tcW w:w="1889"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7219C6E1">
            <w:pPr>
              <w:keepNext w:val="0"/>
              <w:keepLines w:val="0"/>
              <w:widowControl/>
              <w:suppressLineNumbers w:val="0"/>
              <w:jc w:val="right"/>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1.374.975.000</w:t>
            </w:r>
          </w:p>
        </w:tc>
        <w:tc>
          <w:tcPr>
            <w:tcW w:w="177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25DBCF2">
            <w:pPr>
              <w:keepNext w:val="0"/>
              <w:keepLines w:val="0"/>
              <w:widowControl/>
              <w:suppressLineNumbers w:val="0"/>
              <w:jc w:val="both"/>
              <w:textAlignment w:val="center"/>
              <w:rPr>
                <w:rFonts w:hint="default" w:ascii="Times New Roman" w:hAnsi="Times New Roman" w:cs="Times New Roman"/>
                <w:i w:val="0"/>
                <w:iCs w:val="0"/>
                <w:color w:val="auto"/>
                <w:highlight w:val="none"/>
                <w:u w:val="none"/>
              </w:rPr>
            </w:pPr>
            <w:r>
              <w:rPr>
                <w:rFonts w:hint="default" w:ascii="Times New Roman" w:hAnsi="Times New Roman" w:eastAsia="SimSun" w:cs="Times New Roman"/>
                <w:i w:val="0"/>
                <w:iCs w:val="0"/>
                <w:color w:val="auto"/>
                <w:kern w:val="0"/>
                <w:sz w:val="24"/>
                <w:szCs w:val="24"/>
                <w:highlight w:val="none"/>
                <w:u w:val="none"/>
                <w:lang w:val="en-US" w:eastAsia="zh-CN" w:bidi="ar"/>
              </w:rPr>
              <w:t>Tổng theo 18.000 lượt hồ sơ dự kiến trong 01 năm</w:t>
            </w:r>
          </w:p>
        </w:tc>
      </w:tr>
    </w:tbl>
    <w:p w14:paraId="6BC7AC41">
      <w:pPr>
        <w:pStyle w:val="50"/>
        <w:spacing w:before="240" w:after="120" w:line="360" w:lineRule="auto"/>
        <w:ind w:left="686"/>
        <w:rPr>
          <w:rFonts w:hint="default" w:ascii="Times New Roman" w:hAnsi="Times New Roman" w:cs="Times New Roman"/>
          <w:color w:val="auto"/>
          <w:highlight w:val="none"/>
        </w:rPr>
      </w:pPr>
    </w:p>
    <w:p w14:paraId="3607731F">
      <w:pPr>
        <w:pStyle w:val="50"/>
        <w:spacing w:before="240" w:after="120" w:line="360" w:lineRule="auto"/>
        <w:ind w:left="686"/>
        <w:rPr>
          <w:rFonts w:hint="default" w:ascii="Times New Roman" w:hAnsi="Times New Roman" w:cs="Times New Roman"/>
          <w:color w:val="auto"/>
          <w:highlight w:val="none"/>
        </w:rPr>
      </w:pPr>
    </w:p>
    <w:tbl>
      <w:tblPr>
        <w:tblStyle w:val="4"/>
        <w:tblW w:w="127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5"/>
        <w:gridCol w:w="5309"/>
        <w:gridCol w:w="2385"/>
        <w:gridCol w:w="2040"/>
        <w:gridCol w:w="2325"/>
      </w:tblGrid>
      <w:tr w14:paraId="1780D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2764" w:type="dxa"/>
            <w:gridSpan w:val="5"/>
            <w:tcBorders>
              <w:top w:val="single" w:color="000000" w:sz="2" w:space="0"/>
              <w:left w:val="single" w:color="000000" w:sz="2" w:space="0"/>
              <w:bottom w:val="single" w:color="000000" w:sz="2" w:space="0"/>
              <w:right w:val="single" w:color="000000" w:sz="2" w:space="0"/>
            </w:tcBorders>
            <w:shd w:val="clear" w:color="auto" w:fill="auto"/>
            <w:noWrap/>
            <w:vAlign w:val="center"/>
          </w:tcPr>
          <w:p w14:paraId="6B468A83">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bookmarkStart w:id="5" w:name="bookmark46"/>
            <w:bookmarkStart w:id="6" w:name="bookmark44"/>
            <w:bookmarkStart w:id="7" w:name="bookmark45"/>
            <w:r>
              <w:rPr>
                <w:rFonts w:hint="default" w:ascii="Times New Roman" w:hAnsi="Times New Roman" w:eastAsia="SimSun" w:cs="Times New Roman"/>
                <w:b/>
                <w:bCs/>
                <w:i w:val="0"/>
                <w:iCs w:val="0"/>
                <w:color w:val="auto"/>
                <w:kern w:val="0"/>
                <w:sz w:val="24"/>
                <w:szCs w:val="24"/>
                <w:highlight w:val="none"/>
                <w:u w:val="none"/>
                <w:lang w:val="en-US" w:eastAsia="zh-CN" w:bidi="ar"/>
              </w:rPr>
              <w:t>3. BẢNG TÍNH TỔNG CHI PHÍ THỰC HIỆN THỦ TỤC HÀNH CHÍNH THEO TỪNG LOẠI HÌNH</w:t>
            </w:r>
          </w:p>
        </w:tc>
      </w:tr>
      <w:tr w14:paraId="4905F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2" w:space="0"/>
              <w:left w:val="single" w:color="000000" w:sz="2" w:space="0"/>
              <w:bottom w:val="single" w:color="000000" w:sz="2" w:space="0"/>
              <w:right w:val="single" w:color="000000" w:sz="2" w:space="0"/>
            </w:tcBorders>
            <w:shd w:val="clear" w:color="auto" w:fill="auto"/>
            <w:noWrap/>
            <w:vAlign w:val="center"/>
          </w:tcPr>
          <w:p w14:paraId="39ED51BA">
            <w:pPr>
              <w:rPr>
                <w:rFonts w:hint="eastAsia" w:ascii="Calibri" w:hAnsi="Calibri" w:cs="Calibri"/>
                <w:i w:val="0"/>
                <w:iCs w:val="0"/>
                <w:color w:val="auto"/>
                <w:sz w:val="24"/>
                <w:szCs w:val="24"/>
                <w:highlight w:val="none"/>
                <w:u w:val="none"/>
              </w:rPr>
            </w:pPr>
          </w:p>
        </w:tc>
        <w:tc>
          <w:tcPr>
            <w:tcW w:w="5309" w:type="dxa"/>
            <w:tcBorders>
              <w:top w:val="single" w:color="000000" w:sz="2" w:space="0"/>
              <w:left w:val="single" w:color="000000" w:sz="2" w:space="0"/>
              <w:bottom w:val="single" w:color="000000" w:sz="2" w:space="0"/>
              <w:right w:val="single" w:color="000000" w:sz="2" w:space="0"/>
            </w:tcBorders>
            <w:shd w:val="clear" w:color="auto" w:fill="auto"/>
            <w:noWrap/>
            <w:vAlign w:val="center"/>
          </w:tcPr>
          <w:p w14:paraId="6E86FD7F">
            <w:pPr>
              <w:rPr>
                <w:rFonts w:hint="default" w:ascii="Calibri" w:hAnsi="Calibri" w:cs="Calibri"/>
                <w:i w:val="0"/>
                <w:iCs w:val="0"/>
                <w:color w:val="auto"/>
                <w:sz w:val="24"/>
                <w:szCs w:val="24"/>
                <w:highlight w:val="none"/>
                <w:u w:val="none"/>
              </w:rPr>
            </w:pPr>
          </w:p>
        </w:tc>
        <w:tc>
          <w:tcPr>
            <w:tcW w:w="2385" w:type="dxa"/>
            <w:tcBorders>
              <w:top w:val="single" w:color="000000" w:sz="2" w:space="0"/>
              <w:left w:val="single" w:color="000000" w:sz="2" w:space="0"/>
              <w:bottom w:val="single" w:color="000000" w:sz="2" w:space="0"/>
              <w:right w:val="single" w:color="000000" w:sz="2" w:space="0"/>
            </w:tcBorders>
            <w:shd w:val="clear" w:color="auto" w:fill="auto"/>
            <w:noWrap/>
            <w:vAlign w:val="center"/>
          </w:tcPr>
          <w:p w14:paraId="6C826D54">
            <w:pPr>
              <w:rPr>
                <w:rFonts w:hint="default" w:ascii="Calibri" w:hAnsi="Calibri" w:cs="Calibri"/>
                <w:i w:val="0"/>
                <w:iCs w:val="0"/>
                <w:color w:val="auto"/>
                <w:sz w:val="24"/>
                <w:szCs w:val="24"/>
                <w:highlight w:val="none"/>
                <w:u w:val="none"/>
              </w:rPr>
            </w:pPr>
          </w:p>
        </w:tc>
        <w:tc>
          <w:tcPr>
            <w:tcW w:w="0" w:type="auto"/>
            <w:tcBorders>
              <w:top w:val="single" w:color="000000" w:sz="2" w:space="0"/>
              <w:left w:val="single" w:color="000000" w:sz="2" w:space="0"/>
              <w:bottom w:val="single" w:color="000000" w:sz="2" w:space="0"/>
              <w:right w:val="single" w:color="000000" w:sz="2" w:space="0"/>
            </w:tcBorders>
            <w:shd w:val="clear" w:color="auto" w:fill="auto"/>
            <w:noWrap/>
            <w:vAlign w:val="center"/>
          </w:tcPr>
          <w:p w14:paraId="4B660334">
            <w:pPr>
              <w:rPr>
                <w:rFonts w:hint="default" w:ascii="Calibri" w:hAnsi="Calibri" w:cs="Calibri"/>
                <w:i w:val="0"/>
                <w:iCs w:val="0"/>
                <w:color w:val="auto"/>
                <w:sz w:val="24"/>
                <w:szCs w:val="24"/>
                <w:highlight w:val="none"/>
                <w:u w:val="none"/>
              </w:rPr>
            </w:pPr>
          </w:p>
        </w:tc>
        <w:tc>
          <w:tcPr>
            <w:tcW w:w="0" w:type="auto"/>
            <w:tcBorders>
              <w:top w:val="single" w:color="000000" w:sz="2" w:space="0"/>
              <w:left w:val="single" w:color="000000" w:sz="2" w:space="0"/>
              <w:bottom w:val="single" w:color="000000" w:sz="2" w:space="0"/>
              <w:right w:val="single" w:color="000000" w:sz="2" w:space="0"/>
            </w:tcBorders>
            <w:shd w:val="clear" w:color="auto" w:fill="auto"/>
            <w:noWrap/>
            <w:vAlign w:val="center"/>
          </w:tcPr>
          <w:p w14:paraId="0CB6ED5A">
            <w:pPr>
              <w:rPr>
                <w:rFonts w:hint="default" w:ascii="Calibri" w:hAnsi="Calibri" w:cs="Calibri"/>
                <w:i w:val="0"/>
                <w:iCs w:val="0"/>
                <w:color w:val="auto"/>
                <w:sz w:val="24"/>
                <w:szCs w:val="24"/>
                <w:highlight w:val="none"/>
                <w:u w:val="none"/>
              </w:rPr>
            </w:pPr>
          </w:p>
        </w:tc>
      </w:tr>
      <w:tr w14:paraId="3001B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0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556A376">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TT</w:t>
            </w:r>
          </w:p>
        </w:tc>
        <w:tc>
          <w:tcPr>
            <w:tcW w:w="530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405E890">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Nội dung chi phí</w:t>
            </w:r>
          </w:p>
        </w:tc>
        <w:tc>
          <w:tcPr>
            <w:tcW w:w="238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5DA8409">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Nộp và nhận kết quả trực tiếp (đồng)</w:t>
            </w:r>
          </w:p>
        </w:tc>
        <w:tc>
          <w:tcPr>
            <w:tcW w:w="204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AF1A111">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Nộp và nhận kết quả qua bưu chính (đồng)</w:t>
            </w:r>
          </w:p>
        </w:tc>
        <w:tc>
          <w:tcPr>
            <w:tcW w:w="232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DE46D1E">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Nộp và nhận kết quả trực tuyến (đồng)</w:t>
            </w:r>
          </w:p>
        </w:tc>
      </w:tr>
      <w:tr w14:paraId="6D047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70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A640DE0">
            <w:pPr>
              <w:keepNext w:val="0"/>
              <w:keepLines w:val="0"/>
              <w:widowControl/>
              <w:suppressLineNumbers w:val="0"/>
              <w:jc w:val="center"/>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1</w:t>
            </w:r>
          </w:p>
        </w:tc>
        <w:tc>
          <w:tcPr>
            <w:tcW w:w="530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1C27196">
            <w:pPr>
              <w:keepNext w:val="0"/>
              <w:keepLines w:val="0"/>
              <w:widowControl/>
              <w:suppressLineNumbers w:val="0"/>
              <w:jc w:val="left"/>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Tổng chi phí thực hiện thủ tục hành chính</w:t>
            </w:r>
          </w:p>
        </w:tc>
        <w:tc>
          <w:tcPr>
            <w:tcW w:w="238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7871DC7">
            <w:pPr>
              <w:keepNext w:val="0"/>
              <w:keepLines w:val="0"/>
              <w:widowControl/>
              <w:suppressLineNumbers w:val="0"/>
              <w:jc w:val="right"/>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49.725</w:t>
            </w:r>
          </w:p>
        </w:tc>
        <w:tc>
          <w:tcPr>
            <w:tcW w:w="204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5638124">
            <w:pPr>
              <w:keepNext w:val="0"/>
              <w:keepLines w:val="0"/>
              <w:widowControl/>
              <w:suppressLineNumbers w:val="0"/>
              <w:jc w:val="right"/>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74.944</w:t>
            </w:r>
          </w:p>
        </w:tc>
        <w:tc>
          <w:tcPr>
            <w:tcW w:w="232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E54D63E">
            <w:pPr>
              <w:keepNext w:val="0"/>
              <w:keepLines w:val="0"/>
              <w:widowControl/>
              <w:suppressLineNumbers w:val="0"/>
              <w:jc w:val="right"/>
              <w:textAlignment w:val="center"/>
              <w:rPr>
                <w:rFonts w:hint="default" w:ascii="Times New Roman" w:hAnsi="Times New Roman" w:cs="Times New Roman"/>
                <w:b/>
                <w:bCs/>
                <w:i w:val="0"/>
                <w:iCs w:val="0"/>
                <w:color w:val="auto"/>
                <w:highlight w:val="none"/>
                <w:u w:val="none"/>
              </w:rPr>
            </w:pPr>
            <w:r>
              <w:rPr>
                <w:rFonts w:hint="default" w:ascii="Times New Roman" w:hAnsi="Times New Roman" w:eastAsia="SimSun" w:cs="Times New Roman"/>
                <w:b/>
                <w:bCs/>
                <w:i w:val="0"/>
                <w:iCs w:val="0"/>
                <w:color w:val="auto"/>
                <w:kern w:val="0"/>
                <w:sz w:val="24"/>
                <w:szCs w:val="24"/>
                <w:highlight w:val="none"/>
                <w:u w:val="none"/>
                <w:lang w:val="en-US" w:eastAsia="zh-CN" w:bidi="ar"/>
              </w:rPr>
              <w:t>49.725</w:t>
            </w:r>
          </w:p>
        </w:tc>
      </w:tr>
    </w:tbl>
    <w:p w14:paraId="1976D074">
      <w:pPr>
        <w:pStyle w:val="49"/>
        <w:keepNext/>
        <w:keepLines/>
        <w:spacing w:before="120" w:line="264" w:lineRule="auto"/>
        <w:rPr>
          <w:rFonts w:hint="default" w:ascii="Times New Roman" w:hAnsi="Times New Roman" w:cs="Times New Roman"/>
          <w:color w:val="auto"/>
          <w:highlight w:val="none"/>
        </w:rPr>
      </w:pPr>
    </w:p>
    <w:p w14:paraId="1486C279">
      <w:pPr>
        <w:pStyle w:val="49"/>
        <w:keepNext/>
        <w:keepLines/>
        <w:spacing w:before="120" w:line="264" w:lineRule="auto"/>
        <w:rPr>
          <w:rFonts w:hint="default" w:ascii="Times New Roman" w:hAnsi="Times New Roman" w:cs="Times New Roman"/>
          <w:color w:val="auto"/>
          <w:highlight w:val="none"/>
        </w:rPr>
      </w:pPr>
      <w:r>
        <w:rPr>
          <w:rFonts w:hint="default" w:ascii="Times New Roman" w:hAnsi="Times New Roman" w:cs="Times New Roman"/>
          <w:color w:val="auto"/>
          <w:highlight w:val="none"/>
        </w:rPr>
        <w:t>4. NHẬN XÉT, ĐÁNH GIÁ</w:t>
      </w:r>
      <w:bookmarkEnd w:id="5"/>
      <w:bookmarkEnd w:id="6"/>
      <w:bookmarkEnd w:id="7"/>
    </w:p>
    <w:p w14:paraId="10DF4CAA">
      <w:pPr>
        <w:pStyle w:val="47"/>
        <w:spacing w:line="264" w:lineRule="auto"/>
        <w:ind w:firstLine="72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Thủ tục hành chính không làm phát sinh phí, lệ phí hoặc khoản thu khác của cơ quan nhà nước. Chi phí tuân thủ chủ yếu là chi phí thời gian của Chủ hộ trong việc chuẩn bị hồ sơ, nộp hồ sơ, theo dõi và nhận kết quả giải quyết.</w:t>
      </w:r>
    </w:p>
    <w:p w14:paraId="618CCBC8">
      <w:pPr>
        <w:pStyle w:val="47"/>
        <w:spacing w:line="264" w:lineRule="auto"/>
        <w:ind w:firstLine="72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Việc quy định hình thức nộp hồ sơ trực tiếp, qua dịch vụ bưu chính công ích hoặc trực tuyến; không yêu cầu cung cấp lại thông tin, giấy tờ đã có trong cơ sở dữ liệu hoặc do cơ quan giải quyết thủ tục hành chính đang quản lý; chi trả kinh phí hỗ trợ qua tài khoản ngân hàng c</w:t>
      </w:r>
      <w:bookmarkStart w:id="8" w:name="_GoBack"/>
      <w:bookmarkEnd w:id="8"/>
      <w:r>
        <w:rPr>
          <w:rFonts w:hint="default" w:ascii="Times New Roman" w:hAnsi="Times New Roman" w:cs="Times New Roman"/>
          <w:color w:val="auto"/>
          <w:highlight w:val="none"/>
        </w:rPr>
        <w:t>ủa Chủ hộ là phù hợp với yêu cầu cải cách thủ tục hành chính, góp phần giảm chi phí tuân thủ, bảo đảm công khai, minh bạch và thuận lợi cho người dân trong quá trình thực hiện chính sách./.</w:t>
      </w:r>
    </w:p>
    <w:p w14:paraId="71729012">
      <w:pPr>
        <w:ind w:firstLine="0"/>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3253105</wp:posOffset>
                </wp:positionH>
                <wp:positionV relativeFrom="paragraph">
                  <wp:posOffset>358140</wp:posOffset>
                </wp:positionV>
                <wp:extent cx="2009775" cy="0"/>
                <wp:effectExtent l="0" t="5080" r="0" b="4445"/>
                <wp:wrapNone/>
                <wp:docPr id="3" name="Straight Connector 3"/>
                <wp:cNvGraphicFramePr/>
                <a:graphic xmlns:a="http://schemas.openxmlformats.org/drawingml/2006/main">
                  <a:graphicData uri="http://schemas.microsoft.com/office/word/2010/wordprocessingShape">
                    <wps:wsp>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56.15pt;margin-top:28.2pt;height:0pt;width:158.25pt;z-index:251662336;mso-width-relative:page;mso-height-relative:page;" filled="f" stroked="t" coordsize="21600,21600" o:gfxdata="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t7bmf1gAAAAkBAAAPAAAAAAAAAAEAIAAAACIA&#10;AABkcnMvZG93bnJldi54bWxQSwECFAAUAAAACACHTuJAHghPVNIBAAC0AwAADgAAAAAAAAABACAA&#10;AAAlAQAAZHJzL2Uyb0RvYy54bWxQSwUGAAAAAAYABgBZAQAAaQUAAAAA&#10;">
                <v:fill on="f" focussize="0,0"/>
                <v:stroke weight="0.5pt" color="#000000 [3200]" miterlimit="8" joinstyle="miter"/>
                <v:imagedata o:title=""/>
                <o:lock v:ext="edit" aspectratio="f"/>
              </v:line>
            </w:pict>
          </mc:Fallback>
        </mc:AlternateContent>
      </w:r>
    </w:p>
    <w:p w14:paraId="5EDFC7A3">
      <w:pPr>
        <w:spacing w:before="60" w:after="0" w:line="240" w:lineRule="auto"/>
        <w:ind w:firstLine="567"/>
        <w:jc w:val="both"/>
        <w:rPr>
          <w:rFonts w:hint="default" w:ascii="Times New Roman" w:hAnsi="Times New Roman" w:cs="Times New Roman"/>
          <w:b/>
          <w:color w:val="auto"/>
          <w:sz w:val="26"/>
          <w:szCs w:val="26"/>
          <w:highlight w:val="none"/>
          <w:lang w:val="vi-VN"/>
        </w:rPr>
      </w:pPr>
    </w:p>
    <w:sectPr>
      <w:headerReference r:id="rId6" w:type="default"/>
      <w:pgSz w:w="16840" w:h="11907" w:orient="landscape"/>
      <w:pgMar w:top="1701" w:right="1134" w:bottom="1134" w:left="1134" w:header="720" w:footer="720" w:gutter="0"/>
      <w:cols w:space="0" w:num="1"/>
      <w:titlePg/>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0121337"/>
      <w:docPartObj>
        <w:docPartGallery w:val="autotext"/>
      </w:docPartObj>
    </w:sdtPr>
    <w:sdtEndPr>
      <w:rPr>
        <w:rFonts w:hint="default" w:ascii="Times New Roman" w:hAnsi="Times New Roman" w:cs="Times New Roman"/>
        <w:sz w:val="26"/>
        <w:szCs w:val="26"/>
      </w:rPr>
    </w:sdtEndPr>
    <w:sdtContent>
      <w:p w14:paraId="459DAE1E">
        <w:pPr>
          <w:pStyle w:val="17"/>
          <w:ind w:firstLine="0"/>
          <w:jc w:val="center"/>
          <w:rPr>
            <w:rFonts w:hint="default" w:ascii="Times New Roman" w:hAnsi="Times New Roman" w:cs="Times New Roman"/>
            <w:sz w:val="26"/>
            <w:szCs w:val="26"/>
          </w:rPr>
        </w:pPr>
        <w:r>
          <w:rPr>
            <w:rFonts w:hint="default" w:ascii="Times New Roman" w:hAnsi="Times New Roman" w:cs="Times New Roman"/>
            <w:sz w:val="26"/>
            <w:szCs w:val="26"/>
          </w:rPr>
          <w:fldChar w:fldCharType="begin"/>
        </w:r>
        <w:r>
          <w:rPr>
            <w:rFonts w:hint="default" w:ascii="Times New Roman" w:hAnsi="Times New Roman" w:cs="Times New Roman"/>
            <w:sz w:val="26"/>
            <w:szCs w:val="26"/>
          </w:rPr>
          <w:instrText xml:space="preserve"> PAGE   \* MERGEFORMAT </w:instrText>
        </w:r>
        <w:r>
          <w:rPr>
            <w:rFonts w:hint="default" w:ascii="Times New Roman" w:hAnsi="Times New Roman" w:cs="Times New Roman"/>
            <w:sz w:val="26"/>
            <w:szCs w:val="26"/>
          </w:rPr>
          <w:fldChar w:fldCharType="separate"/>
        </w:r>
        <w:r>
          <w:rPr>
            <w:rFonts w:hint="default" w:ascii="Times New Roman" w:hAnsi="Times New Roman" w:cs="Times New Roman"/>
            <w:sz w:val="26"/>
            <w:szCs w:val="26"/>
          </w:rPr>
          <w:t>22</w:t>
        </w:r>
        <w:r>
          <w:rPr>
            <w:rFonts w:hint="default" w:ascii="Times New Roman" w:hAnsi="Times New Roman" w:cs="Times New Roman"/>
            <w:sz w:val="26"/>
            <w:szCs w:val="26"/>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4333560"/>
      <w:docPartObj>
        <w:docPartGallery w:val="autotext"/>
      </w:docPartObj>
    </w:sdtPr>
    <w:sdtEndPr>
      <w:rPr>
        <w:rFonts w:ascii="Times New Roman" w:hAnsi="Times New Roman"/>
        <w:sz w:val="28"/>
        <w:szCs w:val="28"/>
      </w:rPr>
    </w:sdtEndPr>
    <w:sdtContent>
      <w:p w14:paraId="483A1F46">
        <w:pPr>
          <w:pStyle w:val="17"/>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5</w:t>
        </w:r>
        <w:r>
          <w:rPr>
            <w:rFonts w:ascii="Times New Roman" w:hAnsi="Times New Roman"/>
            <w:sz w:val="28"/>
            <w:szCs w:val="28"/>
          </w:rPr>
          <w:fldChar w:fldCharType="end"/>
        </w:r>
      </w:p>
    </w:sdtContent>
  </w:sdt>
  <w:p w14:paraId="78CEAAAD">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410392"/>
    <w:multiLevelType w:val="multilevel"/>
    <w:tmpl w:val="37410392"/>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shd w:val="clear" w:color="auto" w:fil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543D7D6A"/>
    <w:multiLevelType w:val="multilevel"/>
    <w:tmpl w:val="543D7D6A"/>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shd w:val="clear" w:color="auto" w:fil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7B5C4D6C"/>
    <w:multiLevelType w:val="multilevel"/>
    <w:tmpl w:val="7B5C4D6C"/>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shd w:val="clear" w:color="auto" w:fil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D00"/>
    <w:rsid w:val="0000021D"/>
    <w:rsid w:val="00000383"/>
    <w:rsid w:val="0000039D"/>
    <w:rsid w:val="00000C24"/>
    <w:rsid w:val="00000DE5"/>
    <w:rsid w:val="00000F1E"/>
    <w:rsid w:val="00000FFD"/>
    <w:rsid w:val="000011E0"/>
    <w:rsid w:val="000011FA"/>
    <w:rsid w:val="00001232"/>
    <w:rsid w:val="000014F7"/>
    <w:rsid w:val="00001506"/>
    <w:rsid w:val="00001516"/>
    <w:rsid w:val="00001570"/>
    <w:rsid w:val="0000164E"/>
    <w:rsid w:val="00001652"/>
    <w:rsid w:val="0000175E"/>
    <w:rsid w:val="00001833"/>
    <w:rsid w:val="00001860"/>
    <w:rsid w:val="00001AAA"/>
    <w:rsid w:val="00001B3E"/>
    <w:rsid w:val="00002613"/>
    <w:rsid w:val="00002C51"/>
    <w:rsid w:val="00002F4A"/>
    <w:rsid w:val="000033C1"/>
    <w:rsid w:val="000035C9"/>
    <w:rsid w:val="000038E8"/>
    <w:rsid w:val="00004469"/>
    <w:rsid w:val="000048F9"/>
    <w:rsid w:val="00004915"/>
    <w:rsid w:val="0000504F"/>
    <w:rsid w:val="0000527F"/>
    <w:rsid w:val="00005A16"/>
    <w:rsid w:val="00005D75"/>
    <w:rsid w:val="000061E5"/>
    <w:rsid w:val="00006497"/>
    <w:rsid w:val="000064C4"/>
    <w:rsid w:val="00006D50"/>
    <w:rsid w:val="00007354"/>
    <w:rsid w:val="00007610"/>
    <w:rsid w:val="000076AC"/>
    <w:rsid w:val="00007C0A"/>
    <w:rsid w:val="00007D9C"/>
    <w:rsid w:val="00011212"/>
    <w:rsid w:val="00011240"/>
    <w:rsid w:val="000116A2"/>
    <w:rsid w:val="000117B6"/>
    <w:rsid w:val="000117E2"/>
    <w:rsid w:val="00011D11"/>
    <w:rsid w:val="00011E3B"/>
    <w:rsid w:val="00011EDB"/>
    <w:rsid w:val="00012060"/>
    <w:rsid w:val="00012113"/>
    <w:rsid w:val="000122FC"/>
    <w:rsid w:val="000124D2"/>
    <w:rsid w:val="000124E7"/>
    <w:rsid w:val="000125E2"/>
    <w:rsid w:val="0001261B"/>
    <w:rsid w:val="0001287E"/>
    <w:rsid w:val="00012B50"/>
    <w:rsid w:val="00012B6D"/>
    <w:rsid w:val="00012F7A"/>
    <w:rsid w:val="000135CA"/>
    <w:rsid w:val="000135E6"/>
    <w:rsid w:val="0001393C"/>
    <w:rsid w:val="00013C08"/>
    <w:rsid w:val="00013C85"/>
    <w:rsid w:val="00013D89"/>
    <w:rsid w:val="00013E3D"/>
    <w:rsid w:val="00014046"/>
    <w:rsid w:val="000141D8"/>
    <w:rsid w:val="0001490E"/>
    <w:rsid w:val="000149A6"/>
    <w:rsid w:val="00015185"/>
    <w:rsid w:val="000151D3"/>
    <w:rsid w:val="0001557E"/>
    <w:rsid w:val="000156FD"/>
    <w:rsid w:val="000159CC"/>
    <w:rsid w:val="00015CDC"/>
    <w:rsid w:val="00015EE8"/>
    <w:rsid w:val="00016529"/>
    <w:rsid w:val="00016593"/>
    <w:rsid w:val="00016604"/>
    <w:rsid w:val="0001662E"/>
    <w:rsid w:val="00016E55"/>
    <w:rsid w:val="0001744B"/>
    <w:rsid w:val="00017497"/>
    <w:rsid w:val="000177D2"/>
    <w:rsid w:val="00017D1C"/>
    <w:rsid w:val="000202FF"/>
    <w:rsid w:val="000204A6"/>
    <w:rsid w:val="00020B1D"/>
    <w:rsid w:val="00020C9B"/>
    <w:rsid w:val="000211FD"/>
    <w:rsid w:val="00021216"/>
    <w:rsid w:val="000215D5"/>
    <w:rsid w:val="00021651"/>
    <w:rsid w:val="000217BD"/>
    <w:rsid w:val="000218AF"/>
    <w:rsid w:val="00021908"/>
    <w:rsid w:val="0002200D"/>
    <w:rsid w:val="000222DD"/>
    <w:rsid w:val="0002278F"/>
    <w:rsid w:val="00022CC7"/>
    <w:rsid w:val="00022DC0"/>
    <w:rsid w:val="00022DFA"/>
    <w:rsid w:val="00023003"/>
    <w:rsid w:val="0002312A"/>
    <w:rsid w:val="000231E0"/>
    <w:rsid w:val="0002320C"/>
    <w:rsid w:val="000232D1"/>
    <w:rsid w:val="0002333A"/>
    <w:rsid w:val="0002364B"/>
    <w:rsid w:val="00023D1A"/>
    <w:rsid w:val="000240BE"/>
    <w:rsid w:val="00024133"/>
    <w:rsid w:val="000245E6"/>
    <w:rsid w:val="00024C2E"/>
    <w:rsid w:val="00024F66"/>
    <w:rsid w:val="00025318"/>
    <w:rsid w:val="000257E7"/>
    <w:rsid w:val="000258B5"/>
    <w:rsid w:val="00025D6C"/>
    <w:rsid w:val="00025E11"/>
    <w:rsid w:val="00026870"/>
    <w:rsid w:val="00026A6F"/>
    <w:rsid w:val="00026C66"/>
    <w:rsid w:val="00026CBD"/>
    <w:rsid w:val="00026E7E"/>
    <w:rsid w:val="00027221"/>
    <w:rsid w:val="00027462"/>
    <w:rsid w:val="00027600"/>
    <w:rsid w:val="00027754"/>
    <w:rsid w:val="00027F6C"/>
    <w:rsid w:val="00030C54"/>
    <w:rsid w:val="00030EB1"/>
    <w:rsid w:val="00030FB4"/>
    <w:rsid w:val="000311CB"/>
    <w:rsid w:val="00031203"/>
    <w:rsid w:val="00031461"/>
    <w:rsid w:val="0003196B"/>
    <w:rsid w:val="00031A4F"/>
    <w:rsid w:val="00031AAD"/>
    <w:rsid w:val="00031BD8"/>
    <w:rsid w:val="00031C30"/>
    <w:rsid w:val="00031DBC"/>
    <w:rsid w:val="000325E3"/>
    <w:rsid w:val="00032F5A"/>
    <w:rsid w:val="000335C3"/>
    <w:rsid w:val="00033A1E"/>
    <w:rsid w:val="00033D86"/>
    <w:rsid w:val="0003446F"/>
    <w:rsid w:val="00034D8A"/>
    <w:rsid w:val="0003509A"/>
    <w:rsid w:val="00035281"/>
    <w:rsid w:val="000355B6"/>
    <w:rsid w:val="00035E91"/>
    <w:rsid w:val="00036780"/>
    <w:rsid w:val="00037431"/>
    <w:rsid w:val="00037F2F"/>
    <w:rsid w:val="00037F35"/>
    <w:rsid w:val="00040091"/>
    <w:rsid w:val="000415A3"/>
    <w:rsid w:val="00041665"/>
    <w:rsid w:val="00041B32"/>
    <w:rsid w:val="00041C38"/>
    <w:rsid w:val="00041D05"/>
    <w:rsid w:val="000424BB"/>
    <w:rsid w:val="000426A1"/>
    <w:rsid w:val="000426AC"/>
    <w:rsid w:val="0004274D"/>
    <w:rsid w:val="00042F03"/>
    <w:rsid w:val="00043879"/>
    <w:rsid w:val="0004399E"/>
    <w:rsid w:val="00043FD5"/>
    <w:rsid w:val="00044147"/>
    <w:rsid w:val="0004445F"/>
    <w:rsid w:val="0004454F"/>
    <w:rsid w:val="00044617"/>
    <w:rsid w:val="0004483F"/>
    <w:rsid w:val="00044B96"/>
    <w:rsid w:val="00044CF3"/>
    <w:rsid w:val="00044E58"/>
    <w:rsid w:val="00045115"/>
    <w:rsid w:val="0004540B"/>
    <w:rsid w:val="000457EE"/>
    <w:rsid w:val="00045E9E"/>
    <w:rsid w:val="00046177"/>
    <w:rsid w:val="000465B8"/>
    <w:rsid w:val="000466FF"/>
    <w:rsid w:val="00046844"/>
    <w:rsid w:val="000469E1"/>
    <w:rsid w:val="00046E89"/>
    <w:rsid w:val="0004743A"/>
    <w:rsid w:val="00047533"/>
    <w:rsid w:val="00047A23"/>
    <w:rsid w:val="00047D55"/>
    <w:rsid w:val="00050CDD"/>
    <w:rsid w:val="00051044"/>
    <w:rsid w:val="000511AF"/>
    <w:rsid w:val="00051A37"/>
    <w:rsid w:val="00051B08"/>
    <w:rsid w:val="00052064"/>
    <w:rsid w:val="000520B0"/>
    <w:rsid w:val="000523BF"/>
    <w:rsid w:val="0005282A"/>
    <w:rsid w:val="00052D20"/>
    <w:rsid w:val="000532DF"/>
    <w:rsid w:val="00053CA0"/>
    <w:rsid w:val="00053D77"/>
    <w:rsid w:val="00053EC4"/>
    <w:rsid w:val="0005404C"/>
    <w:rsid w:val="0005408D"/>
    <w:rsid w:val="000542F7"/>
    <w:rsid w:val="0005440F"/>
    <w:rsid w:val="000545AC"/>
    <w:rsid w:val="00055014"/>
    <w:rsid w:val="00055553"/>
    <w:rsid w:val="000555B6"/>
    <w:rsid w:val="000555C4"/>
    <w:rsid w:val="0005588C"/>
    <w:rsid w:val="00055A49"/>
    <w:rsid w:val="00055AD7"/>
    <w:rsid w:val="00055EE9"/>
    <w:rsid w:val="0005602D"/>
    <w:rsid w:val="00056089"/>
    <w:rsid w:val="0005611F"/>
    <w:rsid w:val="0005613B"/>
    <w:rsid w:val="000563EC"/>
    <w:rsid w:val="000568EB"/>
    <w:rsid w:val="0005698A"/>
    <w:rsid w:val="00056CC6"/>
    <w:rsid w:val="00056CF0"/>
    <w:rsid w:val="00056FB9"/>
    <w:rsid w:val="00057016"/>
    <w:rsid w:val="0005752C"/>
    <w:rsid w:val="00057A6E"/>
    <w:rsid w:val="00057DDF"/>
    <w:rsid w:val="00060C5E"/>
    <w:rsid w:val="00061014"/>
    <w:rsid w:val="0006108E"/>
    <w:rsid w:val="00061282"/>
    <w:rsid w:val="00061598"/>
    <w:rsid w:val="0006178C"/>
    <w:rsid w:val="000618C5"/>
    <w:rsid w:val="00061AEA"/>
    <w:rsid w:val="00061DCD"/>
    <w:rsid w:val="000620B6"/>
    <w:rsid w:val="0006232A"/>
    <w:rsid w:val="0006234D"/>
    <w:rsid w:val="000623C4"/>
    <w:rsid w:val="00062A16"/>
    <w:rsid w:val="00062A2A"/>
    <w:rsid w:val="00062BB0"/>
    <w:rsid w:val="000631ED"/>
    <w:rsid w:val="000636EA"/>
    <w:rsid w:val="00063E22"/>
    <w:rsid w:val="000640F7"/>
    <w:rsid w:val="0006439B"/>
    <w:rsid w:val="00064808"/>
    <w:rsid w:val="00064983"/>
    <w:rsid w:val="00064A9D"/>
    <w:rsid w:val="00064AB6"/>
    <w:rsid w:val="00064BDE"/>
    <w:rsid w:val="0006519B"/>
    <w:rsid w:val="000653EB"/>
    <w:rsid w:val="00065F18"/>
    <w:rsid w:val="000662CB"/>
    <w:rsid w:val="000664A3"/>
    <w:rsid w:val="00066F13"/>
    <w:rsid w:val="00067006"/>
    <w:rsid w:val="00067434"/>
    <w:rsid w:val="00067656"/>
    <w:rsid w:val="00067977"/>
    <w:rsid w:val="00067D79"/>
    <w:rsid w:val="00070267"/>
    <w:rsid w:val="000702D0"/>
    <w:rsid w:val="00070488"/>
    <w:rsid w:val="00070686"/>
    <w:rsid w:val="00070B07"/>
    <w:rsid w:val="00070B5C"/>
    <w:rsid w:val="00070C4F"/>
    <w:rsid w:val="00070DF6"/>
    <w:rsid w:val="00070F29"/>
    <w:rsid w:val="00070FEF"/>
    <w:rsid w:val="000710BA"/>
    <w:rsid w:val="000710D3"/>
    <w:rsid w:val="000713C0"/>
    <w:rsid w:val="00071B20"/>
    <w:rsid w:val="00071DE0"/>
    <w:rsid w:val="00072351"/>
    <w:rsid w:val="000724EB"/>
    <w:rsid w:val="00072651"/>
    <w:rsid w:val="000726DD"/>
    <w:rsid w:val="000727F9"/>
    <w:rsid w:val="000728A1"/>
    <w:rsid w:val="00073147"/>
    <w:rsid w:val="000733C8"/>
    <w:rsid w:val="00073A27"/>
    <w:rsid w:val="00073FCA"/>
    <w:rsid w:val="00074225"/>
    <w:rsid w:val="0007432F"/>
    <w:rsid w:val="00074446"/>
    <w:rsid w:val="00074505"/>
    <w:rsid w:val="00074732"/>
    <w:rsid w:val="00074B62"/>
    <w:rsid w:val="00074E25"/>
    <w:rsid w:val="00074E34"/>
    <w:rsid w:val="0007501E"/>
    <w:rsid w:val="000753C2"/>
    <w:rsid w:val="000759EF"/>
    <w:rsid w:val="00075B20"/>
    <w:rsid w:val="00075E5F"/>
    <w:rsid w:val="000761CC"/>
    <w:rsid w:val="000765E2"/>
    <w:rsid w:val="00076915"/>
    <w:rsid w:val="00076C5E"/>
    <w:rsid w:val="000772DB"/>
    <w:rsid w:val="000772F2"/>
    <w:rsid w:val="000777C7"/>
    <w:rsid w:val="00077858"/>
    <w:rsid w:val="0007790D"/>
    <w:rsid w:val="00077CF8"/>
    <w:rsid w:val="00080154"/>
    <w:rsid w:val="00080ECC"/>
    <w:rsid w:val="00080F39"/>
    <w:rsid w:val="00080FC0"/>
    <w:rsid w:val="00081051"/>
    <w:rsid w:val="000810D3"/>
    <w:rsid w:val="000825D2"/>
    <w:rsid w:val="00082D7E"/>
    <w:rsid w:val="00083110"/>
    <w:rsid w:val="00083165"/>
    <w:rsid w:val="000831C9"/>
    <w:rsid w:val="00083314"/>
    <w:rsid w:val="00083468"/>
    <w:rsid w:val="00083ED9"/>
    <w:rsid w:val="00084130"/>
    <w:rsid w:val="0008448A"/>
    <w:rsid w:val="00084AED"/>
    <w:rsid w:val="000851FB"/>
    <w:rsid w:val="0008537A"/>
    <w:rsid w:val="00085B5E"/>
    <w:rsid w:val="00085BF5"/>
    <w:rsid w:val="00085DEB"/>
    <w:rsid w:val="00085FAB"/>
    <w:rsid w:val="0008619C"/>
    <w:rsid w:val="00087506"/>
    <w:rsid w:val="00087917"/>
    <w:rsid w:val="00087DD1"/>
    <w:rsid w:val="00087EDC"/>
    <w:rsid w:val="000902FD"/>
    <w:rsid w:val="00090566"/>
    <w:rsid w:val="0009085A"/>
    <w:rsid w:val="000909F4"/>
    <w:rsid w:val="00090DDA"/>
    <w:rsid w:val="00091095"/>
    <w:rsid w:val="00091516"/>
    <w:rsid w:val="000915B2"/>
    <w:rsid w:val="00091C6B"/>
    <w:rsid w:val="00091F15"/>
    <w:rsid w:val="00091F70"/>
    <w:rsid w:val="000920A8"/>
    <w:rsid w:val="00092135"/>
    <w:rsid w:val="00092399"/>
    <w:rsid w:val="000923B9"/>
    <w:rsid w:val="000931C2"/>
    <w:rsid w:val="000931FC"/>
    <w:rsid w:val="00093D28"/>
    <w:rsid w:val="000940E5"/>
    <w:rsid w:val="000942C1"/>
    <w:rsid w:val="00094354"/>
    <w:rsid w:val="000947A0"/>
    <w:rsid w:val="00094B45"/>
    <w:rsid w:val="00094F9E"/>
    <w:rsid w:val="000950A5"/>
    <w:rsid w:val="00095196"/>
    <w:rsid w:val="000956C1"/>
    <w:rsid w:val="00095985"/>
    <w:rsid w:val="00095D55"/>
    <w:rsid w:val="0009600E"/>
    <w:rsid w:val="0009600F"/>
    <w:rsid w:val="00096412"/>
    <w:rsid w:val="00096B99"/>
    <w:rsid w:val="00097675"/>
    <w:rsid w:val="000977ED"/>
    <w:rsid w:val="00097AEF"/>
    <w:rsid w:val="00097C1C"/>
    <w:rsid w:val="000A0452"/>
    <w:rsid w:val="000A064A"/>
    <w:rsid w:val="000A06C1"/>
    <w:rsid w:val="000A08D6"/>
    <w:rsid w:val="000A08F1"/>
    <w:rsid w:val="000A09B1"/>
    <w:rsid w:val="000A0A4D"/>
    <w:rsid w:val="000A0AAF"/>
    <w:rsid w:val="000A0BF5"/>
    <w:rsid w:val="000A1007"/>
    <w:rsid w:val="000A1A55"/>
    <w:rsid w:val="000A1BAC"/>
    <w:rsid w:val="000A2750"/>
    <w:rsid w:val="000A279F"/>
    <w:rsid w:val="000A2F06"/>
    <w:rsid w:val="000A31CA"/>
    <w:rsid w:val="000A32B3"/>
    <w:rsid w:val="000A35F6"/>
    <w:rsid w:val="000A3647"/>
    <w:rsid w:val="000A378E"/>
    <w:rsid w:val="000A3946"/>
    <w:rsid w:val="000A3A59"/>
    <w:rsid w:val="000A3B09"/>
    <w:rsid w:val="000A3BAD"/>
    <w:rsid w:val="000A4531"/>
    <w:rsid w:val="000A4A01"/>
    <w:rsid w:val="000A4A95"/>
    <w:rsid w:val="000A4B1E"/>
    <w:rsid w:val="000A4D64"/>
    <w:rsid w:val="000A4F76"/>
    <w:rsid w:val="000A4FAC"/>
    <w:rsid w:val="000A54A4"/>
    <w:rsid w:val="000A595A"/>
    <w:rsid w:val="000A5AA8"/>
    <w:rsid w:val="000A5C01"/>
    <w:rsid w:val="000A614A"/>
    <w:rsid w:val="000A6353"/>
    <w:rsid w:val="000A6443"/>
    <w:rsid w:val="000A661B"/>
    <w:rsid w:val="000A69C6"/>
    <w:rsid w:val="000A6A2E"/>
    <w:rsid w:val="000A6D9C"/>
    <w:rsid w:val="000A71E4"/>
    <w:rsid w:val="000A729C"/>
    <w:rsid w:val="000A73C5"/>
    <w:rsid w:val="000A7927"/>
    <w:rsid w:val="000B0E46"/>
    <w:rsid w:val="000B1551"/>
    <w:rsid w:val="000B1692"/>
    <w:rsid w:val="000B1A35"/>
    <w:rsid w:val="000B1AD1"/>
    <w:rsid w:val="000B2093"/>
    <w:rsid w:val="000B2233"/>
    <w:rsid w:val="000B2426"/>
    <w:rsid w:val="000B2CB1"/>
    <w:rsid w:val="000B33EC"/>
    <w:rsid w:val="000B3432"/>
    <w:rsid w:val="000B3D71"/>
    <w:rsid w:val="000B3E51"/>
    <w:rsid w:val="000B409A"/>
    <w:rsid w:val="000B426E"/>
    <w:rsid w:val="000B483F"/>
    <w:rsid w:val="000B48CA"/>
    <w:rsid w:val="000B4A45"/>
    <w:rsid w:val="000B4F20"/>
    <w:rsid w:val="000B5457"/>
    <w:rsid w:val="000B5853"/>
    <w:rsid w:val="000B622D"/>
    <w:rsid w:val="000B62DA"/>
    <w:rsid w:val="000B6529"/>
    <w:rsid w:val="000B6D02"/>
    <w:rsid w:val="000B6D33"/>
    <w:rsid w:val="000B718A"/>
    <w:rsid w:val="000B71B6"/>
    <w:rsid w:val="000B7809"/>
    <w:rsid w:val="000B7F12"/>
    <w:rsid w:val="000B7FF0"/>
    <w:rsid w:val="000C09CE"/>
    <w:rsid w:val="000C0B06"/>
    <w:rsid w:val="000C0CB4"/>
    <w:rsid w:val="000C1197"/>
    <w:rsid w:val="000C11C1"/>
    <w:rsid w:val="000C132F"/>
    <w:rsid w:val="000C1463"/>
    <w:rsid w:val="000C1539"/>
    <w:rsid w:val="000C1973"/>
    <w:rsid w:val="000C1A3C"/>
    <w:rsid w:val="000C1D25"/>
    <w:rsid w:val="000C23D9"/>
    <w:rsid w:val="000C25B4"/>
    <w:rsid w:val="000C2CAE"/>
    <w:rsid w:val="000C3277"/>
    <w:rsid w:val="000C40EC"/>
    <w:rsid w:val="000C42D0"/>
    <w:rsid w:val="000C42E0"/>
    <w:rsid w:val="000C4D1A"/>
    <w:rsid w:val="000C5158"/>
    <w:rsid w:val="000C57D9"/>
    <w:rsid w:val="000C5B9D"/>
    <w:rsid w:val="000C5DC7"/>
    <w:rsid w:val="000C5F4E"/>
    <w:rsid w:val="000C651D"/>
    <w:rsid w:val="000C6B97"/>
    <w:rsid w:val="000C6E54"/>
    <w:rsid w:val="000C6EEF"/>
    <w:rsid w:val="000C6FD5"/>
    <w:rsid w:val="000C7225"/>
    <w:rsid w:val="000C750E"/>
    <w:rsid w:val="000C7693"/>
    <w:rsid w:val="000C786C"/>
    <w:rsid w:val="000C7D0F"/>
    <w:rsid w:val="000D0014"/>
    <w:rsid w:val="000D003C"/>
    <w:rsid w:val="000D050A"/>
    <w:rsid w:val="000D0988"/>
    <w:rsid w:val="000D0FED"/>
    <w:rsid w:val="000D133E"/>
    <w:rsid w:val="000D1A1F"/>
    <w:rsid w:val="000D20C3"/>
    <w:rsid w:val="000D2178"/>
    <w:rsid w:val="000D21DC"/>
    <w:rsid w:val="000D24CF"/>
    <w:rsid w:val="000D2F70"/>
    <w:rsid w:val="000D2FEE"/>
    <w:rsid w:val="000D30BF"/>
    <w:rsid w:val="000D3FB2"/>
    <w:rsid w:val="000D41C5"/>
    <w:rsid w:val="000D4629"/>
    <w:rsid w:val="000D4865"/>
    <w:rsid w:val="000D4B28"/>
    <w:rsid w:val="000D4BC6"/>
    <w:rsid w:val="000D53DE"/>
    <w:rsid w:val="000D5D1A"/>
    <w:rsid w:val="000D625F"/>
    <w:rsid w:val="000D6337"/>
    <w:rsid w:val="000D634E"/>
    <w:rsid w:val="000D6589"/>
    <w:rsid w:val="000D6B6D"/>
    <w:rsid w:val="000D703A"/>
    <w:rsid w:val="000D720B"/>
    <w:rsid w:val="000D7AF1"/>
    <w:rsid w:val="000D7F50"/>
    <w:rsid w:val="000E037A"/>
    <w:rsid w:val="000E06DE"/>
    <w:rsid w:val="000E0F60"/>
    <w:rsid w:val="000E0F7C"/>
    <w:rsid w:val="000E0FE2"/>
    <w:rsid w:val="000E1858"/>
    <w:rsid w:val="000E1B92"/>
    <w:rsid w:val="000E1CD4"/>
    <w:rsid w:val="000E2501"/>
    <w:rsid w:val="000E2785"/>
    <w:rsid w:val="000E28A7"/>
    <w:rsid w:val="000E2AF3"/>
    <w:rsid w:val="000E35A2"/>
    <w:rsid w:val="000E3792"/>
    <w:rsid w:val="000E3799"/>
    <w:rsid w:val="000E37A2"/>
    <w:rsid w:val="000E3AC3"/>
    <w:rsid w:val="000E429D"/>
    <w:rsid w:val="000E42E7"/>
    <w:rsid w:val="000E447A"/>
    <w:rsid w:val="000E4518"/>
    <w:rsid w:val="000E4B00"/>
    <w:rsid w:val="000E4BCF"/>
    <w:rsid w:val="000E5376"/>
    <w:rsid w:val="000E5B4B"/>
    <w:rsid w:val="000E5FDB"/>
    <w:rsid w:val="000E627D"/>
    <w:rsid w:val="000E6C20"/>
    <w:rsid w:val="000E6F61"/>
    <w:rsid w:val="000E7044"/>
    <w:rsid w:val="000E7220"/>
    <w:rsid w:val="000E73F8"/>
    <w:rsid w:val="000E7A31"/>
    <w:rsid w:val="000E7EE2"/>
    <w:rsid w:val="000F0242"/>
    <w:rsid w:val="000F0795"/>
    <w:rsid w:val="000F0815"/>
    <w:rsid w:val="000F1310"/>
    <w:rsid w:val="000F1412"/>
    <w:rsid w:val="000F18CB"/>
    <w:rsid w:val="000F1952"/>
    <w:rsid w:val="000F1ACD"/>
    <w:rsid w:val="000F2406"/>
    <w:rsid w:val="000F2484"/>
    <w:rsid w:val="000F24FE"/>
    <w:rsid w:val="000F2616"/>
    <w:rsid w:val="000F351B"/>
    <w:rsid w:val="000F3A0C"/>
    <w:rsid w:val="000F3C20"/>
    <w:rsid w:val="000F3DFE"/>
    <w:rsid w:val="000F41CD"/>
    <w:rsid w:val="000F466C"/>
    <w:rsid w:val="000F4B92"/>
    <w:rsid w:val="000F5213"/>
    <w:rsid w:val="000F52F4"/>
    <w:rsid w:val="000F5479"/>
    <w:rsid w:val="000F574E"/>
    <w:rsid w:val="000F5AE3"/>
    <w:rsid w:val="000F6571"/>
    <w:rsid w:val="000F66D9"/>
    <w:rsid w:val="000F66DE"/>
    <w:rsid w:val="000F686F"/>
    <w:rsid w:val="000F6881"/>
    <w:rsid w:val="000F6A3B"/>
    <w:rsid w:val="000F7029"/>
    <w:rsid w:val="000F71E0"/>
    <w:rsid w:val="000F7DAC"/>
    <w:rsid w:val="0010021A"/>
    <w:rsid w:val="0010021E"/>
    <w:rsid w:val="00100337"/>
    <w:rsid w:val="00100410"/>
    <w:rsid w:val="00100500"/>
    <w:rsid w:val="0010056A"/>
    <w:rsid w:val="00100858"/>
    <w:rsid w:val="00100A7E"/>
    <w:rsid w:val="00100BAD"/>
    <w:rsid w:val="00101719"/>
    <w:rsid w:val="00101822"/>
    <w:rsid w:val="0010191C"/>
    <w:rsid w:val="00101A42"/>
    <w:rsid w:val="00101BF1"/>
    <w:rsid w:val="00102747"/>
    <w:rsid w:val="00102D03"/>
    <w:rsid w:val="00102EA1"/>
    <w:rsid w:val="00103339"/>
    <w:rsid w:val="00103532"/>
    <w:rsid w:val="00103A2B"/>
    <w:rsid w:val="00103C49"/>
    <w:rsid w:val="00103C9C"/>
    <w:rsid w:val="00104238"/>
    <w:rsid w:val="00104784"/>
    <w:rsid w:val="00104F74"/>
    <w:rsid w:val="001052CC"/>
    <w:rsid w:val="00105552"/>
    <w:rsid w:val="00105DBD"/>
    <w:rsid w:val="00105E51"/>
    <w:rsid w:val="00106048"/>
    <w:rsid w:val="00106384"/>
    <w:rsid w:val="001065F0"/>
    <w:rsid w:val="00106B61"/>
    <w:rsid w:val="00106E1D"/>
    <w:rsid w:val="00106E6C"/>
    <w:rsid w:val="00107089"/>
    <w:rsid w:val="00107966"/>
    <w:rsid w:val="00107C3D"/>
    <w:rsid w:val="00107D27"/>
    <w:rsid w:val="001108A1"/>
    <w:rsid w:val="00110BF8"/>
    <w:rsid w:val="00110DF6"/>
    <w:rsid w:val="0011105D"/>
    <w:rsid w:val="001112D6"/>
    <w:rsid w:val="001115E2"/>
    <w:rsid w:val="0011183E"/>
    <w:rsid w:val="00111B6B"/>
    <w:rsid w:val="00111CA4"/>
    <w:rsid w:val="00111FDB"/>
    <w:rsid w:val="00112161"/>
    <w:rsid w:val="0011222B"/>
    <w:rsid w:val="001124D5"/>
    <w:rsid w:val="00112E1E"/>
    <w:rsid w:val="00112E3F"/>
    <w:rsid w:val="00113009"/>
    <w:rsid w:val="00113176"/>
    <w:rsid w:val="00113639"/>
    <w:rsid w:val="001137F7"/>
    <w:rsid w:val="00113E16"/>
    <w:rsid w:val="00114A71"/>
    <w:rsid w:val="00114AC9"/>
    <w:rsid w:val="00114FC7"/>
    <w:rsid w:val="0011555A"/>
    <w:rsid w:val="00115D25"/>
    <w:rsid w:val="0011642D"/>
    <w:rsid w:val="00116772"/>
    <w:rsid w:val="001174AB"/>
    <w:rsid w:val="00117822"/>
    <w:rsid w:val="00117827"/>
    <w:rsid w:val="00117961"/>
    <w:rsid w:val="00117C2A"/>
    <w:rsid w:val="001200FC"/>
    <w:rsid w:val="0012015A"/>
    <w:rsid w:val="00120773"/>
    <w:rsid w:val="00120FC3"/>
    <w:rsid w:val="00121095"/>
    <w:rsid w:val="001211E0"/>
    <w:rsid w:val="001211FA"/>
    <w:rsid w:val="00121461"/>
    <w:rsid w:val="001215A5"/>
    <w:rsid w:val="001217D3"/>
    <w:rsid w:val="00121828"/>
    <w:rsid w:val="00121900"/>
    <w:rsid w:val="00121B0C"/>
    <w:rsid w:val="00121B34"/>
    <w:rsid w:val="0012224B"/>
    <w:rsid w:val="00122513"/>
    <w:rsid w:val="001225E5"/>
    <w:rsid w:val="00122C3A"/>
    <w:rsid w:val="00122DE1"/>
    <w:rsid w:val="00122E3C"/>
    <w:rsid w:val="00122E7F"/>
    <w:rsid w:val="00122F58"/>
    <w:rsid w:val="00123563"/>
    <w:rsid w:val="0012394E"/>
    <w:rsid w:val="0012395A"/>
    <w:rsid w:val="00123BE5"/>
    <w:rsid w:val="001240B5"/>
    <w:rsid w:val="00124909"/>
    <w:rsid w:val="00124B81"/>
    <w:rsid w:val="00124B82"/>
    <w:rsid w:val="00124F76"/>
    <w:rsid w:val="00125070"/>
    <w:rsid w:val="0012532E"/>
    <w:rsid w:val="00125567"/>
    <w:rsid w:val="0012566F"/>
    <w:rsid w:val="00125799"/>
    <w:rsid w:val="00125AF1"/>
    <w:rsid w:val="00125C07"/>
    <w:rsid w:val="0012650D"/>
    <w:rsid w:val="001265E6"/>
    <w:rsid w:val="0012680A"/>
    <w:rsid w:val="0012694E"/>
    <w:rsid w:val="00126B0F"/>
    <w:rsid w:val="0012735E"/>
    <w:rsid w:val="001275C7"/>
    <w:rsid w:val="0012772B"/>
    <w:rsid w:val="00127B7B"/>
    <w:rsid w:val="00130052"/>
    <w:rsid w:val="00130734"/>
    <w:rsid w:val="00130842"/>
    <w:rsid w:val="00130A41"/>
    <w:rsid w:val="00130AC2"/>
    <w:rsid w:val="00130DC3"/>
    <w:rsid w:val="00130F15"/>
    <w:rsid w:val="001312D4"/>
    <w:rsid w:val="0013159A"/>
    <w:rsid w:val="00131761"/>
    <w:rsid w:val="00131A47"/>
    <w:rsid w:val="00131C22"/>
    <w:rsid w:val="00131C88"/>
    <w:rsid w:val="00131F3B"/>
    <w:rsid w:val="0013274A"/>
    <w:rsid w:val="00132771"/>
    <w:rsid w:val="00132944"/>
    <w:rsid w:val="00132B02"/>
    <w:rsid w:val="00132D6D"/>
    <w:rsid w:val="00132DFE"/>
    <w:rsid w:val="00133CF8"/>
    <w:rsid w:val="0013493E"/>
    <w:rsid w:val="00134D36"/>
    <w:rsid w:val="00135A6E"/>
    <w:rsid w:val="00135A8E"/>
    <w:rsid w:val="00135BFB"/>
    <w:rsid w:val="001365FD"/>
    <w:rsid w:val="001367BD"/>
    <w:rsid w:val="00136B26"/>
    <w:rsid w:val="00137001"/>
    <w:rsid w:val="00137679"/>
    <w:rsid w:val="001377DE"/>
    <w:rsid w:val="001378E9"/>
    <w:rsid w:val="00137AA2"/>
    <w:rsid w:val="00140002"/>
    <w:rsid w:val="00140501"/>
    <w:rsid w:val="001405D2"/>
    <w:rsid w:val="001407CB"/>
    <w:rsid w:val="00140EBD"/>
    <w:rsid w:val="00140F44"/>
    <w:rsid w:val="00140F7B"/>
    <w:rsid w:val="00141485"/>
    <w:rsid w:val="00141CD0"/>
    <w:rsid w:val="0014227E"/>
    <w:rsid w:val="0014253D"/>
    <w:rsid w:val="001425DD"/>
    <w:rsid w:val="0014267B"/>
    <w:rsid w:val="001426F0"/>
    <w:rsid w:val="00142863"/>
    <w:rsid w:val="001429AF"/>
    <w:rsid w:val="00142A5D"/>
    <w:rsid w:val="00142CC8"/>
    <w:rsid w:val="0014332B"/>
    <w:rsid w:val="0014352D"/>
    <w:rsid w:val="0014378B"/>
    <w:rsid w:val="0014421E"/>
    <w:rsid w:val="0014474E"/>
    <w:rsid w:val="001452F0"/>
    <w:rsid w:val="00145863"/>
    <w:rsid w:val="00145E8E"/>
    <w:rsid w:val="00146047"/>
    <w:rsid w:val="00146B8B"/>
    <w:rsid w:val="0014720E"/>
    <w:rsid w:val="00147FCC"/>
    <w:rsid w:val="00147FF7"/>
    <w:rsid w:val="00150C82"/>
    <w:rsid w:val="00150D4C"/>
    <w:rsid w:val="0015105C"/>
    <w:rsid w:val="001515CC"/>
    <w:rsid w:val="001521F0"/>
    <w:rsid w:val="001521F5"/>
    <w:rsid w:val="00152794"/>
    <w:rsid w:val="0015280E"/>
    <w:rsid w:val="00152832"/>
    <w:rsid w:val="00152FE8"/>
    <w:rsid w:val="001532DD"/>
    <w:rsid w:val="001538D5"/>
    <w:rsid w:val="00153A3B"/>
    <w:rsid w:val="00153CAB"/>
    <w:rsid w:val="0015431B"/>
    <w:rsid w:val="001545CE"/>
    <w:rsid w:val="00154BF4"/>
    <w:rsid w:val="00155183"/>
    <w:rsid w:val="001553CD"/>
    <w:rsid w:val="00155868"/>
    <w:rsid w:val="0015597E"/>
    <w:rsid w:val="00155C36"/>
    <w:rsid w:val="00155DAC"/>
    <w:rsid w:val="00156153"/>
    <w:rsid w:val="001576DF"/>
    <w:rsid w:val="00157835"/>
    <w:rsid w:val="00157995"/>
    <w:rsid w:val="00157AA7"/>
    <w:rsid w:val="001600CD"/>
    <w:rsid w:val="001606D1"/>
    <w:rsid w:val="001606F3"/>
    <w:rsid w:val="001607A8"/>
    <w:rsid w:val="001609D5"/>
    <w:rsid w:val="00160E78"/>
    <w:rsid w:val="001610B1"/>
    <w:rsid w:val="0016110E"/>
    <w:rsid w:val="001614D8"/>
    <w:rsid w:val="001616EF"/>
    <w:rsid w:val="0016170A"/>
    <w:rsid w:val="001617EA"/>
    <w:rsid w:val="0016193F"/>
    <w:rsid w:val="00161BEB"/>
    <w:rsid w:val="00161E93"/>
    <w:rsid w:val="00161F9A"/>
    <w:rsid w:val="00162163"/>
    <w:rsid w:val="001623C4"/>
    <w:rsid w:val="00162D2B"/>
    <w:rsid w:val="00162E85"/>
    <w:rsid w:val="00163441"/>
    <w:rsid w:val="0016362B"/>
    <w:rsid w:val="00163AB2"/>
    <w:rsid w:val="00163BDA"/>
    <w:rsid w:val="00163CB7"/>
    <w:rsid w:val="00163D0A"/>
    <w:rsid w:val="001647C8"/>
    <w:rsid w:val="00164D39"/>
    <w:rsid w:val="00164DAC"/>
    <w:rsid w:val="00164E6C"/>
    <w:rsid w:val="0016509B"/>
    <w:rsid w:val="001664B5"/>
    <w:rsid w:val="001666C8"/>
    <w:rsid w:val="001672CF"/>
    <w:rsid w:val="00167491"/>
    <w:rsid w:val="00167524"/>
    <w:rsid w:val="001678D7"/>
    <w:rsid w:val="00167BF7"/>
    <w:rsid w:val="00167DCA"/>
    <w:rsid w:val="00167F8D"/>
    <w:rsid w:val="00170CBE"/>
    <w:rsid w:val="00170D39"/>
    <w:rsid w:val="00170D50"/>
    <w:rsid w:val="00171200"/>
    <w:rsid w:val="00171470"/>
    <w:rsid w:val="00172C86"/>
    <w:rsid w:val="00173048"/>
    <w:rsid w:val="00173190"/>
    <w:rsid w:val="001731CA"/>
    <w:rsid w:val="001734FF"/>
    <w:rsid w:val="00173812"/>
    <w:rsid w:val="001738FB"/>
    <w:rsid w:val="00173C28"/>
    <w:rsid w:val="00173D47"/>
    <w:rsid w:val="00173FB4"/>
    <w:rsid w:val="001746A1"/>
    <w:rsid w:val="0017579C"/>
    <w:rsid w:val="00175C2C"/>
    <w:rsid w:val="00175D90"/>
    <w:rsid w:val="00175FC9"/>
    <w:rsid w:val="00176434"/>
    <w:rsid w:val="001767BD"/>
    <w:rsid w:val="00176881"/>
    <w:rsid w:val="00176B23"/>
    <w:rsid w:val="00176E8C"/>
    <w:rsid w:val="00177767"/>
    <w:rsid w:val="00177C4A"/>
    <w:rsid w:val="00180077"/>
    <w:rsid w:val="001801D6"/>
    <w:rsid w:val="001810B5"/>
    <w:rsid w:val="00181132"/>
    <w:rsid w:val="00181235"/>
    <w:rsid w:val="00181310"/>
    <w:rsid w:val="00181318"/>
    <w:rsid w:val="001813EC"/>
    <w:rsid w:val="001816E2"/>
    <w:rsid w:val="001818F2"/>
    <w:rsid w:val="001819BA"/>
    <w:rsid w:val="00181B45"/>
    <w:rsid w:val="00181CA4"/>
    <w:rsid w:val="00181D8B"/>
    <w:rsid w:val="001821E1"/>
    <w:rsid w:val="001821F1"/>
    <w:rsid w:val="0018262F"/>
    <w:rsid w:val="00182907"/>
    <w:rsid w:val="00182EC1"/>
    <w:rsid w:val="00183EC7"/>
    <w:rsid w:val="0018411B"/>
    <w:rsid w:val="001842F7"/>
    <w:rsid w:val="0018452A"/>
    <w:rsid w:val="0018477D"/>
    <w:rsid w:val="001848A1"/>
    <w:rsid w:val="00184A3D"/>
    <w:rsid w:val="00184CC4"/>
    <w:rsid w:val="00184F92"/>
    <w:rsid w:val="00185748"/>
    <w:rsid w:val="00186221"/>
    <w:rsid w:val="001862FE"/>
    <w:rsid w:val="001863BA"/>
    <w:rsid w:val="001864FA"/>
    <w:rsid w:val="00186D08"/>
    <w:rsid w:val="00186FAB"/>
    <w:rsid w:val="001871A6"/>
    <w:rsid w:val="0018734E"/>
    <w:rsid w:val="00187563"/>
    <w:rsid w:val="00187DB6"/>
    <w:rsid w:val="00187E14"/>
    <w:rsid w:val="00190507"/>
    <w:rsid w:val="0019088C"/>
    <w:rsid w:val="00190A38"/>
    <w:rsid w:val="00190AE4"/>
    <w:rsid w:val="00191015"/>
    <w:rsid w:val="001911FF"/>
    <w:rsid w:val="00191585"/>
    <w:rsid w:val="0019184F"/>
    <w:rsid w:val="00191D96"/>
    <w:rsid w:val="00192056"/>
    <w:rsid w:val="0019263E"/>
    <w:rsid w:val="00193199"/>
    <w:rsid w:val="00193E46"/>
    <w:rsid w:val="00193F03"/>
    <w:rsid w:val="001947DD"/>
    <w:rsid w:val="00194827"/>
    <w:rsid w:val="00194C3A"/>
    <w:rsid w:val="00195220"/>
    <w:rsid w:val="001957C1"/>
    <w:rsid w:val="001958A3"/>
    <w:rsid w:val="00195980"/>
    <w:rsid w:val="00195AEA"/>
    <w:rsid w:val="001964B2"/>
    <w:rsid w:val="001966BD"/>
    <w:rsid w:val="00196CAB"/>
    <w:rsid w:val="00196CC8"/>
    <w:rsid w:val="00197040"/>
    <w:rsid w:val="001972AC"/>
    <w:rsid w:val="0019772F"/>
    <w:rsid w:val="00197B1F"/>
    <w:rsid w:val="00197D55"/>
    <w:rsid w:val="001A0FD6"/>
    <w:rsid w:val="001A1253"/>
    <w:rsid w:val="001A1377"/>
    <w:rsid w:val="001A1AA4"/>
    <w:rsid w:val="001A1B84"/>
    <w:rsid w:val="001A1C3F"/>
    <w:rsid w:val="001A1D47"/>
    <w:rsid w:val="001A1F8D"/>
    <w:rsid w:val="001A2192"/>
    <w:rsid w:val="001A27D7"/>
    <w:rsid w:val="001A2A5A"/>
    <w:rsid w:val="001A2CA0"/>
    <w:rsid w:val="001A2E1E"/>
    <w:rsid w:val="001A33F1"/>
    <w:rsid w:val="001A34DB"/>
    <w:rsid w:val="001A3D55"/>
    <w:rsid w:val="001A3F93"/>
    <w:rsid w:val="001A4099"/>
    <w:rsid w:val="001A41D7"/>
    <w:rsid w:val="001A46A7"/>
    <w:rsid w:val="001A46F8"/>
    <w:rsid w:val="001A47DF"/>
    <w:rsid w:val="001A4C25"/>
    <w:rsid w:val="001A5772"/>
    <w:rsid w:val="001A5A5B"/>
    <w:rsid w:val="001A5D08"/>
    <w:rsid w:val="001A626C"/>
    <w:rsid w:val="001A6729"/>
    <w:rsid w:val="001A67DC"/>
    <w:rsid w:val="001A76CF"/>
    <w:rsid w:val="001A7722"/>
    <w:rsid w:val="001A7A82"/>
    <w:rsid w:val="001B01BC"/>
    <w:rsid w:val="001B0243"/>
    <w:rsid w:val="001B025E"/>
    <w:rsid w:val="001B06EC"/>
    <w:rsid w:val="001B10C3"/>
    <w:rsid w:val="001B1194"/>
    <w:rsid w:val="001B1391"/>
    <w:rsid w:val="001B14A8"/>
    <w:rsid w:val="001B1635"/>
    <w:rsid w:val="001B19B7"/>
    <w:rsid w:val="001B19BC"/>
    <w:rsid w:val="001B1C39"/>
    <w:rsid w:val="001B1D78"/>
    <w:rsid w:val="001B1E42"/>
    <w:rsid w:val="001B2172"/>
    <w:rsid w:val="001B2C98"/>
    <w:rsid w:val="001B34D3"/>
    <w:rsid w:val="001B35B5"/>
    <w:rsid w:val="001B3625"/>
    <w:rsid w:val="001B36DB"/>
    <w:rsid w:val="001B393D"/>
    <w:rsid w:val="001B3F8D"/>
    <w:rsid w:val="001B4051"/>
    <w:rsid w:val="001B42F3"/>
    <w:rsid w:val="001B47F3"/>
    <w:rsid w:val="001B4C9D"/>
    <w:rsid w:val="001B547D"/>
    <w:rsid w:val="001B54C8"/>
    <w:rsid w:val="001B594B"/>
    <w:rsid w:val="001B5B2D"/>
    <w:rsid w:val="001B5BA7"/>
    <w:rsid w:val="001B5F5F"/>
    <w:rsid w:val="001B640D"/>
    <w:rsid w:val="001B6603"/>
    <w:rsid w:val="001B6652"/>
    <w:rsid w:val="001B66FE"/>
    <w:rsid w:val="001B71C2"/>
    <w:rsid w:val="001B755A"/>
    <w:rsid w:val="001B75D9"/>
    <w:rsid w:val="001B7885"/>
    <w:rsid w:val="001B79CD"/>
    <w:rsid w:val="001B7B12"/>
    <w:rsid w:val="001B7B90"/>
    <w:rsid w:val="001B7D04"/>
    <w:rsid w:val="001C0983"/>
    <w:rsid w:val="001C0997"/>
    <w:rsid w:val="001C0A21"/>
    <w:rsid w:val="001C0C3C"/>
    <w:rsid w:val="001C1077"/>
    <w:rsid w:val="001C1122"/>
    <w:rsid w:val="001C1283"/>
    <w:rsid w:val="001C1489"/>
    <w:rsid w:val="001C15B9"/>
    <w:rsid w:val="001C1840"/>
    <w:rsid w:val="001C18A8"/>
    <w:rsid w:val="001C2093"/>
    <w:rsid w:val="001C21B5"/>
    <w:rsid w:val="001C278D"/>
    <w:rsid w:val="001C2CD8"/>
    <w:rsid w:val="001C2EE3"/>
    <w:rsid w:val="001C37FD"/>
    <w:rsid w:val="001C3B4E"/>
    <w:rsid w:val="001C3E28"/>
    <w:rsid w:val="001C3ED3"/>
    <w:rsid w:val="001C3EFC"/>
    <w:rsid w:val="001C4636"/>
    <w:rsid w:val="001C4EAF"/>
    <w:rsid w:val="001C529D"/>
    <w:rsid w:val="001C582D"/>
    <w:rsid w:val="001C6832"/>
    <w:rsid w:val="001C68DD"/>
    <w:rsid w:val="001C69C9"/>
    <w:rsid w:val="001C6B26"/>
    <w:rsid w:val="001C6C2D"/>
    <w:rsid w:val="001C6C9B"/>
    <w:rsid w:val="001C7078"/>
    <w:rsid w:val="001C7665"/>
    <w:rsid w:val="001C7D9C"/>
    <w:rsid w:val="001C7DA7"/>
    <w:rsid w:val="001C7F16"/>
    <w:rsid w:val="001D081C"/>
    <w:rsid w:val="001D094A"/>
    <w:rsid w:val="001D129C"/>
    <w:rsid w:val="001D1818"/>
    <w:rsid w:val="001D1BDC"/>
    <w:rsid w:val="001D1D8D"/>
    <w:rsid w:val="001D3250"/>
    <w:rsid w:val="001D346C"/>
    <w:rsid w:val="001D34FF"/>
    <w:rsid w:val="001D37C0"/>
    <w:rsid w:val="001D3BAD"/>
    <w:rsid w:val="001D4450"/>
    <w:rsid w:val="001D48BB"/>
    <w:rsid w:val="001D4B6A"/>
    <w:rsid w:val="001D5002"/>
    <w:rsid w:val="001D5425"/>
    <w:rsid w:val="001D5BB0"/>
    <w:rsid w:val="001D5E1F"/>
    <w:rsid w:val="001D6078"/>
    <w:rsid w:val="001D6160"/>
    <w:rsid w:val="001D6365"/>
    <w:rsid w:val="001D6728"/>
    <w:rsid w:val="001D6F2A"/>
    <w:rsid w:val="001D7790"/>
    <w:rsid w:val="001D79EF"/>
    <w:rsid w:val="001D7DD8"/>
    <w:rsid w:val="001E0681"/>
    <w:rsid w:val="001E0927"/>
    <w:rsid w:val="001E099F"/>
    <w:rsid w:val="001E0B2E"/>
    <w:rsid w:val="001E0B41"/>
    <w:rsid w:val="001E0B88"/>
    <w:rsid w:val="001E0F2F"/>
    <w:rsid w:val="001E20DC"/>
    <w:rsid w:val="001E21A5"/>
    <w:rsid w:val="001E21BB"/>
    <w:rsid w:val="001E2344"/>
    <w:rsid w:val="001E290B"/>
    <w:rsid w:val="001E297D"/>
    <w:rsid w:val="001E2C30"/>
    <w:rsid w:val="001E2E3A"/>
    <w:rsid w:val="001E3EE2"/>
    <w:rsid w:val="001E407D"/>
    <w:rsid w:val="001E4C09"/>
    <w:rsid w:val="001E4CC9"/>
    <w:rsid w:val="001E4CD4"/>
    <w:rsid w:val="001E505D"/>
    <w:rsid w:val="001E5151"/>
    <w:rsid w:val="001E51D8"/>
    <w:rsid w:val="001E571A"/>
    <w:rsid w:val="001E57B8"/>
    <w:rsid w:val="001E5862"/>
    <w:rsid w:val="001E5DF3"/>
    <w:rsid w:val="001E62CF"/>
    <w:rsid w:val="001E6FD8"/>
    <w:rsid w:val="001E7098"/>
    <w:rsid w:val="001E7126"/>
    <w:rsid w:val="001E7155"/>
    <w:rsid w:val="001E7223"/>
    <w:rsid w:val="001E7232"/>
    <w:rsid w:val="001E73A7"/>
    <w:rsid w:val="001E7484"/>
    <w:rsid w:val="001E7802"/>
    <w:rsid w:val="001E78EB"/>
    <w:rsid w:val="001E793C"/>
    <w:rsid w:val="001E7C84"/>
    <w:rsid w:val="001E7DE5"/>
    <w:rsid w:val="001E7EA5"/>
    <w:rsid w:val="001F02CA"/>
    <w:rsid w:val="001F0778"/>
    <w:rsid w:val="001F07FC"/>
    <w:rsid w:val="001F0869"/>
    <w:rsid w:val="001F0C64"/>
    <w:rsid w:val="001F11E3"/>
    <w:rsid w:val="001F12B8"/>
    <w:rsid w:val="001F15F4"/>
    <w:rsid w:val="001F16B1"/>
    <w:rsid w:val="001F16BD"/>
    <w:rsid w:val="001F1A13"/>
    <w:rsid w:val="001F1B7C"/>
    <w:rsid w:val="001F1CCB"/>
    <w:rsid w:val="001F1F66"/>
    <w:rsid w:val="001F20FD"/>
    <w:rsid w:val="001F23F7"/>
    <w:rsid w:val="001F2B7D"/>
    <w:rsid w:val="001F2FB7"/>
    <w:rsid w:val="001F3090"/>
    <w:rsid w:val="001F30E8"/>
    <w:rsid w:val="001F33DD"/>
    <w:rsid w:val="001F3A5E"/>
    <w:rsid w:val="001F3B58"/>
    <w:rsid w:val="001F3D91"/>
    <w:rsid w:val="001F437A"/>
    <w:rsid w:val="001F446E"/>
    <w:rsid w:val="001F4885"/>
    <w:rsid w:val="001F4B05"/>
    <w:rsid w:val="001F4E34"/>
    <w:rsid w:val="001F523F"/>
    <w:rsid w:val="001F57F3"/>
    <w:rsid w:val="001F5BB1"/>
    <w:rsid w:val="001F638C"/>
    <w:rsid w:val="001F6456"/>
    <w:rsid w:val="001F66C0"/>
    <w:rsid w:val="001F6C64"/>
    <w:rsid w:val="001F78AE"/>
    <w:rsid w:val="001F7BF1"/>
    <w:rsid w:val="001F7DF4"/>
    <w:rsid w:val="00200549"/>
    <w:rsid w:val="00200D2E"/>
    <w:rsid w:val="00201057"/>
    <w:rsid w:val="00201A71"/>
    <w:rsid w:val="002025A1"/>
    <w:rsid w:val="00202679"/>
    <w:rsid w:val="00202A82"/>
    <w:rsid w:val="00202BC0"/>
    <w:rsid w:val="00202D3E"/>
    <w:rsid w:val="00202F6E"/>
    <w:rsid w:val="00203457"/>
    <w:rsid w:val="00203687"/>
    <w:rsid w:val="00203705"/>
    <w:rsid w:val="0020370A"/>
    <w:rsid w:val="0020378E"/>
    <w:rsid w:val="0020384E"/>
    <w:rsid w:val="00203A4D"/>
    <w:rsid w:val="00203FB8"/>
    <w:rsid w:val="002040FD"/>
    <w:rsid w:val="002043DD"/>
    <w:rsid w:val="0020484F"/>
    <w:rsid w:val="00204E0E"/>
    <w:rsid w:val="002050B6"/>
    <w:rsid w:val="00205284"/>
    <w:rsid w:val="002052C1"/>
    <w:rsid w:val="0020567E"/>
    <w:rsid w:val="002057A2"/>
    <w:rsid w:val="00205CC4"/>
    <w:rsid w:val="00205F77"/>
    <w:rsid w:val="00205F78"/>
    <w:rsid w:val="00205F8C"/>
    <w:rsid w:val="00206451"/>
    <w:rsid w:val="0020657F"/>
    <w:rsid w:val="002065B1"/>
    <w:rsid w:val="00206E65"/>
    <w:rsid w:val="002070DF"/>
    <w:rsid w:val="0020716A"/>
    <w:rsid w:val="00207808"/>
    <w:rsid w:val="00207A17"/>
    <w:rsid w:val="00207AAE"/>
    <w:rsid w:val="00207E24"/>
    <w:rsid w:val="00207EEE"/>
    <w:rsid w:val="002103C8"/>
    <w:rsid w:val="00210472"/>
    <w:rsid w:val="002105FE"/>
    <w:rsid w:val="00210665"/>
    <w:rsid w:val="00210A6F"/>
    <w:rsid w:val="00210C8E"/>
    <w:rsid w:val="00210EBD"/>
    <w:rsid w:val="002111E7"/>
    <w:rsid w:val="00211822"/>
    <w:rsid w:val="00211ED0"/>
    <w:rsid w:val="002127F1"/>
    <w:rsid w:val="00212D10"/>
    <w:rsid w:val="00212F41"/>
    <w:rsid w:val="002131E7"/>
    <w:rsid w:val="002131F6"/>
    <w:rsid w:val="00213287"/>
    <w:rsid w:val="002133F5"/>
    <w:rsid w:val="0021356B"/>
    <w:rsid w:val="002139E8"/>
    <w:rsid w:val="00213A5C"/>
    <w:rsid w:val="00213EAF"/>
    <w:rsid w:val="00214498"/>
    <w:rsid w:val="00214520"/>
    <w:rsid w:val="002145CB"/>
    <w:rsid w:val="00214C8F"/>
    <w:rsid w:val="00214FFF"/>
    <w:rsid w:val="00215337"/>
    <w:rsid w:val="00215397"/>
    <w:rsid w:val="00215513"/>
    <w:rsid w:val="00215742"/>
    <w:rsid w:val="00215854"/>
    <w:rsid w:val="00215A4D"/>
    <w:rsid w:val="00215ABE"/>
    <w:rsid w:val="0021607C"/>
    <w:rsid w:val="002160CD"/>
    <w:rsid w:val="0021685E"/>
    <w:rsid w:val="002168DF"/>
    <w:rsid w:val="00216B55"/>
    <w:rsid w:val="00217114"/>
    <w:rsid w:val="0021725A"/>
    <w:rsid w:val="00217571"/>
    <w:rsid w:val="002175A8"/>
    <w:rsid w:val="00217600"/>
    <w:rsid w:val="00217C75"/>
    <w:rsid w:val="00220864"/>
    <w:rsid w:val="00220EFC"/>
    <w:rsid w:val="002210B0"/>
    <w:rsid w:val="002210C3"/>
    <w:rsid w:val="0022118C"/>
    <w:rsid w:val="0022119E"/>
    <w:rsid w:val="002214A4"/>
    <w:rsid w:val="002215F0"/>
    <w:rsid w:val="00221A60"/>
    <w:rsid w:val="00221A95"/>
    <w:rsid w:val="00221FCA"/>
    <w:rsid w:val="00222000"/>
    <w:rsid w:val="002221D0"/>
    <w:rsid w:val="0022227D"/>
    <w:rsid w:val="00222393"/>
    <w:rsid w:val="0022239C"/>
    <w:rsid w:val="002225B2"/>
    <w:rsid w:val="00222C0B"/>
    <w:rsid w:val="00223A46"/>
    <w:rsid w:val="00223B16"/>
    <w:rsid w:val="00224316"/>
    <w:rsid w:val="002248E8"/>
    <w:rsid w:val="00224D01"/>
    <w:rsid w:val="00224D57"/>
    <w:rsid w:val="002255DB"/>
    <w:rsid w:val="00225654"/>
    <w:rsid w:val="00225A09"/>
    <w:rsid w:val="00225B86"/>
    <w:rsid w:val="00226046"/>
    <w:rsid w:val="00226470"/>
    <w:rsid w:val="00226FAC"/>
    <w:rsid w:val="002278EA"/>
    <w:rsid w:val="002279F6"/>
    <w:rsid w:val="00227EDB"/>
    <w:rsid w:val="002305CD"/>
    <w:rsid w:val="00230EF4"/>
    <w:rsid w:val="00230F3F"/>
    <w:rsid w:val="00231045"/>
    <w:rsid w:val="00231E70"/>
    <w:rsid w:val="00231EAA"/>
    <w:rsid w:val="00232062"/>
    <w:rsid w:val="002320AA"/>
    <w:rsid w:val="00232A35"/>
    <w:rsid w:val="0023358A"/>
    <w:rsid w:val="00233842"/>
    <w:rsid w:val="002338CE"/>
    <w:rsid w:val="002339FE"/>
    <w:rsid w:val="00233DA2"/>
    <w:rsid w:val="00233E61"/>
    <w:rsid w:val="00233F0B"/>
    <w:rsid w:val="002340B0"/>
    <w:rsid w:val="002340F4"/>
    <w:rsid w:val="00234DEE"/>
    <w:rsid w:val="0023535E"/>
    <w:rsid w:val="002355DC"/>
    <w:rsid w:val="00235CFC"/>
    <w:rsid w:val="00235D37"/>
    <w:rsid w:val="002363F9"/>
    <w:rsid w:val="00236A0A"/>
    <w:rsid w:val="0023784F"/>
    <w:rsid w:val="00237922"/>
    <w:rsid w:val="002379B6"/>
    <w:rsid w:val="00237D37"/>
    <w:rsid w:val="002406E4"/>
    <w:rsid w:val="00240D22"/>
    <w:rsid w:val="00241990"/>
    <w:rsid w:val="00241ADD"/>
    <w:rsid w:val="00241B50"/>
    <w:rsid w:val="00241CAC"/>
    <w:rsid w:val="00241E1C"/>
    <w:rsid w:val="00241F8E"/>
    <w:rsid w:val="002420EE"/>
    <w:rsid w:val="002421AA"/>
    <w:rsid w:val="00242200"/>
    <w:rsid w:val="0024287D"/>
    <w:rsid w:val="00243018"/>
    <w:rsid w:val="00243386"/>
    <w:rsid w:val="00243548"/>
    <w:rsid w:val="002436B2"/>
    <w:rsid w:val="00243813"/>
    <w:rsid w:val="00243897"/>
    <w:rsid w:val="00243BBB"/>
    <w:rsid w:val="00243C29"/>
    <w:rsid w:val="00243C4E"/>
    <w:rsid w:val="00243CA7"/>
    <w:rsid w:val="00243CEA"/>
    <w:rsid w:val="00243F94"/>
    <w:rsid w:val="0024426B"/>
    <w:rsid w:val="002444F1"/>
    <w:rsid w:val="00244510"/>
    <w:rsid w:val="002449EB"/>
    <w:rsid w:val="00244E9E"/>
    <w:rsid w:val="00244EA0"/>
    <w:rsid w:val="00245132"/>
    <w:rsid w:val="00245687"/>
    <w:rsid w:val="00245CAF"/>
    <w:rsid w:val="00246338"/>
    <w:rsid w:val="0024697E"/>
    <w:rsid w:val="00246C35"/>
    <w:rsid w:val="00246D9C"/>
    <w:rsid w:val="002474AA"/>
    <w:rsid w:val="0024791D"/>
    <w:rsid w:val="00247A95"/>
    <w:rsid w:val="00247B47"/>
    <w:rsid w:val="00247C62"/>
    <w:rsid w:val="002501C9"/>
    <w:rsid w:val="002501DC"/>
    <w:rsid w:val="0025027C"/>
    <w:rsid w:val="00250534"/>
    <w:rsid w:val="00250681"/>
    <w:rsid w:val="0025098D"/>
    <w:rsid w:val="0025187D"/>
    <w:rsid w:val="00251926"/>
    <w:rsid w:val="00251C4D"/>
    <w:rsid w:val="00251DB0"/>
    <w:rsid w:val="00251EC4"/>
    <w:rsid w:val="00252327"/>
    <w:rsid w:val="00252A47"/>
    <w:rsid w:val="00252CDA"/>
    <w:rsid w:val="00252E9D"/>
    <w:rsid w:val="00252F28"/>
    <w:rsid w:val="002531A2"/>
    <w:rsid w:val="00253278"/>
    <w:rsid w:val="0025351F"/>
    <w:rsid w:val="0025368F"/>
    <w:rsid w:val="002538DE"/>
    <w:rsid w:val="00253979"/>
    <w:rsid w:val="00253D97"/>
    <w:rsid w:val="00253EA7"/>
    <w:rsid w:val="00253EB5"/>
    <w:rsid w:val="002541D8"/>
    <w:rsid w:val="00254215"/>
    <w:rsid w:val="002546FE"/>
    <w:rsid w:val="00254AB6"/>
    <w:rsid w:val="00255ABE"/>
    <w:rsid w:val="00255B99"/>
    <w:rsid w:val="00256944"/>
    <w:rsid w:val="00256E90"/>
    <w:rsid w:val="00257380"/>
    <w:rsid w:val="0025749E"/>
    <w:rsid w:val="0025792B"/>
    <w:rsid w:val="00257BDD"/>
    <w:rsid w:val="00257D57"/>
    <w:rsid w:val="00257D5E"/>
    <w:rsid w:val="00260431"/>
    <w:rsid w:val="002606FA"/>
    <w:rsid w:val="0026077D"/>
    <w:rsid w:val="00260F4C"/>
    <w:rsid w:val="0026129A"/>
    <w:rsid w:val="00261623"/>
    <w:rsid w:val="002616A9"/>
    <w:rsid w:val="00261962"/>
    <w:rsid w:val="00261ACC"/>
    <w:rsid w:val="00261E3C"/>
    <w:rsid w:val="00261E5A"/>
    <w:rsid w:val="0026242F"/>
    <w:rsid w:val="0026312E"/>
    <w:rsid w:val="00263138"/>
    <w:rsid w:val="002631B2"/>
    <w:rsid w:val="00264A32"/>
    <w:rsid w:val="00264AAE"/>
    <w:rsid w:val="00264B6F"/>
    <w:rsid w:val="00265575"/>
    <w:rsid w:val="002665B4"/>
    <w:rsid w:val="00266682"/>
    <w:rsid w:val="0026671B"/>
    <w:rsid w:val="00266834"/>
    <w:rsid w:val="002668B0"/>
    <w:rsid w:val="002668C6"/>
    <w:rsid w:val="0026744E"/>
    <w:rsid w:val="00267B4A"/>
    <w:rsid w:val="00267FDF"/>
    <w:rsid w:val="0027012C"/>
    <w:rsid w:val="00270178"/>
    <w:rsid w:val="00270217"/>
    <w:rsid w:val="00270A09"/>
    <w:rsid w:val="00270A7D"/>
    <w:rsid w:val="00270D39"/>
    <w:rsid w:val="00270DB5"/>
    <w:rsid w:val="00270FA8"/>
    <w:rsid w:val="0027141B"/>
    <w:rsid w:val="002714E5"/>
    <w:rsid w:val="00271691"/>
    <w:rsid w:val="00271817"/>
    <w:rsid w:val="0027194E"/>
    <w:rsid w:val="00271A71"/>
    <w:rsid w:val="00271C1A"/>
    <w:rsid w:val="00271C6B"/>
    <w:rsid w:val="00271F46"/>
    <w:rsid w:val="002722EF"/>
    <w:rsid w:val="00272394"/>
    <w:rsid w:val="00273629"/>
    <w:rsid w:val="00273A0E"/>
    <w:rsid w:val="00273E3D"/>
    <w:rsid w:val="002744AF"/>
    <w:rsid w:val="002744ED"/>
    <w:rsid w:val="00274617"/>
    <w:rsid w:val="00274BFB"/>
    <w:rsid w:val="00274D92"/>
    <w:rsid w:val="00274D95"/>
    <w:rsid w:val="00275266"/>
    <w:rsid w:val="00275268"/>
    <w:rsid w:val="0027551F"/>
    <w:rsid w:val="00275E0B"/>
    <w:rsid w:val="00276A33"/>
    <w:rsid w:val="00276E3E"/>
    <w:rsid w:val="00276ED7"/>
    <w:rsid w:val="00276F00"/>
    <w:rsid w:val="002770C4"/>
    <w:rsid w:val="002772E4"/>
    <w:rsid w:val="0027756B"/>
    <w:rsid w:val="002777B6"/>
    <w:rsid w:val="00277B0D"/>
    <w:rsid w:val="00277C87"/>
    <w:rsid w:val="00280500"/>
    <w:rsid w:val="0028051E"/>
    <w:rsid w:val="002805AA"/>
    <w:rsid w:val="002807C7"/>
    <w:rsid w:val="00280C9D"/>
    <w:rsid w:val="002810A1"/>
    <w:rsid w:val="002813A3"/>
    <w:rsid w:val="00281A66"/>
    <w:rsid w:val="00281DA1"/>
    <w:rsid w:val="002822A3"/>
    <w:rsid w:val="00282434"/>
    <w:rsid w:val="00282724"/>
    <w:rsid w:val="00282AFE"/>
    <w:rsid w:val="00283027"/>
    <w:rsid w:val="0028310A"/>
    <w:rsid w:val="002833E4"/>
    <w:rsid w:val="00283CC0"/>
    <w:rsid w:val="00283EB6"/>
    <w:rsid w:val="002840FA"/>
    <w:rsid w:val="0028429E"/>
    <w:rsid w:val="002844D3"/>
    <w:rsid w:val="00284C8D"/>
    <w:rsid w:val="00284ECC"/>
    <w:rsid w:val="00284EF3"/>
    <w:rsid w:val="002852AA"/>
    <w:rsid w:val="002852CC"/>
    <w:rsid w:val="002853C4"/>
    <w:rsid w:val="00285473"/>
    <w:rsid w:val="0028570E"/>
    <w:rsid w:val="00285757"/>
    <w:rsid w:val="00285DD5"/>
    <w:rsid w:val="00286188"/>
    <w:rsid w:val="00286E71"/>
    <w:rsid w:val="00286EC2"/>
    <w:rsid w:val="0028706E"/>
    <w:rsid w:val="00287535"/>
    <w:rsid w:val="002875C0"/>
    <w:rsid w:val="0028787F"/>
    <w:rsid w:val="00287E6E"/>
    <w:rsid w:val="00290210"/>
    <w:rsid w:val="00290213"/>
    <w:rsid w:val="00290E6A"/>
    <w:rsid w:val="00291340"/>
    <w:rsid w:val="00291A6C"/>
    <w:rsid w:val="00291BFF"/>
    <w:rsid w:val="0029211B"/>
    <w:rsid w:val="002921AC"/>
    <w:rsid w:val="00292286"/>
    <w:rsid w:val="00292323"/>
    <w:rsid w:val="002926FE"/>
    <w:rsid w:val="00292A4C"/>
    <w:rsid w:val="00292E59"/>
    <w:rsid w:val="002935B0"/>
    <w:rsid w:val="00293A7E"/>
    <w:rsid w:val="00293CFB"/>
    <w:rsid w:val="00294003"/>
    <w:rsid w:val="0029472C"/>
    <w:rsid w:val="00294D67"/>
    <w:rsid w:val="002950A5"/>
    <w:rsid w:val="002950BD"/>
    <w:rsid w:val="00295108"/>
    <w:rsid w:val="00295186"/>
    <w:rsid w:val="0029530F"/>
    <w:rsid w:val="0029542D"/>
    <w:rsid w:val="00295797"/>
    <w:rsid w:val="00295983"/>
    <w:rsid w:val="00295AC0"/>
    <w:rsid w:val="00295D75"/>
    <w:rsid w:val="00295F29"/>
    <w:rsid w:val="002964CC"/>
    <w:rsid w:val="002966C9"/>
    <w:rsid w:val="00297138"/>
    <w:rsid w:val="002977F0"/>
    <w:rsid w:val="002979EB"/>
    <w:rsid w:val="002A03C4"/>
    <w:rsid w:val="002A0FC5"/>
    <w:rsid w:val="002A1142"/>
    <w:rsid w:val="002A1237"/>
    <w:rsid w:val="002A1250"/>
    <w:rsid w:val="002A1390"/>
    <w:rsid w:val="002A17D7"/>
    <w:rsid w:val="002A2011"/>
    <w:rsid w:val="002A2476"/>
    <w:rsid w:val="002A2528"/>
    <w:rsid w:val="002A2B35"/>
    <w:rsid w:val="002A2CB3"/>
    <w:rsid w:val="002A2FF9"/>
    <w:rsid w:val="002A3222"/>
    <w:rsid w:val="002A3DCC"/>
    <w:rsid w:val="002A3F56"/>
    <w:rsid w:val="002A469B"/>
    <w:rsid w:val="002A4863"/>
    <w:rsid w:val="002A48F7"/>
    <w:rsid w:val="002A4A0F"/>
    <w:rsid w:val="002A4A95"/>
    <w:rsid w:val="002A4C7E"/>
    <w:rsid w:val="002A4FB0"/>
    <w:rsid w:val="002A504C"/>
    <w:rsid w:val="002A50CC"/>
    <w:rsid w:val="002A513A"/>
    <w:rsid w:val="002A5908"/>
    <w:rsid w:val="002A59AC"/>
    <w:rsid w:val="002A5A3E"/>
    <w:rsid w:val="002A5BAB"/>
    <w:rsid w:val="002A5D6B"/>
    <w:rsid w:val="002A5ED2"/>
    <w:rsid w:val="002A649F"/>
    <w:rsid w:val="002A6DD6"/>
    <w:rsid w:val="002A71FF"/>
    <w:rsid w:val="002A786B"/>
    <w:rsid w:val="002A7A82"/>
    <w:rsid w:val="002B00E7"/>
    <w:rsid w:val="002B020F"/>
    <w:rsid w:val="002B021F"/>
    <w:rsid w:val="002B03D0"/>
    <w:rsid w:val="002B04D3"/>
    <w:rsid w:val="002B098E"/>
    <w:rsid w:val="002B10D9"/>
    <w:rsid w:val="002B124A"/>
    <w:rsid w:val="002B1407"/>
    <w:rsid w:val="002B1570"/>
    <w:rsid w:val="002B1A13"/>
    <w:rsid w:val="002B1C12"/>
    <w:rsid w:val="002B1E41"/>
    <w:rsid w:val="002B2687"/>
    <w:rsid w:val="002B26E4"/>
    <w:rsid w:val="002B2A4E"/>
    <w:rsid w:val="002B2E4B"/>
    <w:rsid w:val="002B2FE9"/>
    <w:rsid w:val="002B325A"/>
    <w:rsid w:val="002B41E7"/>
    <w:rsid w:val="002B4F52"/>
    <w:rsid w:val="002B50D7"/>
    <w:rsid w:val="002B513E"/>
    <w:rsid w:val="002B53B3"/>
    <w:rsid w:val="002B56F5"/>
    <w:rsid w:val="002B589C"/>
    <w:rsid w:val="002B590C"/>
    <w:rsid w:val="002B5BB6"/>
    <w:rsid w:val="002B5E55"/>
    <w:rsid w:val="002B6307"/>
    <w:rsid w:val="002B6AEA"/>
    <w:rsid w:val="002B6E62"/>
    <w:rsid w:val="002B7925"/>
    <w:rsid w:val="002B7A48"/>
    <w:rsid w:val="002B7DD5"/>
    <w:rsid w:val="002C01FF"/>
    <w:rsid w:val="002C0213"/>
    <w:rsid w:val="002C02F3"/>
    <w:rsid w:val="002C07AA"/>
    <w:rsid w:val="002C0E24"/>
    <w:rsid w:val="002C0F80"/>
    <w:rsid w:val="002C1079"/>
    <w:rsid w:val="002C13E5"/>
    <w:rsid w:val="002C144C"/>
    <w:rsid w:val="002C1A1E"/>
    <w:rsid w:val="002C2011"/>
    <w:rsid w:val="002C238A"/>
    <w:rsid w:val="002C2594"/>
    <w:rsid w:val="002C29FE"/>
    <w:rsid w:val="002C2B6C"/>
    <w:rsid w:val="002C2E94"/>
    <w:rsid w:val="002C2EC7"/>
    <w:rsid w:val="002C41DB"/>
    <w:rsid w:val="002C4986"/>
    <w:rsid w:val="002C4A6D"/>
    <w:rsid w:val="002C4ABF"/>
    <w:rsid w:val="002C4D31"/>
    <w:rsid w:val="002C4D9C"/>
    <w:rsid w:val="002C4E70"/>
    <w:rsid w:val="002C50B7"/>
    <w:rsid w:val="002C5398"/>
    <w:rsid w:val="002C55CD"/>
    <w:rsid w:val="002C56FB"/>
    <w:rsid w:val="002C58FC"/>
    <w:rsid w:val="002C5971"/>
    <w:rsid w:val="002C6105"/>
    <w:rsid w:val="002C6154"/>
    <w:rsid w:val="002C61AC"/>
    <w:rsid w:val="002C6905"/>
    <w:rsid w:val="002C6BB1"/>
    <w:rsid w:val="002C6FCD"/>
    <w:rsid w:val="002C7439"/>
    <w:rsid w:val="002C769F"/>
    <w:rsid w:val="002C7961"/>
    <w:rsid w:val="002C79DE"/>
    <w:rsid w:val="002C7AD5"/>
    <w:rsid w:val="002C7AE6"/>
    <w:rsid w:val="002C7C61"/>
    <w:rsid w:val="002C7DD0"/>
    <w:rsid w:val="002D00C2"/>
    <w:rsid w:val="002D0298"/>
    <w:rsid w:val="002D02E8"/>
    <w:rsid w:val="002D0301"/>
    <w:rsid w:val="002D032C"/>
    <w:rsid w:val="002D04B5"/>
    <w:rsid w:val="002D05DD"/>
    <w:rsid w:val="002D08C0"/>
    <w:rsid w:val="002D123E"/>
    <w:rsid w:val="002D12B2"/>
    <w:rsid w:val="002D12E4"/>
    <w:rsid w:val="002D131A"/>
    <w:rsid w:val="002D1420"/>
    <w:rsid w:val="002D1487"/>
    <w:rsid w:val="002D148E"/>
    <w:rsid w:val="002D197E"/>
    <w:rsid w:val="002D1C24"/>
    <w:rsid w:val="002D254E"/>
    <w:rsid w:val="002D2812"/>
    <w:rsid w:val="002D2859"/>
    <w:rsid w:val="002D2A66"/>
    <w:rsid w:val="002D34E5"/>
    <w:rsid w:val="002D3689"/>
    <w:rsid w:val="002D36F7"/>
    <w:rsid w:val="002D3965"/>
    <w:rsid w:val="002D3AD6"/>
    <w:rsid w:val="002D3EC9"/>
    <w:rsid w:val="002D3F78"/>
    <w:rsid w:val="002D3FD0"/>
    <w:rsid w:val="002D41ED"/>
    <w:rsid w:val="002D5115"/>
    <w:rsid w:val="002D622F"/>
    <w:rsid w:val="002D62D1"/>
    <w:rsid w:val="002D65FF"/>
    <w:rsid w:val="002D6639"/>
    <w:rsid w:val="002D68C1"/>
    <w:rsid w:val="002D6E74"/>
    <w:rsid w:val="002D6FCD"/>
    <w:rsid w:val="002D700A"/>
    <w:rsid w:val="002D767C"/>
    <w:rsid w:val="002D76E1"/>
    <w:rsid w:val="002D7818"/>
    <w:rsid w:val="002D7C97"/>
    <w:rsid w:val="002D7EA0"/>
    <w:rsid w:val="002E0062"/>
    <w:rsid w:val="002E0634"/>
    <w:rsid w:val="002E07B3"/>
    <w:rsid w:val="002E0AB4"/>
    <w:rsid w:val="002E0C19"/>
    <w:rsid w:val="002E0C8E"/>
    <w:rsid w:val="002E109F"/>
    <w:rsid w:val="002E1225"/>
    <w:rsid w:val="002E237E"/>
    <w:rsid w:val="002E2429"/>
    <w:rsid w:val="002E2512"/>
    <w:rsid w:val="002E25FB"/>
    <w:rsid w:val="002E26B6"/>
    <w:rsid w:val="002E2920"/>
    <w:rsid w:val="002E2DC9"/>
    <w:rsid w:val="002E2F2B"/>
    <w:rsid w:val="002E30A0"/>
    <w:rsid w:val="002E3297"/>
    <w:rsid w:val="002E3B6E"/>
    <w:rsid w:val="002E3BB1"/>
    <w:rsid w:val="002E3BF6"/>
    <w:rsid w:val="002E3EB2"/>
    <w:rsid w:val="002E400B"/>
    <w:rsid w:val="002E4066"/>
    <w:rsid w:val="002E457C"/>
    <w:rsid w:val="002E538B"/>
    <w:rsid w:val="002E53D4"/>
    <w:rsid w:val="002E55A5"/>
    <w:rsid w:val="002E56D7"/>
    <w:rsid w:val="002E5705"/>
    <w:rsid w:val="002E5904"/>
    <w:rsid w:val="002E5A71"/>
    <w:rsid w:val="002E5A8E"/>
    <w:rsid w:val="002E5D03"/>
    <w:rsid w:val="002E5D0D"/>
    <w:rsid w:val="002E61A1"/>
    <w:rsid w:val="002E62C1"/>
    <w:rsid w:val="002E68E1"/>
    <w:rsid w:val="002E70F9"/>
    <w:rsid w:val="002E7261"/>
    <w:rsid w:val="002E770D"/>
    <w:rsid w:val="002E7F07"/>
    <w:rsid w:val="002E7F6B"/>
    <w:rsid w:val="002F0700"/>
    <w:rsid w:val="002F1543"/>
    <w:rsid w:val="002F1839"/>
    <w:rsid w:val="002F187C"/>
    <w:rsid w:val="002F1C23"/>
    <w:rsid w:val="002F1E53"/>
    <w:rsid w:val="002F2E18"/>
    <w:rsid w:val="002F3B08"/>
    <w:rsid w:val="002F3E77"/>
    <w:rsid w:val="002F4626"/>
    <w:rsid w:val="002F465D"/>
    <w:rsid w:val="002F48E0"/>
    <w:rsid w:val="002F4B98"/>
    <w:rsid w:val="002F4BB5"/>
    <w:rsid w:val="002F4C15"/>
    <w:rsid w:val="002F4D8B"/>
    <w:rsid w:val="002F518C"/>
    <w:rsid w:val="002F51EB"/>
    <w:rsid w:val="002F533C"/>
    <w:rsid w:val="002F5598"/>
    <w:rsid w:val="002F56DF"/>
    <w:rsid w:val="002F5894"/>
    <w:rsid w:val="002F5D1B"/>
    <w:rsid w:val="002F5D92"/>
    <w:rsid w:val="002F5F68"/>
    <w:rsid w:val="002F5F93"/>
    <w:rsid w:val="002F6697"/>
    <w:rsid w:val="002F6928"/>
    <w:rsid w:val="002F6CC9"/>
    <w:rsid w:val="002F6D94"/>
    <w:rsid w:val="002F6DF7"/>
    <w:rsid w:val="002F6EF6"/>
    <w:rsid w:val="002F6F72"/>
    <w:rsid w:val="002F75F4"/>
    <w:rsid w:val="002F7AF5"/>
    <w:rsid w:val="00300024"/>
    <w:rsid w:val="00300134"/>
    <w:rsid w:val="00300DDA"/>
    <w:rsid w:val="00301494"/>
    <w:rsid w:val="00301591"/>
    <w:rsid w:val="0030223E"/>
    <w:rsid w:val="00302828"/>
    <w:rsid w:val="00302A12"/>
    <w:rsid w:val="00302E14"/>
    <w:rsid w:val="00303196"/>
    <w:rsid w:val="003033D2"/>
    <w:rsid w:val="0030357D"/>
    <w:rsid w:val="003035B5"/>
    <w:rsid w:val="0030365B"/>
    <w:rsid w:val="003037E0"/>
    <w:rsid w:val="00303AFD"/>
    <w:rsid w:val="00303CEE"/>
    <w:rsid w:val="00303E02"/>
    <w:rsid w:val="003042C9"/>
    <w:rsid w:val="00304364"/>
    <w:rsid w:val="0030440E"/>
    <w:rsid w:val="00304991"/>
    <w:rsid w:val="00304B0E"/>
    <w:rsid w:val="00304C16"/>
    <w:rsid w:val="00304E72"/>
    <w:rsid w:val="00305832"/>
    <w:rsid w:val="003058F6"/>
    <w:rsid w:val="00306519"/>
    <w:rsid w:val="003066C8"/>
    <w:rsid w:val="00306EE1"/>
    <w:rsid w:val="00307294"/>
    <w:rsid w:val="003073B6"/>
    <w:rsid w:val="003076C5"/>
    <w:rsid w:val="003076DA"/>
    <w:rsid w:val="0030781E"/>
    <w:rsid w:val="00307BE8"/>
    <w:rsid w:val="00307BFB"/>
    <w:rsid w:val="00310481"/>
    <w:rsid w:val="003106A7"/>
    <w:rsid w:val="00310932"/>
    <w:rsid w:val="00310B6B"/>
    <w:rsid w:val="00310D7E"/>
    <w:rsid w:val="00310F77"/>
    <w:rsid w:val="0031133F"/>
    <w:rsid w:val="00311455"/>
    <w:rsid w:val="003114AA"/>
    <w:rsid w:val="00311541"/>
    <w:rsid w:val="00311D00"/>
    <w:rsid w:val="003127DC"/>
    <w:rsid w:val="00312AF7"/>
    <w:rsid w:val="00312E8D"/>
    <w:rsid w:val="00312F21"/>
    <w:rsid w:val="00313331"/>
    <w:rsid w:val="003133B2"/>
    <w:rsid w:val="003134BB"/>
    <w:rsid w:val="0031385E"/>
    <w:rsid w:val="00313FEC"/>
    <w:rsid w:val="00314181"/>
    <w:rsid w:val="0031456C"/>
    <w:rsid w:val="00314922"/>
    <w:rsid w:val="003154B3"/>
    <w:rsid w:val="00315C27"/>
    <w:rsid w:val="00316445"/>
    <w:rsid w:val="00316741"/>
    <w:rsid w:val="00316BD9"/>
    <w:rsid w:val="003171C8"/>
    <w:rsid w:val="00317441"/>
    <w:rsid w:val="00317507"/>
    <w:rsid w:val="00317A60"/>
    <w:rsid w:val="00317CB1"/>
    <w:rsid w:val="00317CDE"/>
    <w:rsid w:val="00317E2C"/>
    <w:rsid w:val="00317FD8"/>
    <w:rsid w:val="00320015"/>
    <w:rsid w:val="00320057"/>
    <w:rsid w:val="003207F8"/>
    <w:rsid w:val="00320B12"/>
    <w:rsid w:val="00320C07"/>
    <w:rsid w:val="003212C3"/>
    <w:rsid w:val="003227AB"/>
    <w:rsid w:val="00322EED"/>
    <w:rsid w:val="0032306E"/>
    <w:rsid w:val="00323355"/>
    <w:rsid w:val="00323699"/>
    <w:rsid w:val="0032373A"/>
    <w:rsid w:val="003237E3"/>
    <w:rsid w:val="0032413C"/>
    <w:rsid w:val="0032418A"/>
    <w:rsid w:val="00324494"/>
    <w:rsid w:val="00324ABA"/>
    <w:rsid w:val="00324EDA"/>
    <w:rsid w:val="00325544"/>
    <w:rsid w:val="00325577"/>
    <w:rsid w:val="003258D5"/>
    <w:rsid w:val="0032607E"/>
    <w:rsid w:val="00326378"/>
    <w:rsid w:val="0032666E"/>
    <w:rsid w:val="00326B02"/>
    <w:rsid w:val="00327E7D"/>
    <w:rsid w:val="00330A48"/>
    <w:rsid w:val="00330DE5"/>
    <w:rsid w:val="00331608"/>
    <w:rsid w:val="00331CB5"/>
    <w:rsid w:val="0033267D"/>
    <w:rsid w:val="003326B5"/>
    <w:rsid w:val="00332A94"/>
    <w:rsid w:val="00332B29"/>
    <w:rsid w:val="00333135"/>
    <w:rsid w:val="00333229"/>
    <w:rsid w:val="0033364F"/>
    <w:rsid w:val="00333785"/>
    <w:rsid w:val="00333934"/>
    <w:rsid w:val="00333C33"/>
    <w:rsid w:val="00333D6A"/>
    <w:rsid w:val="00334205"/>
    <w:rsid w:val="00334571"/>
    <w:rsid w:val="00334EDE"/>
    <w:rsid w:val="00334F6F"/>
    <w:rsid w:val="003351FF"/>
    <w:rsid w:val="0033525A"/>
    <w:rsid w:val="0033529A"/>
    <w:rsid w:val="00335346"/>
    <w:rsid w:val="003353EE"/>
    <w:rsid w:val="00335AB4"/>
    <w:rsid w:val="00335C34"/>
    <w:rsid w:val="00335FD4"/>
    <w:rsid w:val="003361DE"/>
    <w:rsid w:val="003361FE"/>
    <w:rsid w:val="00336226"/>
    <w:rsid w:val="003367D7"/>
    <w:rsid w:val="00336B05"/>
    <w:rsid w:val="00336C58"/>
    <w:rsid w:val="003372AF"/>
    <w:rsid w:val="00337402"/>
    <w:rsid w:val="0033773C"/>
    <w:rsid w:val="003379C5"/>
    <w:rsid w:val="00337A37"/>
    <w:rsid w:val="00337A8A"/>
    <w:rsid w:val="00337AA8"/>
    <w:rsid w:val="00340110"/>
    <w:rsid w:val="00340C6A"/>
    <w:rsid w:val="00340FB3"/>
    <w:rsid w:val="00341454"/>
    <w:rsid w:val="00341962"/>
    <w:rsid w:val="00341C18"/>
    <w:rsid w:val="003421C8"/>
    <w:rsid w:val="003422C4"/>
    <w:rsid w:val="00342836"/>
    <w:rsid w:val="00342C17"/>
    <w:rsid w:val="00342C61"/>
    <w:rsid w:val="00342E85"/>
    <w:rsid w:val="00343A58"/>
    <w:rsid w:val="00344430"/>
    <w:rsid w:val="00344C53"/>
    <w:rsid w:val="00344E7B"/>
    <w:rsid w:val="00345070"/>
    <w:rsid w:val="0034525E"/>
    <w:rsid w:val="0034537B"/>
    <w:rsid w:val="0034544C"/>
    <w:rsid w:val="003454A9"/>
    <w:rsid w:val="0034554A"/>
    <w:rsid w:val="00345D64"/>
    <w:rsid w:val="00346169"/>
    <w:rsid w:val="00346550"/>
    <w:rsid w:val="00346983"/>
    <w:rsid w:val="00346AA1"/>
    <w:rsid w:val="003474E8"/>
    <w:rsid w:val="00347507"/>
    <w:rsid w:val="00347BBA"/>
    <w:rsid w:val="00350AAF"/>
    <w:rsid w:val="00350BE1"/>
    <w:rsid w:val="00350D01"/>
    <w:rsid w:val="00351183"/>
    <w:rsid w:val="003515C1"/>
    <w:rsid w:val="0035167C"/>
    <w:rsid w:val="0035194C"/>
    <w:rsid w:val="003519C7"/>
    <w:rsid w:val="00351BAC"/>
    <w:rsid w:val="00351D3E"/>
    <w:rsid w:val="00351F33"/>
    <w:rsid w:val="003522A7"/>
    <w:rsid w:val="0035251A"/>
    <w:rsid w:val="00352ABB"/>
    <w:rsid w:val="00352DBD"/>
    <w:rsid w:val="00352FBF"/>
    <w:rsid w:val="00353469"/>
    <w:rsid w:val="0035390D"/>
    <w:rsid w:val="00353CD4"/>
    <w:rsid w:val="00353F09"/>
    <w:rsid w:val="00354441"/>
    <w:rsid w:val="00354ED3"/>
    <w:rsid w:val="003554B7"/>
    <w:rsid w:val="00355540"/>
    <w:rsid w:val="00355F84"/>
    <w:rsid w:val="00356183"/>
    <w:rsid w:val="00356A71"/>
    <w:rsid w:val="00357218"/>
    <w:rsid w:val="003574FA"/>
    <w:rsid w:val="00357B0B"/>
    <w:rsid w:val="00357B30"/>
    <w:rsid w:val="0036044D"/>
    <w:rsid w:val="00360645"/>
    <w:rsid w:val="0036089A"/>
    <w:rsid w:val="00360C99"/>
    <w:rsid w:val="00360D49"/>
    <w:rsid w:val="0036149B"/>
    <w:rsid w:val="003617A9"/>
    <w:rsid w:val="00361A68"/>
    <w:rsid w:val="00361AC2"/>
    <w:rsid w:val="00361AD9"/>
    <w:rsid w:val="00361BFC"/>
    <w:rsid w:val="0036213E"/>
    <w:rsid w:val="003621D0"/>
    <w:rsid w:val="003622AF"/>
    <w:rsid w:val="00362605"/>
    <w:rsid w:val="00362694"/>
    <w:rsid w:val="00363005"/>
    <w:rsid w:val="003632AC"/>
    <w:rsid w:val="003636A7"/>
    <w:rsid w:val="0036379A"/>
    <w:rsid w:val="003638AE"/>
    <w:rsid w:val="00363B79"/>
    <w:rsid w:val="00363BDE"/>
    <w:rsid w:val="00363CCD"/>
    <w:rsid w:val="00363E80"/>
    <w:rsid w:val="003645FD"/>
    <w:rsid w:val="003646BE"/>
    <w:rsid w:val="00364AC8"/>
    <w:rsid w:val="00364FDE"/>
    <w:rsid w:val="00365A3A"/>
    <w:rsid w:val="00365BC0"/>
    <w:rsid w:val="0036641A"/>
    <w:rsid w:val="00366A05"/>
    <w:rsid w:val="00366C35"/>
    <w:rsid w:val="00366FCB"/>
    <w:rsid w:val="00367001"/>
    <w:rsid w:val="00367945"/>
    <w:rsid w:val="00367B26"/>
    <w:rsid w:val="00367E1A"/>
    <w:rsid w:val="00370718"/>
    <w:rsid w:val="0037080F"/>
    <w:rsid w:val="003712FE"/>
    <w:rsid w:val="00371BC3"/>
    <w:rsid w:val="00371D81"/>
    <w:rsid w:val="003727D1"/>
    <w:rsid w:val="003731A4"/>
    <w:rsid w:val="0037336E"/>
    <w:rsid w:val="00373375"/>
    <w:rsid w:val="00373789"/>
    <w:rsid w:val="00373840"/>
    <w:rsid w:val="003738F8"/>
    <w:rsid w:val="00373CF4"/>
    <w:rsid w:val="00373DA9"/>
    <w:rsid w:val="00373E5F"/>
    <w:rsid w:val="00374133"/>
    <w:rsid w:val="00374582"/>
    <w:rsid w:val="003745AB"/>
    <w:rsid w:val="00374717"/>
    <w:rsid w:val="00374B11"/>
    <w:rsid w:val="00374E36"/>
    <w:rsid w:val="00375114"/>
    <w:rsid w:val="00375551"/>
    <w:rsid w:val="00375651"/>
    <w:rsid w:val="00375925"/>
    <w:rsid w:val="00375B16"/>
    <w:rsid w:val="00376362"/>
    <w:rsid w:val="00376806"/>
    <w:rsid w:val="00376A4A"/>
    <w:rsid w:val="00376E66"/>
    <w:rsid w:val="00377005"/>
    <w:rsid w:val="00377278"/>
    <w:rsid w:val="00377421"/>
    <w:rsid w:val="0037767F"/>
    <w:rsid w:val="00377782"/>
    <w:rsid w:val="00377AD2"/>
    <w:rsid w:val="00377FC7"/>
    <w:rsid w:val="003800DE"/>
    <w:rsid w:val="00380A2B"/>
    <w:rsid w:val="00380D1E"/>
    <w:rsid w:val="00380D96"/>
    <w:rsid w:val="00380F79"/>
    <w:rsid w:val="0038142B"/>
    <w:rsid w:val="0038173A"/>
    <w:rsid w:val="003817C5"/>
    <w:rsid w:val="00381848"/>
    <w:rsid w:val="0038193C"/>
    <w:rsid w:val="00381ADE"/>
    <w:rsid w:val="00381AF7"/>
    <w:rsid w:val="003822ED"/>
    <w:rsid w:val="0038235D"/>
    <w:rsid w:val="003824C8"/>
    <w:rsid w:val="003826AF"/>
    <w:rsid w:val="003827B9"/>
    <w:rsid w:val="00382B01"/>
    <w:rsid w:val="00382EB8"/>
    <w:rsid w:val="00382FE4"/>
    <w:rsid w:val="0038310A"/>
    <w:rsid w:val="0038364A"/>
    <w:rsid w:val="00383CF2"/>
    <w:rsid w:val="00383F31"/>
    <w:rsid w:val="0038402D"/>
    <w:rsid w:val="003841AC"/>
    <w:rsid w:val="00384539"/>
    <w:rsid w:val="00384B6A"/>
    <w:rsid w:val="00385445"/>
    <w:rsid w:val="0038576C"/>
    <w:rsid w:val="003857CD"/>
    <w:rsid w:val="003858EB"/>
    <w:rsid w:val="00385C28"/>
    <w:rsid w:val="0038609E"/>
    <w:rsid w:val="0038625F"/>
    <w:rsid w:val="0038639C"/>
    <w:rsid w:val="003867A0"/>
    <w:rsid w:val="00386EF1"/>
    <w:rsid w:val="00386F1E"/>
    <w:rsid w:val="00387025"/>
    <w:rsid w:val="00387DD3"/>
    <w:rsid w:val="00387F6F"/>
    <w:rsid w:val="003900C3"/>
    <w:rsid w:val="003906B4"/>
    <w:rsid w:val="00391050"/>
    <w:rsid w:val="0039137D"/>
    <w:rsid w:val="00391BA8"/>
    <w:rsid w:val="00391C80"/>
    <w:rsid w:val="003924D9"/>
    <w:rsid w:val="0039285B"/>
    <w:rsid w:val="00392E4B"/>
    <w:rsid w:val="003931E9"/>
    <w:rsid w:val="003934B5"/>
    <w:rsid w:val="00393520"/>
    <w:rsid w:val="00393FA9"/>
    <w:rsid w:val="00394155"/>
    <w:rsid w:val="003946D6"/>
    <w:rsid w:val="0039496E"/>
    <w:rsid w:val="00394C32"/>
    <w:rsid w:val="00394E98"/>
    <w:rsid w:val="003954E2"/>
    <w:rsid w:val="003959B9"/>
    <w:rsid w:val="00395AA9"/>
    <w:rsid w:val="00395E0F"/>
    <w:rsid w:val="00395EF6"/>
    <w:rsid w:val="00395F3D"/>
    <w:rsid w:val="00395FC7"/>
    <w:rsid w:val="003969B1"/>
    <w:rsid w:val="00396A62"/>
    <w:rsid w:val="00396C83"/>
    <w:rsid w:val="00396CE5"/>
    <w:rsid w:val="00396FE9"/>
    <w:rsid w:val="00397324"/>
    <w:rsid w:val="003975B1"/>
    <w:rsid w:val="00397605"/>
    <w:rsid w:val="00397B64"/>
    <w:rsid w:val="00397F52"/>
    <w:rsid w:val="003A039B"/>
    <w:rsid w:val="003A0487"/>
    <w:rsid w:val="003A0A18"/>
    <w:rsid w:val="003A0E87"/>
    <w:rsid w:val="003A1380"/>
    <w:rsid w:val="003A1469"/>
    <w:rsid w:val="003A1803"/>
    <w:rsid w:val="003A18F1"/>
    <w:rsid w:val="003A1C4D"/>
    <w:rsid w:val="003A1F15"/>
    <w:rsid w:val="003A2039"/>
    <w:rsid w:val="003A2A32"/>
    <w:rsid w:val="003A2A84"/>
    <w:rsid w:val="003A2BCD"/>
    <w:rsid w:val="003A2E89"/>
    <w:rsid w:val="003A30C1"/>
    <w:rsid w:val="003A313F"/>
    <w:rsid w:val="003A36C2"/>
    <w:rsid w:val="003A388D"/>
    <w:rsid w:val="003A38BA"/>
    <w:rsid w:val="003A39C6"/>
    <w:rsid w:val="003A3B19"/>
    <w:rsid w:val="003A412B"/>
    <w:rsid w:val="003A414E"/>
    <w:rsid w:val="003A451A"/>
    <w:rsid w:val="003A4554"/>
    <w:rsid w:val="003A4665"/>
    <w:rsid w:val="003A4948"/>
    <w:rsid w:val="003A4985"/>
    <w:rsid w:val="003A4A8A"/>
    <w:rsid w:val="003A4C53"/>
    <w:rsid w:val="003A4FFC"/>
    <w:rsid w:val="003A51CB"/>
    <w:rsid w:val="003A5604"/>
    <w:rsid w:val="003A5947"/>
    <w:rsid w:val="003A5C66"/>
    <w:rsid w:val="003A5F3A"/>
    <w:rsid w:val="003A5FFB"/>
    <w:rsid w:val="003A61BE"/>
    <w:rsid w:val="003A6207"/>
    <w:rsid w:val="003A68C9"/>
    <w:rsid w:val="003A6DF3"/>
    <w:rsid w:val="003A78CB"/>
    <w:rsid w:val="003B03FC"/>
    <w:rsid w:val="003B0617"/>
    <w:rsid w:val="003B0807"/>
    <w:rsid w:val="003B0840"/>
    <w:rsid w:val="003B0C86"/>
    <w:rsid w:val="003B0EFD"/>
    <w:rsid w:val="003B10CC"/>
    <w:rsid w:val="003B116A"/>
    <w:rsid w:val="003B1DAD"/>
    <w:rsid w:val="003B1F14"/>
    <w:rsid w:val="003B1FE0"/>
    <w:rsid w:val="003B215E"/>
    <w:rsid w:val="003B25D4"/>
    <w:rsid w:val="003B286C"/>
    <w:rsid w:val="003B2F72"/>
    <w:rsid w:val="003B34F7"/>
    <w:rsid w:val="003B3EBF"/>
    <w:rsid w:val="003B3F15"/>
    <w:rsid w:val="003B4007"/>
    <w:rsid w:val="003B449C"/>
    <w:rsid w:val="003B45E0"/>
    <w:rsid w:val="003B4728"/>
    <w:rsid w:val="003B4779"/>
    <w:rsid w:val="003B478F"/>
    <w:rsid w:val="003B4B93"/>
    <w:rsid w:val="003B5668"/>
    <w:rsid w:val="003B5ABC"/>
    <w:rsid w:val="003B5B52"/>
    <w:rsid w:val="003B5D1D"/>
    <w:rsid w:val="003B5EE1"/>
    <w:rsid w:val="003B5FC7"/>
    <w:rsid w:val="003B608C"/>
    <w:rsid w:val="003B65D2"/>
    <w:rsid w:val="003B68A3"/>
    <w:rsid w:val="003B729B"/>
    <w:rsid w:val="003B76B4"/>
    <w:rsid w:val="003B7E50"/>
    <w:rsid w:val="003C0185"/>
    <w:rsid w:val="003C023C"/>
    <w:rsid w:val="003C0733"/>
    <w:rsid w:val="003C0746"/>
    <w:rsid w:val="003C0B02"/>
    <w:rsid w:val="003C0BC2"/>
    <w:rsid w:val="003C0FF1"/>
    <w:rsid w:val="003C16DE"/>
    <w:rsid w:val="003C18D0"/>
    <w:rsid w:val="003C1A0A"/>
    <w:rsid w:val="003C1B00"/>
    <w:rsid w:val="003C1CF1"/>
    <w:rsid w:val="003C1D3C"/>
    <w:rsid w:val="003C1F75"/>
    <w:rsid w:val="003C20BD"/>
    <w:rsid w:val="003C26BC"/>
    <w:rsid w:val="003C278A"/>
    <w:rsid w:val="003C29FA"/>
    <w:rsid w:val="003C2A75"/>
    <w:rsid w:val="003C331C"/>
    <w:rsid w:val="003C3493"/>
    <w:rsid w:val="003C360B"/>
    <w:rsid w:val="003C3B61"/>
    <w:rsid w:val="003C3C90"/>
    <w:rsid w:val="003C41FE"/>
    <w:rsid w:val="003C42D0"/>
    <w:rsid w:val="003C4425"/>
    <w:rsid w:val="003C4C68"/>
    <w:rsid w:val="003C57A9"/>
    <w:rsid w:val="003C58DD"/>
    <w:rsid w:val="003C5903"/>
    <w:rsid w:val="003C5F97"/>
    <w:rsid w:val="003C61DD"/>
    <w:rsid w:val="003C64EE"/>
    <w:rsid w:val="003C6D4D"/>
    <w:rsid w:val="003C6F66"/>
    <w:rsid w:val="003C6FD0"/>
    <w:rsid w:val="003C725B"/>
    <w:rsid w:val="003C729E"/>
    <w:rsid w:val="003C74A4"/>
    <w:rsid w:val="003C7847"/>
    <w:rsid w:val="003C79AE"/>
    <w:rsid w:val="003C7CDE"/>
    <w:rsid w:val="003D0095"/>
    <w:rsid w:val="003D03E7"/>
    <w:rsid w:val="003D0407"/>
    <w:rsid w:val="003D071D"/>
    <w:rsid w:val="003D0C9B"/>
    <w:rsid w:val="003D0D75"/>
    <w:rsid w:val="003D173A"/>
    <w:rsid w:val="003D17D9"/>
    <w:rsid w:val="003D1BC0"/>
    <w:rsid w:val="003D1E1B"/>
    <w:rsid w:val="003D1EF7"/>
    <w:rsid w:val="003D211B"/>
    <w:rsid w:val="003D2619"/>
    <w:rsid w:val="003D2686"/>
    <w:rsid w:val="003D2E9C"/>
    <w:rsid w:val="003D33C5"/>
    <w:rsid w:val="003D3441"/>
    <w:rsid w:val="003D3839"/>
    <w:rsid w:val="003D44E7"/>
    <w:rsid w:val="003D45B3"/>
    <w:rsid w:val="003D4F8A"/>
    <w:rsid w:val="003D4FE2"/>
    <w:rsid w:val="003D5034"/>
    <w:rsid w:val="003D5988"/>
    <w:rsid w:val="003D6086"/>
    <w:rsid w:val="003D632F"/>
    <w:rsid w:val="003D6B1B"/>
    <w:rsid w:val="003D6B46"/>
    <w:rsid w:val="003D727A"/>
    <w:rsid w:val="003D7BF0"/>
    <w:rsid w:val="003E01F7"/>
    <w:rsid w:val="003E0236"/>
    <w:rsid w:val="003E031A"/>
    <w:rsid w:val="003E0455"/>
    <w:rsid w:val="003E0EEA"/>
    <w:rsid w:val="003E1169"/>
    <w:rsid w:val="003E1336"/>
    <w:rsid w:val="003E14E7"/>
    <w:rsid w:val="003E1AD9"/>
    <w:rsid w:val="003E1BC5"/>
    <w:rsid w:val="003E1C42"/>
    <w:rsid w:val="003E1CFD"/>
    <w:rsid w:val="003E21B2"/>
    <w:rsid w:val="003E2269"/>
    <w:rsid w:val="003E23FB"/>
    <w:rsid w:val="003E2870"/>
    <w:rsid w:val="003E2B19"/>
    <w:rsid w:val="003E2D27"/>
    <w:rsid w:val="003E2F92"/>
    <w:rsid w:val="003E3054"/>
    <w:rsid w:val="003E3461"/>
    <w:rsid w:val="003E35F1"/>
    <w:rsid w:val="003E398E"/>
    <w:rsid w:val="003E40DC"/>
    <w:rsid w:val="003E47A4"/>
    <w:rsid w:val="003E4986"/>
    <w:rsid w:val="003E4DC1"/>
    <w:rsid w:val="003E560E"/>
    <w:rsid w:val="003E5CBA"/>
    <w:rsid w:val="003E5CC8"/>
    <w:rsid w:val="003E5E97"/>
    <w:rsid w:val="003E63C1"/>
    <w:rsid w:val="003E66B4"/>
    <w:rsid w:val="003E6BFA"/>
    <w:rsid w:val="003E6E50"/>
    <w:rsid w:val="003E6EFA"/>
    <w:rsid w:val="003E7708"/>
    <w:rsid w:val="003E7B2C"/>
    <w:rsid w:val="003E7CEE"/>
    <w:rsid w:val="003E7E0A"/>
    <w:rsid w:val="003F00F4"/>
    <w:rsid w:val="003F041A"/>
    <w:rsid w:val="003F0690"/>
    <w:rsid w:val="003F0813"/>
    <w:rsid w:val="003F09DC"/>
    <w:rsid w:val="003F0ABA"/>
    <w:rsid w:val="003F118F"/>
    <w:rsid w:val="003F1796"/>
    <w:rsid w:val="003F1E8A"/>
    <w:rsid w:val="003F1EA8"/>
    <w:rsid w:val="003F24B9"/>
    <w:rsid w:val="003F252E"/>
    <w:rsid w:val="003F26AD"/>
    <w:rsid w:val="003F26B5"/>
    <w:rsid w:val="003F2D98"/>
    <w:rsid w:val="003F2FA0"/>
    <w:rsid w:val="003F31FF"/>
    <w:rsid w:val="003F3AC3"/>
    <w:rsid w:val="003F3CDC"/>
    <w:rsid w:val="003F3F57"/>
    <w:rsid w:val="003F45E1"/>
    <w:rsid w:val="003F47E9"/>
    <w:rsid w:val="003F488F"/>
    <w:rsid w:val="003F4CB8"/>
    <w:rsid w:val="003F4D25"/>
    <w:rsid w:val="003F4EBA"/>
    <w:rsid w:val="003F4FA1"/>
    <w:rsid w:val="003F52EA"/>
    <w:rsid w:val="003F5860"/>
    <w:rsid w:val="003F5B9E"/>
    <w:rsid w:val="003F5DF7"/>
    <w:rsid w:val="003F5F50"/>
    <w:rsid w:val="003F5FD0"/>
    <w:rsid w:val="003F6137"/>
    <w:rsid w:val="003F622D"/>
    <w:rsid w:val="003F65FE"/>
    <w:rsid w:val="003F6641"/>
    <w:rsid w:val="003F69EE"/>
    <w:rsid w:val="003F6C1E"/>
    <w:rsid w:val="003F7880"/>
    <w:rsid w:val="003F7975"/>
    <w:rsid w:val="003F7AF4"/>
    <w:rsid w:val="0040006D"/>
    <w:rsid w:val="0040013A"/>
    <w:rsid w:val="00400405"/>
    <w:rsid w:val="0040040B"/>
    <w:rsid w:val="00400602"/>
    <w:rsid w:val="004006FD"/>
    <w:rsid w:val="00400758"/>
    <w:rsid w:val="00400862"/>
    <w:rsid w:val="00400B16"/>
    <w:rsid w:val="00400B88"/>
    <w:rsid w:val="00400B95"/>
    <w:rsid w:val="00400F5B"/>
    <w:rsid w:val="00400F60"/>
    <w:rsid w:val="00400FF5"/>
    <w:rsid w:val="0040182D"/>
    <w:rsid w:val="00401E8E"/>
    <w:rsid w:val="00401F84"/>
    <w:rsid w:val="00402533"/>
    <w:rsid w:val="00402663"/>
    <w:rsid w:val="00402C00"/>
    <w:rsid w:val="00402F57"/>
    <w:rsid w:val="00403EFF"/>
    <w:rsid w:val="00403F78"/>
    <w:rsid w:val="00404299"/>
    <w:rsid w:val="004047BF"/>
    <w:rsid w:val="00404BFB"/>
    <w:rsid w:val="00404E42"/>
    <w:rsid w:val="00405666"/>
    <w:rsid w:val="004056FB"/>
    <w:rsid w:val="004057A0"/>
    <w:rsid w:val="00405ECA"/>
    <w:rsid w:val="00405F3B"/>
    <w:rsid w:val="0040617C"/>
    <w:rsid w:val="004061A7"/>
    <w:rsid w:val="00406245"/>
    <w:rsid w:val="0040640D"/>
    <w:rsid w:val="00407077"/>
    <w:rsid w:val="0040716D"/>
    <w:rsid w:val="00407245"/>
    <w:rsid w:val="00407277"/>
    <w:rsid w:val="00407457"/>
    <w:rsid w:val="00407677"/>
    <w:rsid w:val="0040774D"/>
    <w:rsid w:val="00410D2B"/>
    <w:rsid w:val="00410D9E"/>
    <w:rsid w:val="00411197"/>
    <w:rsid w:val="0041171E"/>
    <w:rsid w:val="0041179D"/>
    <w:rsid w:val="004117BA"/>
    <w:rsid w:val="0041183A"/>
    <w:rsid w:val="00411C66"/>
    <w:rsid w:val="00411EDB"/>
    <w:rsid w:val="0041224B"/>
    <w:rsid w:val="004127B6"/>
    <w:rsid w:val="004128D8"/>
    <w:rsid w:val="00412A9E"/>
    <w:rsid w:val="00412C96"/>
    <w:rsid w:val="00412D76"/>
    <w:rsid w:val="0041311D"/>
    <w:rsid w:val="004133AA"/>
    <w:rsid w:val="0041392A"/>
    <w:rsid w:val="00413DD1"/>
    <w:rsid w:val="004140E2"/>
    <w:rsid w:val="004144EB"/>
    <w:rsid w:val="0041452B"/>
    <w:rsid w:val="00414B4E"/>
    <w:rsid w:val="00414F9E"/>
    <w:rsid w:val="004155AF"/>
    <w:rsid w:val="00415661"/>
    <w:rsid w:val="004156C1"/>
    <w:rsid w:val="00415770"/>
    <w:rsid w:val="00415CC8"/>
    <w:rsid w:val="00415CF9"/>
    <w:rsid w:val="00415E5C"/>
    <w:rsid w:val="00415E86"/>
    <w:rsid w:val="00416239"/>
    <w:rsid w:val="0041651C"/>
    <w:rsid w:val="00416EF3"/>
    <w:rsid w:val="00416FEC"/>
    <w:rsid w:val="00417113"/>
    <w:rsid w:val="004173FC"/>
    <w:rsid w:val="00417D26"/>
    <w:rsid w:val="00417F1E"/>
    <w:rsid w:val="0042038D"/>
    <w:rsid w:val="00420BA1"/>
    <w:rsid w:val="00420C5A"/>
    <w:rsid w:val="00421B4B"/>
    <w:rsid w:val="00422A33"/>
    <w:rsid w:val="00422C41"/>
    <w:rsid w:val="00422C8F"/>
    <w:rsid w:val="004233AF"/>
    <w:rsid w:val="0042344E"/>
    <w:rsid w:val="00423535"/>
    <w:rsid w:val="00423CB3"/>
    <w:rsid w:val="00423ED5"/>
    <w:rsid w:val="00424774"/>
    <w:rsid w:val="004248C0"/>
    <w:rsid w:val="004248C5"/>
    <w:rsid w:val="00425191"/>
    <w:rsid w:val="00425783"/>
    <w:rsid w:val="0042598B"/>
    <w:rsid w:val="00425E1E"/>
    <w:rsid w:val="00425F6D"/>
    <w:rsid w:val="0042654B"/>
    <w:rsid w:val="004268AD"/>
    <w:rsid w:val="00426AC0"/>
    <w:rsid w:val="00426DB0"/>
    <w:rsid w:val="00426E6F"/>
    <w:rsid w:val="0042732D"/>
    <w:rsid w:val="004273FF"/>
    <w:rsid w:val="004277DC"/>
    <w:rsid w:val="0042783E"/>
    <w:rsid w:val="0042794A"/>
    <w:rsid w:val="004279A9"/>
    <w:rsid w:val="00427BAF"/>
    <w:rsid w:val="00427DE7"/>
    <w:rsid w:val="00427E02"/>
    <w:rsid w:val="00427E5C"/>
    <w:rsid w:val="00427EB2"/>
    <w:rsid w:val="00430554"/>
    <w:rsid w:val="00430C7A"/>
    <w:rsid w:val="00430F64"/>
    <w:rsid w:val="0043170A"/>
    <w:rsid w:val="00432100"/>
    <w:rsid w:val="00432C38"/>
    <w:rsid w:val="00432CCB"/>
    <w:rsid w:val="00432D4A"/>
    <w:rsid w:val="00432D82"/>
    <w:rsid w:val="00432D8E"/>
    <w:rsid w:val="00432E73"/>
    <w:rsid w:val="00433240"/>
    <w:rsid w:val="004339D3"/>
    <w:rsid w:val="004339E4"/>
    <w:rsid w:val="00433A40"/>
    <w:rsid w:val="0043410C"/>
    <w:rsid w:val="00434228"/>
    <w:rsid w:val="00434CFA"/>
    <w:rsid w:val="00435056"/>
    <w:rsid w:val="004350E2"/>
    <w:rsid w:val="004351FB"/>
    <w:rsid w:val="00435816"/>
    <w:rsid w:val="00435C10"/>
    <w:rsid w:val="00436156"/>
    <w:rsid w:val="004367A6"/>
    <w:rsid w:val="00436A15"/>
    <w:rsid w:val="00436A78"/>
    <w:rsid w:val="004371F6"/>
    <w:rsid w:val="004372C9"/>
    <w:rsid w:val="004374A7"/>
    <w:rsid w:val="004375B7"/>
    <w:rsid w:val="004377D4"/>
    <w:rsid w:val="00437C43"/>
    <w:rsid w:val="004404ED"/>
    <w:rsid w:val="004405C5"/>
    <w:rsid w:val="00440BAA"/>
    <w:rsid w:val="00440BC4"/>
    <w:rsid w:val="004418AD"/>
    <w:rsid w:val="00441BC3"/>
    <w:rsid w:val="004420CF"/>
    <w:rsid w:val="00442CFD"/>
    <w:rsid w:val="00443873"/>
    <w:rsid w:val="00443F27"/>
    <w:rsid w:val="0044418C"/>
    <w:rsid w:val="00444862"/>
    <w:rsid w:val="00444E43"/>
    <w:rsid w:val="00445040"/>
    <w:rsid w:val="00445049"/>
    <w:rsid w:val="0044508F"/>
    <w:rsid w:val="004453BE"/>
    <w:rsid w:val="00445531"/>
    <w:rsid w:val="00445588"/>
    <w:rsid w:val="004458F9"/>
    <w:rsid w:val="00445EF6"/>
    <w:rsid w:val="004460E8"/>
    <w:rsid w:val="00446109"/>
    <w:rsid w:val="004461CC"/>
    <w:rsid w:val="0044627B"/>
    <w:rsid w:val="004468F2"/>
    <w:rsid w:val="00446BAB"/>
    <w:rsid w:val="00446E49"/>
    <w:rsid w:val="00447053"/>
    <w:rsid w:val="00447539"/>
    <w:rsid w:val="0044753C"/>
    <w:rsid w:val="00447555"/>
    <w:rsid w:val="00447648"/>
    <w:rsid w:val="00447943"/>
    <w:rsid w:val="00447B89"/>
    <w:rsid w:val="00447C57"/>
    <w:rsid w:val="00447EB0"/>
    <w:rsid w:val="004507B8"/>
    <w:rsid w:val="004507EB"/>
    <w:rsid w:val="0045088F"/>
    <w:rsid w:val="00451021"/>
    <w:rsid w:val="004514C6"/>
    <w:rsid w:val="00451544"/>
    <w:rsid w:val="00451BE1"/>
    <w:rsid w:val="00451EE4"/>
    <w:rsid w:val="004523D5"/>
    <w:rsid w:val="004529C3"/>
    <w:rsid w:val="00453B24"/>
    <w:rsid w:val="00453C2D"/>
    <w:rsid w:val="00453D0B"/>
    <w:rsid w:val="00454075"/>
    <w:rsid w:val="004541A5"/>
    <w:rsid w:val="0045465A"/>
    <w:rsid w:val="00454B0C"/>
    <w:rsid w:val="00454D57"/>
    <w:rsid w:val="00455075"/>
    <w:rsid w:val="00455297"/>
    <w:rsid w:val="00455968"/>
    <w:rsid w:val="00455C15"/>
    <w:rsid w:val="00455E22"/>
    <w:rsid w:val="00455EFB"/>
    <w:rsid w:val="004563D4"/>
    <w:rsid w:val="00456607"/>
    <w:rsid w:val="0045668C"/>
    <w:rsid w:val="0045693F"/>
    <w:rsid w:val="00456D9B"/>
    <w:rsid w:val="00456EBC"/>
    <w:rsid w:val="004577A8"/>
    <w:rsid w:val="0045781B"/>
    <w:rsid w:val="00460483"/>
    <w:rsid w:val="004604E7"/>
    <w:rsid w:val="00460858"/>
    <w:rsid w:val="00460B72"/>
    <w:rsid w:val="00460EF2"/>
    <w:rsid w:val="004613CC"/>
    <w:rsid w:val="00461871"/>
    <w:rsid w:val="00461B2C"/>
    <w:rsid w:val="0046221E"/>
    <w:rsid w:val="00462297"/>
    <w:rsid w:val="00462D67"/>
    <w:rsid w:val="00462EBA"/>
    <w:rsid w:val="00463464"/>
    <w:rsid w:val="004634FC"/>
    <w:rsid w:val="004635DD"/>
    <w:rsid w:val="00463BFA"/>
    <w:rsid w:val="00463CDA"/>
    <w:rsid w:val="00463EA2"/>
    <w:rsid w:val="00463EDD"/>
    <w:rsid w:val="00463F9F"/>
    <w:rsid w:val="004642D0"/>
    <w:rsid w:val="00464C03"/>
    <w:rsid w:val="00464D46"/>
    <w:rsid w:val="004655B3"/>
    <w:rsid w:val="00465AD7"/>
    <w:rsid w:val="00465B26"/>
    <w:rsid w:val="00465C4E"/>
    <w:rsid w:val="0046656F"/>
    <w:rsid w:val="004669BC"/>
    <w:rsid w:val="00466D3B"/>
    <w:rsid w:val="0046767F"/>
    <w:rsid w:val="00467739"/>
    <w:rsid w:val="004677A8"/>
    <w:rsid w:val="00467B1F"/>
    <w:rsid w:val="00467CEB"/>
    <w:rsid w:val="00467DBE"/>
    <w:rsid w:val="00467FA5"/>
    <w:rsid w:val="0047012E"/>
    <w:rsid w:val="004701BD"/>
    <w:rsid w:val="00470597"/>
    <w:rsid w:val="00470637"/>
    <w:rsid w:val="004710E3"/>
    <w:rsid w:val="00471362"/>
    <w:rsid w:val="00471436"/>
    <w:rsid w:val="00471953"/>
    <w:rsid w:val="00471B25"/>
    <w:rsid w:val="00471BCD"/>
    <w:rsid w:val="00471D2C"/>
    <w:rsid w:val="004726A7"/>
    <w:rsid w:val="004728BB"/>
    <w:rsid w:val="004728FB"/>
    <w:rsid w:val="00472919"/>
    <w:rsid w:val="00472B1D"/>
    <w:rsid w:val="00472C64"/>
    <w:rsid w:val="00472DF8"/>
    <w:rsid w:val="00473460"/>
    <w:rsid w:val="00474042"/>
    <w:rsid w:val="004741F6"/>
    <w:rsid w:val="00474795"/>
    <w:rsid w:val="004747E6"/>
    <w:rsid w:val="00474A47"/>
    <w:rsid w:val="00474A85"/>
    <w:rsid w:val="00474F8D"/>
    <w:rsid w:val="004758C7"/>
    <w:rsid w:val="00475957"/>
    <w:rsid w:val="00475994"/>
    <w:rsid w:val="00476097"/>
    <w:rsid w:val="0047688A"/>
    <w:rsid w:val="00476C5B"/>
    <w:rsid w:val="00476E9F"/>
    <w:rsid w:val="004772CE"/>
    <w:rsid w:val="00477BA3"/>
    <w:rsid w:val="00477F4C"/>
    <w:rsid w:val="004804AD"/>
    <w:rsid w:val="00480969"/>
    <w:rsid w:val="00480A4E"/>
    <w:rsid w:val="00480AAC"/>
    <w:rsid w:val="004810AC"/>
    <w:rsid w:val="00481887"/>
    <w:rsid w:val="00481ED8"/>
    <w:rsid w:val="004827F2"/>
    <w:rsid w:val="00482C9A"/>
    <w:rsid w:val="00482E3E"/>
    <w:rsid w:val="00482FAE"/>
    <w:rsid w:val="00483152"/>
    <w:rsid w:val="0048373E"/>
    <w:rsid w:val="0048389C"/>
    <w:rsid w:val="0048477F"/>
    <w:rsid w:val="00484BD0"/>
    <w:rsid w:val="00484D53"/>
    <w:rsid w:val="004850A0"/>
    <w:rsid w:val="004852A7"/>
    <w:rsid w:val="004857D2"/>
    <w:rsid w:val="00485AE8"/>
    <w:rsid w:val="00485D8B"/>
    <w:rsid w:val="00485F06"/>
    <w:rsid w:val="004861AF"/>
    <w:rsid w:val="00486343"/>
    <w:rsid w:val="00486D5D"/>
    <w:rsid w:val="004871F9"/>
    <w:rsid w:val="004874D0"/>
    <w:rsid w:val="004875FE"/>
    <w:rsid w:val="00487A6F"/>
    <w:rsid w:val="00487B39"/>
    <w:rsid w:val="00490260"/>
    <w:rsid w:val="004903AC"/>
    <w:rsid w:val="004905E8"/>
    <w:rsid w:val="00490910"/>
    <w:rsid w:val="00490AEA"/>
    <w:rsid w:val="00490B07"/>
    <w:rsid w:val="0049129E"/>
    <w:rsid w:val="00491443"/>
    <w:rsid w:val="00491B20"/>
    <w:rsid w:val="00491D80"/>
    <w:rsid w:val="00491FDC"/>
    <w:rsid w:val="004923AC"/>
    <w:rsid w:val="004923EB"/>
    <w:rsid w:val="004925B3"/>
    <w:rsid w:val="0049272A"/>
    <w:rsid w:val="00492B32"/>
    <w:rsid w:val="00492EAE"/>
    <w:rsid w:val="0049302B"/>
    <w:rsid w:val="00493048"/>
    <w:rsid w:val="0049305A"/>
    <w:rsid w:val="004932EB"/>
    <w:rsid w:val="004933FC"/>
    <w:rsid w:val="00493480"/>
    <w:rsid w:val="00493585"/>
    <w:rsid w:val="0049383F"/>
    <w:rsid w:val="004938C9"/>
    <w:rsid w:val="00494483"/>
    <w:rsid w:val="00494BD1"/>
    <w:rsid w:val="00494CF6"/>
    <w:rsid w:val="00494D51"/>
    <w:rsid w:val="00495889"/>
    <w:rsid w:val="00495F3B"/>
    <w:rsid w:val="00495F96"/>
    <w:rsid w:val="00496108"/>
    <w:rsid w:val="004962FB"/>
    <w:rsid w:val="00496324"/>
    <w:rsid w:val="0049638D"/>
    <w:rsid w:val="0049698D"/>
    <w:rsid w:val="0049710D"/>
    <w:rsid w:val="0049724D"/>
    <w:rsid w:val="004973F8"/>
    <w:rsid w:val="004975CC"/>
    <w:rsid w:val="0049781F"/>
    <w:rsid w:val="00497854"/>
    <w:rsid w:val="00497D7B"/>
    <w:rsid w:val="00497DAD"/>
    <w:rsid w:val="00497FD4"/>
    <w:rsid w:val="004A0622"/>
    <w:rsid w:val="004A0854"/>
    <w:rsid w:val="004A09F4"/>
    <w:rsid w:val="004A10CA"/>
    <w:rsid w:val="004A136A"/>
    <w:rsid w:val="004A1523"/>
    <w:rsid w:val="004A1581"/>
    <w:rsid w:val="004A165D"/>
    <w:rsid w:val="004A209B"/>
    <w:rsid w:val="004A23E1"/>
    <w:rsid w:val="004A27D1"/>
    <w:rsid w:val="004A2B6C"/>
    <w:rsid w:val="004A2C38"/>
    <w:rsid w:val="004A2CC6"/>
    <w:rsid w:val="004A2EEC"/>
    <w:rsid w:val="004A3078"/>
    <w:rsid w:val="004A3430"/>
    <w:rsid w:val="004A379C"/>
    <w:rsid w:val="004A3B82"/>
    <w:rsid w:val="004A3F1D"/>
    <w:rsid w:val="004A41CA"/>
    <w:rsid w:val="004A47C8"/>
    <w:rsid w:val="004A4860"/>
    <w:rsid w:val="004A48D8"/>
    <w:rsid w:val="004A496F"/>
    <w:rsid w:val="004A49A4"/>
    <w:rsid w:val="004A49EF"/>
    <w:rsid w:val="004A514B"/>
    <w:rsid w:val="004A5AE1"/>
    <w:rsid w:val="004A6B30"/>
    <w:rsid w:val="004A6DD3"/>
    <w:rsid w:val="004A70F6"/>
    <w:rsid w:val="004A7ACB"/>
    <w:rsid w:val="004A7E76"/>
    <w:rsid w:val="004B01CB"/>
    <w:rsid w:val="004B04CB"/>
    <w:rsid w:val="004B11FC"/>
    <w:rsid w:val="004B1630"/>
    <w:rsid w:val="004B18E6"/>
    <w:rsid w:val="004B205A"/>
    <w:rsid w:val="004B2C56"/>
    <w:rsid w:val="004B2DAB"/>
    <w:rsid w:val="004B343A"/>
    <w:rsid w:val="004B348B"/>
    <w:rsid w:val="004B3955"/>
    <w:rsid w:val="004B3F21"/>
    <w:rsid w:val="004B4402"/>
    <w:rsid w:val="004B48AF"/>
    <w:rsid w:val="004B49D8"/>
    <w:rsid w:val="004B4A71"/>
    <w:rsid w:val="004B4C9B"/>
    <w:rsid w:val="004B50FE"/>
    <w:rsid w:val="004B58E3"/>
    <w:rsid w:val="004B5931"/>
    <w:rsid w:val="004B5B6A"/>
    <w:rsid w:val="004B5DE9"/>
    <w:rsid w:val="004B6293"/>
    <w:rsid w:val="004B6384"/>
    <w:rsid w:val="004B6525"/>
    <w:rsid w:val="004B6712"/>
    <w:rsid w:val="004B6750"/>
    <w:rsid w:val="004B6991"/>
    <w:rsid w:val="004B6BBB"/>
    <w:rsid w:val="004B6FC3"/>
    <w:rsid w:val="004B7065"/>
    <w:rsid w:val="004B713F"/>
    <w:rsid w:val="004B7505"/>
    <w:rsid w:val="004B7D9A"/>
    <w:rsid w:val="004B7F91"/>
    <w:rsid w:val="004C00EF"/>
    <w:rsid w:val="004C043F"/>
    <w:rsid w:val="004C055B"/>
    <w:rsid w:val="004C0827"/>
    <w:rsid w:val="004C0849"/>
    <w:rsid w:val="004C0A9C"/>
    <w:rsid w:val="004C0F8B"/>
    <w:rsid w:val="004C1136"/>
    <w:rsid w:val="004C1335"/>
    <w:rsid w:val="004C17E5"/>
    <w:rsid w:val="004C17E7"/>
    <w:rsid w:val="004C1DA3"/>
    <w:rsid w:val="004C1F27"/>
    <w:rsid w:val="004C21AF"/>
    <w:rsid w:val="004C24DC"/>
    <w:rsid w:val="004C2F71"/>
    <w:rsid w:val="004C3120"/>
    <w:rsid w:val="004C321A"/>
    <w:rsid w:val="004C346A"/>
    <w:rsid w:val="004C380D"/>
    <w:rsid w:val="004C3831"/>
    <w:rsid w:val="004C3A86"/>
    <w:rsid w:val="004C3E17"/>
    <w:rsid w:val="004C4354"/>
    <w:rsid w:val="004C43DC"/>
    <w:rsid w:val="004C43F4"/>
    <w:rsid w:val="004C4742"/>
    <w:rsid w:val="004C4756"/>
    <w:rsid w:val="004C483E"/>
    <w:rsid w:val="004C4E6D"/>
    <w:rsid w:val="004C526A"/>
    <w:rsid w:val="004C527A"/>
    <w:rsid w:val="004C5518"/>
    <w:rsid w:val="004C5616"/>
    <w:rsid w:val="004C5D78"/>
    <w:rsid w:val="004C6A8F"/>
    <w:rsid w:val="004C6BFA"/>
    <w:rsid w:val="004C6E13"/>
    <w:rsid w:val="004C6E27"/>
    <w:rsid w:val="004C71DD"/>
    <w:rsid w:val="004C76BE"/>
    <w:rsid w:val="004C78A7"/>
    <w:rsid w:val="004C794A"/>
    <w:rsid w:val="004D01A3"/>
    <w:rsid w:val="004D0DCF"/>
    <w:rsid w:val="004D18C1"/>
    <w:rsid w:val="004D1A25"/>
    <w:rsid w:val="004D1AE9"/>
    <w:rsid w:val="004D1BB0"/>
    <w:rsid w:val="004D1DF0"/>
    <w:rsid w:val="004D202D"/>
    <w:rsid w:val="004D2514"/>
    <w:rsid w:val="004D2635"/>
    <w:rsid w:val="004D2959"/>
    <w:rsid w:val="004D2C03"/>
    <w:rsid w:val="004D2DA3"/>
    <w:rsid w:val="004D2FEF"/>
    <w:rsid w:val="004D361B"/>
    <w:rsid w:val="004D36F3"/>
    <w:rsid w:val="004D3775"/>
    <w:rsid w:val="004D389C"/>
    <w:rsid w:val="004D3DF9"/>
    <w:rsid w:val="004D3F9C"/>
    <w:rsid w:val="004D4B6C"/>
    <w:rsid w:val="004D4D91"/>
    <w:rsid w:val="004D5152"/>
    <w:rsid w:val="004D51FE"/>
    <w:rsid w:val="004D5356"/>
    <w:rsid w:val="004D537D"/>
    <w:rsid w:val="004D5395"/>
    <w:rsid w:val="004D5745"/>
    <w:rsid w:val="004D5854"/>
    <w:rsid w:val="004D5A52"/>
    <w:rsid w:val="004D5B01"/>
    <w:rsid w:val="004D5F5A"/>
    <w:rsid w:val="004D65A0"/>
    <w:rsid w:val="004D6A48"/>
    <w:rsid w:val="004D6ACF"/>
    <w:rsid w:val="004D6F95"/>
    <w:rsid w:val="004D7015"/>
    <w:rsid w:val="004E054F"/>
    <w:rsid w:val="004E058A"/>
    <w:rsid w:val="004E08BF"/>
    <w:rsid w:val="004E09D7"/>
    <w:rsid w:val="004E0AB5"/>
    <w:rsid w:val="004E0BFC"/>
    <w:rsid w:val="004E0E88"/>
    <w:rsid w:val="004E11F6"/>
    <w:rsid w:val="004E1794"/>
    <w:rsid w:val="004E1822"/>
    <w:rsid w:val="004E1B5E"/>
    <w:rsid w:val="004E265D"/>
    <w:rsid w:val="004E27F9"/>
    <w:rsid w:val="004E2886"/>
    <w:rsid w:val="004E2EA4"/>
    <w:rsid w:val="004E3158"/>
    <w:rsid w:val="004E33EC"/>
    <w:rsid w:val="004E352B"/>
    <w:rsid w:val="004E363A"/>
    <w:rsid w:val="004E36D3"/>
    <w:rsid w:val="004E3736"/>
    <w:rsid w:val="004E3A17"/>
    <w:rsid w:val="004E3AF4"/>
    <w:rsid w:val="004E42CC"/>
    <w:rsid w:val="004E456F"/>
    <w:rsid w:val="004E5221"/>
    <w:rsid w:val="004E5711"/>
    <w:rsid w:val="004E5E3F"/>
    <w:rsid w:val="004E5FCA"/>
    <w:rsid w:val="004E6101"/>
    <w:rsid w:val="004E6511"/>
    <w:rsid w:val="004E6A2C"/>
    <w:rsid w:val="004E6A87"/>
    <w:rsid w:val="004E6E76"/>
    <w:rsid w:val="004E7492"/>
    <w:rsid w:val="004E76D6"/>
    <w:rsid w:val="004E7A06"/>
    <w:rsid w:val="004E7B6D"/>
    <w:rsid w:val="004F01B3"/>
    <w:rsid w:val="004F0316"/>
    <w:rsid w:val="004F04CD"/>
    <w:rsid w:val="004F0FB4"/>
    <w:rsid w:val="004F1198"/>
    <w:rsid w:val="004F14F2"/>
    <w:rsid w:val="004F1548"/>
    <w:rsid w:val="004F17DF"/>
    <w:rsid w:val="004F1C14"/>
    <w:rsid w:val="004F21E1"/>
    <w:rsid w:val="004F2914"/>
    <w:rsid w:val="004F2AA6"/>
    <w:rsid w:val="004F3029"/>
    <w:rsid w:val="004F37A0"/>
    <w:rsid w:val="004F38B0"/>
    <w:rsid w:val="004F38C0"/>
    <w:rsid w:val="004F3FBC"/>
    <w:rsid w:val="004F4766"/>
    <w:rsid w:val="004F4899"/>
    <w:rsid w:val="004F4CFD"/>
    <w:rsid w:val="004F4F3D"/>
    <w:rsid w:val="004F5140"/>
    <w:rsid w:val="004F5A0C"/>
    <w:rsid w:val="004F5DE5"/>
    <w:rsid w:val="004F60FC"/>
    <w:rsid w:val="004F6919"/>
    <w:rsid w:val="004F708A"/>
    <w:rsid w:val="004F7523"/>
    <w:rsid w:val="004F7525"/>
    <w:rsid w:val="004F79DA"/>
    <w:rsid w:val="004F79FE"/>
    <w:rsid w:val="004F7A42"/>
    <w:rsid w:val="004F7A53"/>
    <w:rsid w:val="004F7C47"/>
    <w:rsid w:val="005001C0"/>
    <w:rsid w:val="005006E8"/>
    <w:rsid w:val="00500F14"/>
    <w:rsid w:val="00501111"/>
    <w:rsid w:val="005019C0"/>
    <w:rsid w:val="00501B1A"/>
    <w:rsid w:val="00501FC7"/>
    <w:rsid w:val="005020AF"/>
    <w:rsid w:val="005021EB"/>
    <w:rsid w:val="0050225A"/>
    <w:rsid w:val="005022C2"/>
    <w:rsid w:val="00502890"/>
    <w:rsid w:val="00502AF6"/>
    <w:rsid w:val="00502CC5"/>
    <w:rsid w:val="00502D42"/>
    <w:rsid w:val="00502D52"/>
    <w:rsid w:val="00502F31"/>
    <w:rsid w:val="00503166"/>
    <w:rsid w:val="005033F4"/>
    <w:rsid w:val="005036E4"/>
    <w:rsid w:val="00503770"/>
    <w:rsid w:val="00503946"/>
    <w:rsid w:val="005039AE"/>
    <w:rsid w:val="00503B1E"/>
    <w:rsid w:val="0050426D"/>
    <w:rsid w:val="005043AC"/>
    <w:rsid w:val="00504498"/>
    <w:rsid w:val="005047B1"/>
    <w:rsid w:val="00504AAE"/>
    <w:rsid w:val="0050531A"/>
    <w:rsid w:val="00505F7A"/>
    <w:rsid w:val="00506422"/>
    <w:rsid w:val="00506882"/>
    <w:rsid w:val="00506A0A"/>
    <w:rsid w:val="00506A89"/>
    <w:rsid w:val="00506EEA"/>
    <w:rsid w:val="0050753B"/>
    <w:rsid w:val="00507569"/>
    <w:rsid w:val="0050762E"/>
    <w:rsid w:val="00507888"/>
    <w:rsid w:val="005078AB"/>
    <w:rsid w:val="005078B1"/>
    <w:rsid w:val="00507BF1"/>
    <w:rsid w:val="00510742"/>
    <w:rsid w:val="00510902"/>
    <w:rsid w:val="00510D2F"/>
    <w:rsid w:val="00511166"/>
    <w:rsid w:val="00511941"/>
    <w:rsid w:val="005119F4"/>
    <w:rsid w:val="00511D68"/>
    <w:rsid w:val="005122F7"/>
    <w:rsid w:val="005125A6"/>
    <w:rsid w:val="005125EA"/>
    <w:rsid w:val="00512841"/>
    <w:rsid w:val="00512F2A"/>
    <w:rsid w:val="00513006"/>
    <w:rsid w:val="00513171"/>
    <w:rsid w:val="00513880"/>
    <w:rsid w:val="00513AB9"/>
    <w:rsid w:val="00513B6A"/>
    <w:rsid w:val="00513CF1"/>
    <w:rsid w:val="00514257"/>
    <w:rsid w:val="00514521"/>
    <w:rsid w:val="005147A5"/>
    <w:rsid w:val="005150FE"/>
    <w:rsid w:val="005153D6"/>
    <w:rsid w:val="00515B0F"/>
    <w:rsid w:val="00516149"/>
    <w:rsid w:val="005167AA"/>
    <w:rsid w:val="00516A15"/>
    <w:rsid w:val="00516F47"/>
    <w:rsid w:val="00517409"/>
    <w:rsid w:val="00517413"/>
    <w:rsid w:val="0051791A"/>
    <w:rsid w:val="005179FF"/>
    <w:rsid w:val="00517AAA"/>
    <w:rsid w:val="00517D1F"/>
    <w:rsid w:val="005203F3"/>
    <w:rsid w:val="00520BF3"/>
    <w:rsid w:val="005212F9"/>
    <w:rsid w:val="00521417"/>
    <w:rsid w:val="00521A14"/>
    <w:rsid w:val="00521A31"/>
    <w:rsid w:val="005224F1"/>
    <w:rsid w:val="0052273F"/>
    <w:rsid w:val="005228C0"/>
    <w:rsid w:val="005228D6"/>
    <w:rsid w:val="00522CC0"/>
    <w:rsid w:val="00523360"/>
    <w:rsid w:val="00523A13"/>
    <w:rsid w:val="00523A21"/>
    <w:rsid w:val="00523E71"/>
    <w:rsid w:val="005240B2"/>
    <w:rsid w:val="00524351"/>
    <w:rsid w:val="005243CB"/>
    <w:rsid w:val="005244DA"/>
    <w:rsid w:val="00524BE3"/>
    <w:rsid w:val="00524E3F"/>
    <w:rsid w:val="0052511A"/>
    <w:rsid w:val="005252FB"/>
    <w:rsid w:val="00525932"/>
    <w:rsid w:val="0052599B"/>
    <w:rsid w:val="00525AAB"/>
    <w:rsid w:val="00525D5A"/>
    <w:rsid w:val="00525D92"/>
    <w:rsid w:val="00526223"/>
    <w:rsid w:val="00526268"/>
    <w:rsid w:val="005264D3"/>
    <w:rsid w:val="005264E1"/>
    <w:rsid w:val="005268DA"/>
    <w:rsid w:val="00526EAE"/>
    <w:rsid w:val="00527040"/>
    <w:rsid w:val="00527836"/>
    <w:rsid w:val="0052794C"/>
    <w:rsid w:val="00527A97"/>
    <w:rsid w:val="00527B3A"/>
    <w:rsid w:val="00527D47"/>
    <w:rsid w:val="00527D8D"/>
    <w:rsid w:val="00530761"/>
    <w:rsid w:val="00530A1A"/>
    <w:rsid w:val="00530B0F"/>
    <w:rsid w:val="00530E89"/>
    <w:rsid w:val="00531390"/>
    <w:rsid w:val="00531980"/>
    <w:rsid w:val="00532170"/>
    <w:rsid w:val="005323D6"/>
    <w:rsid w:val="0053276A"/>
    <w:rsid w:val="0053285B"/>
    <w:rsid w:val="00532B5A"/>
    <w:rsid w:val="00532CF3"/>
    <w:rsid w:val="0053301C"/>
    <w:rsid w:val="005339D8"/>
    <w:rsid w:val="00533C1E"/>
    <w:rsid w:val="00533C92"/>
    <w:rsid w:val="005341B9"/>
    <w:rsid w:val="005343A5"/>
    <w:rsid w:val="00534F61"/>
    <w:rsid w:val="00534FA8"/>
    <w:rsid w:val="005351FF"/>
    <w:rsid w:val="00535369"/>
    <w:rsid w:val="0053561C"/>
    <w:rsid w:val="005356B6"/>
    <w:rsid w:val="00535C99"/>
    <w:rsid w:val="0053668A"/>
    <w:rsid w:val="00536739"/>
    <w:rsid w:val="00536A08"/>
    <w:rsid w:val="00536E45"/>
    <w:rsid w:val="0053785C"/>
    <w:rsid w:val="005378B2"/>
    <w:rsid w:val="00540F4E"/>
    <w:rsid w:val="00541058"/>
    <w:rsid w:val="005413DC"/>
    <w:rsid w:val="005425F7"/>
    <w:rsid w:val="005429A3"/>
    <w:rsid w:val="0054304C"/>
    <w:rsid w:val="00543054"/>
    <w:rsid w:val="00543070"/>
    <w:rsid w:val="005431CE"/>
    <w:rsid w:val="005439CB"/>
    <w:rsid w:val="00543DA7"/>
    <w:rsid w:val="00543E5E"/>
    <w:rsid w:val="00544257"/>
    <w:rsid w:val="005443B8"/>
    <w:rsid w:val="00544446"/>
    <w:rsid w:val="00544F9D"/>
    <w:rsid w:val="00545277"/>
    <w:rsid w:val="00545823"/>
    <w:rsid w:val="00545D36"/>
    <w:rsid w:val="0054604A"/>
    <w:rsid w:val="005462E8"/>
    <w:rsid w:val="00546A49"/>
    <w:rsid w:val="005474B1"/>
    <w:rsid w:val="0054778D"/>
    <w:rsid w:val="005478E5"/>
    <w:rsid w:val="0054797A"/>
    <w:rsid w:val="005479B5"/>
    <w:rsid w:val="00547ADF"/>
    <w:rsid w:val="00547B3E"/>
    <w:rsid w:val="00547B4D"/>
    <w:rsid w:val="00547CC7"/>
    <w:rsid w:val="00550690"/>
    <w:rsid w:val="00550824"/>
    <w:rsid w:val="00550919"/>
    <w:rsid w:val="00550BC9"/>
    <w:rsid w:val="00551288"/>
    <w:rsid w:val="00552822"/>
    <w:rsid w:val="0055285A"/>
    <w:rsid w:val="0055290F"/>
    <w:rsid w:val="00552F02"/>
    <w:rsid w:val="0055394E"/>
    <w:rsid w:val="00553BDD"/>
    <w:rsid w:val="0055412B"/>
    <w:rsid w:val="0055441F"/>
    <w:rsid w:val="00554754"/>
    <w:rsid w:val="0055486C"/>
    <w:rsid w:val="005548CC"/>
    <w:rsid w:val="00554C7A"/>
    <w:rsid w:val="00554E17"/>
    <w:rsid w:val="00555033"/>
    <w:rsid w:val="0055521A"/>
    <w:rsid w:val="005559EA"/>
    <w:rsid w:val="00556079"/>
    <w:rsid w:val="005564F0"/>
    <w:rsid w:val="005565BF"/>
    <w:rsid w:val="00556C77"/>
    <w:rsid w:val="00556E83"/>
    <w:rsid w:val="00556E94"/>
    <w:rsid w:val="00557009"/>
    <w:rsid w:val="00557105"/>
    <w:rsid w:val="0055728B"/>
    <w:rsid w:val="0055738D"/>
    <w:rsid w:val="0055764D"/>
    <w:rsid w:val="005576FC"/>
    <w:rsid w:val="0055788A"/>
    <w:rsid w:val="0055793C"/>
    <w:rsid w:val="00557A97"/>
    <w:rsid w:val="00557B83"/>
    <w:rsid w:val="0056057F"/>
    <w:rsid w:val="00560DDF"/>
    <w:rsid w:val="00560E8D"/>
    <w:rsid w:val="00561155"/>
    <w:rsid w:val="005612E0"/>
    <w:rsid w:val="005613FE"/>
    <w:rsid w:val="00561B6C"/>
    <w:rsid w:val="00561C65"/>
    <w:rsid w:val="00562043"/>
    <w:rsid w:val="00562355"/>
    <w:rsid w:val="00563263"/>
    <w:rsid w:val="005635FC"/>
    <w:rsid w:val="005635FD"/>
    <w:rsid w:val="005637C8"/>
    <w:rsid w:val="00563D2F"/>
    <w:rsid w:val="00564403"/>
    <w:rsid w:val="005645AF"/>
    <w:rsid w:val="00564840"/>
    <w:rsid w:val="00564C8F"/>
    <w:rsid w:val="00565BCD"/>
    <w:rsid w:val="00565CD3"/>
    <w:rsid w:val="00565FD7"/>
    <w:rsid w:val="00566A16"/>
    <w:rsid w:val="00566D64"/>
    <w:rsid w:val="005671B4"/>
    <w:rsid w:val="00567968"/>
    <w:rsid w:val="005679DC"/>
    <w:rsid w:val="00567B62"/>
    <w:rsid w:val="005707B1"/>
    <w:rsid w:val="00570AD1"/>
    <w:rsid w:val="00570DBE"/>
    <w:rsid w:val="00570FB5"/>
    <w:rsid w:val="00571266"/>
    <w:rsid w:val="005723F8"/>
    <w:rsid w:val="005729BB"/>
    <w:rsid w:val="00572A7A"/>
    <w:rsid w:val="00572B09"/>
    <w:rsid w:val="00572BE0"/>
    <w:rsid w:val="00573683"/>
    <w:rsid w:val="00573707"/>
    <w:rsid w:val="00573C19"/>
    <w:rsid w:val="00573DB8"/>
    <w:rsid w:val="00573DE0"/>
    <w:rsid w:val="005741FD"/>
    <w:rsid w:val="00574591"/>
    <w:rsid w:val="005748F2"/>
    <w:rsid w:val="0057491F"/>
    <w:rsid w:val="00574B68"/>
    <w:rsid w:val="00574D5E"/>
    <w:rsid w:val="00575147"/>
    <w:rsid w:val="005752A9"/>
    <w:rsid w:val="00575882"/>
    <w:rsid w:val="00575957"/>
    <w:rsid w:val="00576215"/>
    <w:rsid w:val="005766EE"/>
    <w:rsid w:val="00576946"/>
    <w:rsid w:val="00576A02"/>
    <w:rsid w:val="00576B85"/>
    <w:rsid w:val="00576F63"/>
    <w:rsid w:val="0057706D"/>
    <w:rsid w:val="005772EF"/>
    <w:rsid w:val="005773E2"/>
    <w:rsid w:val="005774AC"/>
    <w:rsid w:val="005776BA"/>
    <w:rsid w:val="005777AD"/>
    <w:rsid w:val="005800D5"/>
    <w:rsid w:val="005800F0"/>
    <w:rsid w:val="0058029A"/>
    <w:rsid w:val="005802A2"/>
    <w:rsid w:val="005802A4"/>
    <w:rsid w:val="005803BA"/>
    <w:rsid w:val="00580557"/>
    <w:rsid w:val="00580A57"/>
    <w:rsid w:val="00580AB8"/>
    <w:rsid w:val="00581AD9"/>
    <w:rsid w:val="00581B52"/>
    <w:rsid w:val="00581ECF"/>
    <w:rsid w:val="00582014"/>
    <w:rsid w:val="00582079"/>
    <w:rsid w:val="00582457"/>
    <w:rsid w:val="00582B27"/>
    <w:rsid w:val="00582C4E"/>
    <w:rsid w:val="005838E6"/>
    <w:rsid w:val="00584309"/>
    <w:rsid w:val="005845E9"/>
    <w:rsid w:val="005846F5"/>
    <w:rsid w:val="005853C5"/>
    <w:rsid w:val="005853E8"/>
    <w:rsid w:val="005856D5"/>
    <w:rsid w:val="005860E3"/>
    <w:rsid w:val="005867C6"/>
    <w:rsid w:val="00586858"/>
    <w:rsid w:val="005872A8"/>
    <w:rsid w:val="00587480"/>
    <w:rsid w:val="005874FF"/>
    <w:rsid w:val="00587D2C"/>
    <w:rsid w:val="00587E83"/>
    <w:rsid w:val="00587F72"/>
    <w:rsid w:val="005900F1"/>
    <w:rsid w:val="00590CB0"/>
    <w:rsid w:val="00591138"/>
    <w:rsid w:val="005916F5"/>
    <w:rsid w:val="00591E68"/>
    <w:rsid w:val="00592041"/>
    <w:rsid w:val="005922DA"/>
    <w:rsid w:val="0059238A"/>
    <w:rsid w:val="0059283A"/>
    <w:rsid w:val="005932DF"/>
    <w:rsid w:val="00593B2A"/>
    <w:rsid w:val="005942A0"/>
    <w:rsid w:val="005947F2"/>
    <w:rsid w:val="00594808"/>
    <w:rsid w:val="00594E35"/>
    <w:rsid w:val="005952AC"/>
    <w:rsid w:val="005952D4"/>
    <w:rsid w:val="0059554A"/>
    <w:rsid w:val="0059558D"/>
    <w:rsid w:val="0059563F"/>
    <w:rsid w:val="0059573E"/>
    <w:rsid w:val="0059590D"/>
    <w:rsid w:val="005959CC"/>
    <w:rsid w:val="00595E99"/>
    <w:rsid w:val="005963A9"/>
    <w:rsid w:val="0059659E"/>
    <w:rsid w:val="005969A5"/>
    <w:rsid w:val="00596C13"/>
    <w:rsid w:val="00596E35"/>
    <w:rsid w:val="0059702E"/>
    <w:rsid w:val="0059727A"/>
    <w:rsid w:val="00597762"/>
    <w:rsid w:val="005977E4"/>
    <w:rsid w:val="00597AED"/>
    <w:rsid w:val="00597DE7"/>
    <w:rsid w:val="00597E88"/>
    <w:rsid w:val="005A005F"/>
    <w:rsid w:val="005A0436"/>
    <w:rsid w:val="005A066B"/>
    <w:rsid w:val="005A06B0"/>
    <w:rsid w:val="005A07E8"/>
    <w:rsid w:val="005A0CC7"/>
    <w:rsid w:val="005A0DC0"/>
    <w:rsid w:val="005A0F49"/>
    <w:rsid w:val="005A1251"/>
    <w:rsid w:val="005A1560"/>
    <w:rsid w:val="005A167E"/>
    <w:rsid w:val="005A179C"/>
    <w:rsid w:val="005A2053"/>
    <w:rsid w:val="005A25DE"/>
    <w:rsid w:val="005A261E"/>
    <w:rsid w:val="005A2BD6"/>
    <w:rsid w:val="005A2FCD"/>
    <w:rsid w:val="005A3688"/>
    <w:rsid w:val="005A368F"/>
    <w:rsid w:val="005A3BED"/>
    <w:rsid w:val="005A3E0D"/>
    <w:rsid w:val="005A3EEF"/>
    <w:rsid w:val="005A43C0"/>
    <w:rsid w:val="005A451F"/>
    <w:rsid w:val="005A48CF"/>
    <w:rsid w:val="005A4B87"/>
    <w:rsid w:val="005A4CA5"/>
    <w:rsid w:val="005A4CAF"/>
    <w:rsid w:val="005A53AE"/>
    <w:rsid w:val="005A5E8B"/>
    <w:rsid w:val="005A5ECC"/>
    <w:rsid w:val="005A61D4"/>
    <w:rsid w:val="005A6233"/>
    <w:rsid w:val="005A6DA8"/>
    <w:rsid w:val="005A6DDD"/>
    <w:rsid w:val="005A727F"/>
    <w:rsid w:val="005A73E7"/>
    <w:rsid w:val="005A7577"/>
    <w:rsid w:val="005A75E5"/>
    <w:rsid w:val="005A778E"/>
    <w:rsid w:val="005A7989"/>
    <w:rsid w:val="005A7D59"/>
    <w:rsid w:val="005A7EAE"/>
    <w:rsid w:val="005B02BE"/>
    <w:rsid w:val="005B0D65"/>
    <w:rsid w:val="005B0DFD"/>
    <w:rsid w:val="005B17E8"/>
    <w:rsid w:val="005B1E31"/>
    <w:rsid w:val="005B2149"/>
    <w:rsid w:val="005B2280"/>
    <w:rsid w:val="005B23FB"/>
    <w:rsid w:val="005B275D"/>
    <w:rsid w:val="005B2973"/>
    <w:rsid w:val="005B2ACE"/>
    <w:rsid w:val="005B2E44"/>
    <w:rsid w:val="005B364F"/>
    <w:rsid w:val="005B36FC"/>
    <w:rsid w:val="005B3863"/>
    <w:rsid w:val="005B38EE"/>
    <w:rsid w:val="005B393E"/>
    <w:rsid w:val="005B3C93"/>
    <w:rsid w:val="005B404B"/>
    <w:rsid w:val="005B425E"/>
    <w:rsid w:val="005B43FD"/>
    <w:rsid w:val="005B488F"/>
    <w:rsid w:val="005B4F9E"/>
    <w:rsid w:val="005B5280"/>
    <w:rsid w:val="005B5593"/>
    <w:rsid w:val="005B55A8"/>
    <w:rsid w:val="005B55B0"/>
    <w:rsid w:val="005B571F"/>
    <w:rsid w:val="005B572E"/>
    <w:rsid w:val="005B5A86"/>
    <w:rsid w:val="005B5C56"/>
    <w:rsid w:val="005B610F"/>
    <w:rsid w:val="005B624C"/>
    <w:rsid w:val="005B6DE4"/>
    <w:rsid w:val="005B6FA7"/>
    <w:rsid w:val="005B748B"/>
    <w:rsid w:val="005B75C1"/>
    <w:rsid w:val="005B75C2"/>
    <w:rsid w:val="005B777D"/>
    <w:rsid w:val="005C0529"/>
    <w:rsid w:val="005C0678"/>
    <w:rsid w:val="005C0993"/>
    <w:rsid w:val="005C10DC"/>
    <w:rsid w:val="005C12C2"/>
    <w:rsid w:val="005C1896"/>
    <w:rsid w:val="005C1B65"/>
    <w:rsid w:val="005C20E8"/>
    <w:rsid w:val="005C24DD"/>
    <w:rsid w:val="005C277D"/>
    <w:rsid w:val="005C29E8"/>
    <w:rsid w:val="005C3109"/>
    <w:rsid w:val="005C32B1"/>
    <w:rsid w:val="005C341D"/>
    <w:rsid w:val="005C3C32"/>
    <w:rsid w:val="005C3D98"/>
    <w:rsid w:val="005C4064"/>
    <w:rsid w:val="005C42A5"/>
    <w:rsid w:val="005C4574"/>
    <w:rsid w:val="005C48B1"/>
    <w:rsid w:val="005C4925"/>
    <w:rsid w:val="005C4BCF"/>
    <w:rsid w:val="005C4CAF"/>
    <w:rsid w:val="005C50FA"/>
    <w:rsid w:val="005C51AA"/>
    <w:rsid w:val="005C52B3"/>
    <w:rsid w:val="005C5658"/>
    <w:rsid w:val="005C5A86"/>
    <w:rsid w:val="005C5B06"/>
    <w:rsid w:val="005C5BA8"/>
    <w:rsid w:val="005C6560"/>
    <w:rsid w:val="005C65AF"/>
    <w:rsid w:val="005C6AE1"/>
    <w:rsid w:val="005C6F34"/>
    <w:rsid w:val="005C78A4"/>
    <w:rsid w:val="005C7B7D"/>
    <w:rsid w:val="005C7C3E"/>
    <w:rsid w:val="005D01C0"/>
    <w:rsid w:val="005D072D"/>
    <w:rsid w:val="005D0807"/>
    <w:rsid w:val="005D0845"/>
    <w:rsid w:val="005D09C1"/>
    <w:rsid w:val="005D0CA2"/>
    <w:rsid w:val="005D0FE6"/>
    <w:rsid w:val="005D1176"/>
    <w:rsid w:val="005D1562"/>
    <w:rsid w:val="005D165B"/>
    <w:rsid w:val="005D1685"/>
    <w:rsid w:val="005D1687"/>
    <w:rsid w:val="005D169D"/>
    <w:rsid w:val="005D16CF"/>
    <w:rsid w:val="005D181C"/>
    <w:rsid w:val="005D1B30"/>
    <w:rsid w:val="005D1D69"/>
    <w:rsid w:val="005D1FE2"/>
    <w:rsid w:val="005D21E0"/>
    <w:rsid w:val="005D27F8"/>
    <w:rsid w:val="005D2823"/>
    <w:rsid w:val="005D32F2"/>
    <w:rsid w:val="005D3437"/>
    <w:rsid w:val="005D34CF"/>
    <w:rsid w:val="005D354B"/>
    <w:rsid w:val="005D4694"/>
    <w:rsid w:val="005D4A85"/>
    <w:rsid w:val="005D4E47"/>
    <w:rsid w:val="005D5109"/>
    <w:rsid w:val="005D54DB"/>
    <w:rsid w:val="005D5B6E"/>
    <w:rsid w:val="005D620A"/>
    <w:rsid w:val="005D62C4"/>
    <w:rsid w:val="005D636F"/>
    <w:rsid w:val="005D64A8"/>
    <w:rsid w:val="005D656F"/>
    <w:rsid w:val="005D685C"/>
    <w:rsid w:val="005D6B7A"/>
    <w:rsid w:val="005D709D"/>
    <w:rsid w:val="005D7116"/>
    <w:rsid w:val="005D7619"/>
    <w:rsid w:val="005D76A5"/>
    <w:rsid w:val="005D7EEE"/>
    <w:rsid w:val="005E03BA"/>
    <w:rsid w:val="005E05E5"/>
    <w:rsid w:val="005E0B9B"/>
    <w:rsid w:val="005E0C8E"/>
    <w:rsid w:val="005E0F7F"/>
    <w:rsid w:val="005E112A"/>
    <w:rsid w:val="005E19AF"/>
    <w:rsid w:val="005E1E33"/>
    <w:rsid w:val="005E23B8"/>
    <w:rsid w:val="005E2530"/>
    <w:rsid w:val="005E27D4"/>
    <w:rsid w:val="005E296F"/>
    <w:rsid w:val="005E2BD6"/>
    <w:rsid w:val="005E2DC1"/>
    <w:rsid w:val="005E2E16"/>
    <w:rsid w:val="005E37AA"/>
    <w:rsid w:val="005E392B"/>
    <w:rsid w:val="005E3A60"/>
    <w:rsid w:val="005E4980"/>
    <w:rsid w:val="005E499F"/>
    <w:rsid w:val="005E4A52"/>
    <w:rsid w:val="005E4C70"/>
    <w:rsid w:val="005E4EAB"/>
    <w:rsid w:val="005E5C73"/>
    <w:rsid w:val="005E6152"/>
    <w:rsid w:val="005E627A"/>
    <w:rsid w:val="005E67E9"/>
    <w:rsid w:val="005E6ACD"/>
    <w:rsid w:val="005E6BBB"/>
    <w:rsid w:val="005E6C00"/>
    <w:rsid w:val="005E6C04"/>
    <w:rsid w:val="005E6D0A"/>
    <w:rsid w:val="005E6EEE"/>
    <w:rsid w:val="005E70F3"/>
    <w:rsid w:val="005E7180"/>
    <w:rsid w:val="005E7A3B"/>
    <w:rsid w:val="005E7CC2"/>
    <w:rsid w:val="005E7D17"/>
    <w:rsid w:val="005E7E63"/>
    <w:rsid w:val="005F04A3"/>
    <w:rsid w:val="005F08D1"/>
    <w:rsid w:val="005F0A0C"/>
    <w:rsid w:val="005F10A7"/>
    <w:rsid w:val="005F11D3"/>
    <w:rsid w:val="005F1BC2"/>
    <w:rsid w:val="005F1CBB"/>
    <w:rsid w:val="005F1CC6"/>
    <w:rsid w:val="005F222E"/>
    <w:rsid w:val="005F2B29"/>
    <w:rsid w:val="005F2BF0"/>
    <w:rsid w:val="005F32CF"/>
    <w:rsid w:val="005F3576"/>
    <w:rsid w:val="005F3997"/>
    <w:rsid w:val="005F3A45"/>
    <w:rsid w:val="005F3D06"/>
    <w:rsid w:val="005F46C1"/>
    <w:rsid w:val="005F507F"/>
    <w:rsid w:val="005F517B"/>
    <w:rsid w:val="005F596C"/>
    <w:rsid w:val="005F5F79"/>
    <w:rsid w:val="005F5F81"/>
    <w:rsid w:val="005F6056"/>
    <w:rsid w:val="005F667C"/>
    <w:rsid w:val="005F68D0"/>
    <w:rsid w:val="005F6B36"/>
    <w:rsid w:val="005F6B6F"/>
    <w:rsid w:val="005F73CE"/>
    <w:rsid w:val="005F775A"/>
    <w:rsid w:val="005F79B5"/>
    <w:rsid w:val="006008EE"/>
    <w:rsid w:val="00601B7B"/>
    <w:rsid w:val="00601BBE"/>
    <w:rsid w:val="00601DDA"/>
    <w:rsid w:val="0060213F"/>
    <w:rsid w:val="0060239F"/>
    <w:rsid w:val="00602554"/>
    <w:rsid w:val="00602915"/>
    <w:rsid w:val="0060370B"/>
    <w:rsid w:val="006037AC"/>
    <w:rsid w:val="00603859"/>
    <w:rsid w:val="00603B34"/>
    <w:rsid w:val="00603CB8"/>
    <w:rsid w:val="00603F0C"/>
    <w:rsid w:val="00603F3A"/>
    <w:rsid w:val="00604104"/>
    <w:rsid w:val="00604693"/>
    <w:rsid w:val="006047E6"/>
    <w:rsid w:val="00605361"/>
    <w:rsid w:val="006054D6"/>
    <w:rsid w:val="006054E1"/>
    <w:rsid w:val="006055AE"/>
    <w:rsid w:val="00605719"/>
    <w:rsid w:val="006059DD"/>
    <w:rsid w:val="00605CF5"/>
    <w:rsid w:val="006062B1"/>
    <w:rsid w:val="006063BF"/>
    <w:rsid w:val="00606487"/>
    <w:rsid w:val="006065B2"/>
    <w:rsid w:val="00606775"/>
    <w:rsid w:val="006067DA"/>
    <w:rsid w:val="00606F2D"/>
    <w:rsid w:val="00607375"/>
    <w:rsid w:val="006076D0"/>
    <w:rsid w:val="00607DC0"/>
    <w:rsid w:val="0061022A"/>
    <w:rsid w:val="006103D1"/>
    <w:rsid w:val="00610640"/>
    <w:rsid w:val="006106DF"/>
    <w:rsid w:val="00610B07"/>
    <w:rsid w:val="006115BE"/>
    <w:rsid w:val="0061165B"/>
    <w:rsid w:val="006118D4"/>
    <w:rsid w:val="00611A6B"/>
    <w:rsid w:val="00611AD8"/>
    <w:rsid w:val="00611D4F"/>
    <w:rsid w:val="00611E01"/>
    <w:rsid w:val="00611ECA"/>
    <w:rsid w:val="0061211C"/>
    <w:rsid w:val="006121B6"/>
    <w:rsid w:val="00612DC5"/>
    <w:rsid w:val="00612E1B"/>
    <w:rsid w:val="00613134"/>
    <w:rsid w:val="00613229"/>
    <w:rsid w:val="00613446"/>
    <w:rsid w:val="00613475"/>
    <w:rsid w:val="006137E8"/>
    <w:rsid w:val="00613820"/>
    <w:rsid w:val="00613B0B"/>
    <w:rsid w:val="00613B1C"/>
    <w:rsid w:val="00613BB4"/>
    <w:rsid w:val="00613DFA"/>
    <w:rsid w:val="00613F1D"/>
    <w:rsid w:val="0061426D"/>
    <w:rsid w:val="00614AA2"/>
    <w:rsid w:val="006150C7"/>
    <w:rsid w:val="006152F8"/>
    <w:rsid w:val="006158F2"/>
    <w:rsid w:val="00615C44"/>
    <w:rsid w:val="00615EBA"/>
    <w:rsid w:val="006166AF"/>
    <w:rsid w:val="006168DC"/>
    <w:rsid w:val="00617595"/>
    <w:rsid w:val="00617F42"/>
    <w:rsid w:val="00620060"/>
    <w:rsid w:val="006205E8"/>
    <w:rsid w:val="00620700"/>
    <w:rsid w:val="006207E3"/>
    <w:rsid w:val="00621191"/>
    <w:rsid w:val="006214E5"/>
    <w:rsid w:val="00621776"/>
    <w:rsid w:val="00621C88"/>
    <w:rsid w:val="00621CF0"/>
    <w:rsid w:val="00621E27"/>
    <w:rsid w:val="00622DE7"/>
    <w:rsid w:val="00623CB9"/>
    <w:rsid w:val="006245A0"/>
    <w:rsid w:val="00624769"/>
    <w:rsid w:val="00624C31"/>
    <w:rsid w:val="00624F4C"/>
    <w:rsid w:val="00625427"/>
    <w:rsid w:val="006254C0"/>
    <w:rsid w:val="006257A5"/>
    <w:rsid w:val="00625E6D"/>
    <w:rsid w:val="0062620A"/>
    <w:rsid w:val="006262B7"/>
    <w:rsid w:val="00626C7C"/>
    <w:rsid w:val="00626F31"/>
    <w:rsid w:val="0062739F"/>
    <w:rsid w:val="006273F0"/>
    <w:rsid w:val="006276AC"/>
    <w:rsid w:val="0062788D"/>
    <w:rsid w:val="00627AED"/>
    <w:rsid w:val="00627BE3"/>
    <w:rsid w:val="00627C77"/>
    <w:rsid w:val="0063008C"/>
    <w:rsid w:val="006309ED"/>
    <w:rsid w:val="00630F87"/>
    <w:rsid w:val="00631531"/>
    <w:rsid w:val="0063167F"/>
    <w:rsid w:val="00631AD1"/>
    <w:rsid w:val="006322B1"/>
    <w:rsid w:val="006323A9"/>
    <w:rsid w:val="00632422"/>
    <w:rsid w:val="006324F3"/>
    <w:rsid w:val="00632D06"/>
    <w:rsid w:val="00632DA7"/>
    <w:rsid w:val="00632DF8"/>
    <w:rsid w:val="00632F8C"/>
    <w:rsid w:val="006334DE"/>
    <w:rsid w:val="006338AB"/>
    <w:rsid w:val="00633FBD"/>
    <w:rsid w:val="00634177"/>
    <w:rsid w:val="00634907"/>
    <w:rsid w:val="00634C71"/>
    <w:rsid w:val="00634E8E"/>
    <w:rsid w:val="0063518E"/>
    <w:rsid w:val="00635769"/>
    <w:rsid w:val="00635CCF"/>
    <w:rsid w:val="00635E34"/>
    <w:rsid w:val="00635F2D"/>
    <w:rsid w:val="00636169"/>
    <w:rsid w:val="00636221"/>
    <w:rsid w:val="006365EC"/>
    <w:rsid w:val="00636A51"/>
    <w:rsid w:val="00636D74"/>
    <w:rsid w:val="00636E0B"/>
    <w:rsid w:val="00637527"/>
    <w:rsid w:val="0063773B"/>
    <w:rsid w:val="00637780"/>
    <w:rsid w:val="00637826"/>
    <w:rsid w:val="00637973"/>
    <w:rsid w:val="00637CC4"/>
    <w:rsid w:val="00637D2C"/>
    <w:rsid w:val="006400A6"/>
    <w:rsid w:val="006400E5"/>
    <w:rsid w:val="00640664"/>
    <w:rsid w:val="00640943"/>
    <w:rsid w:val="00640B11"/>
    <w:rsid w:val="00640B15"/>
    <w:rsid w:val="00640BA2"/>
    <w:rsid w:val="00640E30"/>
    <w:rsid w:val="00641643"/>
    <w:rsid w:val="00641756"/>
    <w:rsid w:val="00641786"/>
    <w:rsid w:val="00641A05"/>
    <w:rsid w:val="00641E17"/>
    <w:rsid w:val="00642018"/>
    <w:rsid w:val="00642044"/>
    <w:rsid w:val="00642179"/>
    <w:rsid w:val="006423AA"/>
    <w:rsid w:val="0064284C"/>
    <w:rsid w:val="00642E50"/>
    <w:rsid w:val="0064312D"/>
    <w:rsid w:val="0064316D"/>
    <w:rsid w:val="006437E5"/>
    <w:rsid w:val="00643B9E"/>
    <w:rsid w:val="006440AF"/>
    <w:rsid w:val="0064420C"/>
    <w:rsid w:val="00644572"/>
    <w:rsid w:val="006447ED"/>
    <w:rsid w:val="006448E0"/>
    <w:rsid w:val="00644D07"/>
    <w:rsid w:val="00644E9F"/>
    <w:rsid w:val="0064520C"/>
    <w:rsid w:val="00645AFE"/>
    <w:rsid w:val="00645CE9"/>
    <w:rsid w:val="006460FF"/>
    <w:rsid w:val="006463CC"/>
    <w:rsid w:val="00646744"/>
    <w:rsid w:val="00646D79"/>
    <w:rsid w:val="00647154"/>
    <w:rsid w:val="0064719E"/>
    <w:rsid w:val="006471A3"/>
    <w:rsid w:val="00647319"/>
    <w:rsid w:val="00647588"/>
    <w:rsid w:val="00647657"/>
    <w:rsid w:val="0064783C"/>
    <w:rsid w:val="00647AFF"/>
    <w:rsid w:val="00647E0B"/>
    <w:rsid w:val="006502CD"/>
    <w:rsid w:val="00650300"/>
    <w:rsid w:val="00650477"/>
    <w:rsid w:val="00650830"/>
    <w:rsid w:val="00650BC4"/>
    <w:rsid w:val="00651513"/>
    <w:rsid w:val="00651A25"/>
    <w:rsid w:val="00652516"/>
    <w:rsid w:val="006526B4"/>
    <w:rsid w:val="00652761"/>
    <w:rsid w:val="00652844"/>
    <w:rsid w:val="00653258"/>
    <w:rsid w:val="006533E4"/>
    <w:rsid w:val="00653F71"/>
    <w:rsid w:val="006540AB"/>
    <w:rsid w:val="006542F2"/>
    <w:rsid w:val="00654E52"/>
    <w:rsid w:val="00655632"/>
    <w:rsid w:val="00655860"/>
    <w:rsid w:val="00655AAC"/>
    <w:rsid w:val="00655ABB"/>
    <w:rsid w:val="00655D07"/>
    <w:rsid w:val="00656304"/>
    <w:rsid w:val="00656EFF"/>
    <w:rsid w:val="0065706D"/>
    <w:rsid w:val="00657138"/>
    <w:rsid w:val="00657365"/>
    <w:rsid w:val="00657B05"/>
    <w:rsid w:val="00657B5A"/>
    <w:rsid w:val="006609B9"/>
    <w:rsid w:val="00660F76"/>
    <w:rsid w:val="00661032"/>
    <w:rsid w:val="00661145"/>
    <w:rsid w:val="006611EE"/>
    <w:rsid w:val="00661471"/>
    <w:rsid w:val="0066169D"/>
    <w:rsid w:val="00661761"/>
    <w:rsid w:val="00661806"/>
    <w:rsid w:val="006619E5"/>
    <w:rsid w:val="00661CC4"/>
    <w:rsid w:val="00661D78"/>
    <w:rsid w:val="00661E6A"/>
    <w:rsid w:val="00662113"/>
    <w:rsid w:val="00662411"/>
    <w:rsid w:val="00663022"/>
    <w:rsid w:val="00663207"/>
    <w:rsid w:val="00663503"/>
    <w:rsid w:val="00663630"/>
    <w:rsid w:val="00663AAD"/>
    <w:rsid w:val="00663CAE"/>
    <w:rsid w:val="0066402E"/>
    <w:rsid w:val="006645D0"/>
    <w:rsid w:val="00664815"/>
    <w:rsid w:val="00664D27"/>
    <w:rsid w:val="00664DCB"/>
    <w:rsid w:val="00664EDA"/>
    <w:rsid w:val="0066516E"/>
    <w:rsid w:val="00665187"/>
    <w:rsid w:val="00665662"/>
    <w:rsid w:val="00665986"/>
    <w:rsid w:val="00665A4E"/>
    <w:rsid w:val="00665FF4"/>
    <w:rsid w:val="0066603C"/>
    <w:rsid w:val="006663C1"/>
    <w:rsid w:val="0066647C"/>
    <w:rsid w:val="0066664C"/>
    <w:rsid w:val="0066669B"/>
    <w:rsid w:val="00666735"/>
    <w:rsid w:val="0066686D"/>
    <w:rsid w:val="006668D9"/>
    <w:rsid w:val="00667126"/>
    <w:rsid w:val="006671AA"/>
    <w:rsid w:val="006671AB"/>
    <w:rsid w:val="006671CA"/>
    <w:rsid w:val="00667297"/>
    <w:rsid w:val="006674B1"/>
    <w:rsid w:val="0066766D"/>
    <w:rsid w:val="006678B8"/>
    <w:rsid w:val="00667924"/>
    <w:rsid w:val="00667A4A"/>
    <w:rsid w:val="00667B87"/>
    <w:rsid w:val="00667BB0"/>
    <w:rsid w:val="00667CCB"/>
    <w:rsid w:val="00667F10"/>
    <w:rsid w:val="006703E5"/>
    <w:rsid w:val="006708F4"/>
    <w:rsid w:val="00670D60"/>
    <w:rsid w:val="006711EC"/>
    <w:rsid w:val="00671979"/>
    <w:rsid w:val="00671993"/>
    <w:rsid w:val="00671997"/>
    <w:rsid w:val="00671F84"/>
    <w:rsid w:val="00672570"/>
    <w:rsid w:val="00672742"/>
    <w:rsid w:val="006728B5"/>
    <w:rsid w:val="00672BBA"/>
    <w:rsid w:val="00672FC3"/>
    <w:rsid w:val="0067381C"/>
    <w:rsid w:val="0067388F"/>
    <w:rsid w:val="00673E03"/>
    <w:rsid w:val="00673EC4"/>
    <w:rsid w:val="00674091"/>
    <w:rsid w:val="006740C5"/>
    <w:rsid w:val="006745D9"/>
    <w:rsid w:val="0067486D"/>
    <w:rsid w:val="00674BD3"/>
    <w:rsid w:val="00674D26"/>
    <w:rsid w:val="006751E5"/>
    <w:rsid w:val="00675387"/>
    <w:rsid w:val="0067564F"/>
    <w:rsid w:val="0067582D"/>
    <w:rsid w:val="00675F0A"/>
    <w:rsid w:val="00676100"/>
    <w:rsid w:val="006764D3"/>
    <w:rsid w:val="0067666A"/>
    <w:rsid w:val="0067679D"/>
    <w:rsid w:val="00676C10"/>
    <w:rsid w:val="00676C95"/>
    <w:rsid w:val="006773F1"/>
    <w:rsid w:val="006777DF"/>
    <w:rsid w:val="0067783B"/>
    <w:rsid w:val="00677F23"/>
    <w:rsid w:val="006800F2"/>
    <w:rsid w:val="00680499"/>
    <w:rsid w:val="006805DF"/>
    <w:rsid w:val="006807CA"/>
    <w:rsid w:val="00680D5C"/>
    <w:rsid w:val="00680E57"/>
    <w:rsid w:val="00680F7A"/>
    <w:rsid w:val="00680FB9"/>
    <w:rsid w:val="0068123B"/>
    <w:rsid w:val="00681456"/>
    <w:rsid w:val="006815A6"/>
    <w:rsid w:val="0068188A"/>
    <w:rsid w:val="006820FF"/>
    <w:rsid w:val="006822A8"/>
    <w:rsid w:val="006826F1"/>
    <w:rsid w:val="00682B39"/>
    <w:rsid w:val="006830E8"/>
    <w:rsid w:val="006833B1"/>
    <w:rsid w:val="00683A5E"/>
    <w:rsid w:val="00683B3D"/>
    <w:rsid w:val="00683C78"/>
    <w:rsid w:val="00683D7A"/>
    <w:rsid w:val="00684069"/>
    <w:rsid w:val="006847F6"/>
    <w:rsid w:val="006849FA"/>
    <w:rsid w:val="00684C25"/>
    <w:rsid w:val="00684D18"/>
    <w:rsid w:val="00685431"/>
    <w:rsid w:val="00685521"/>
    <w:rsid w:val="0068587E"/>
    <w:rsid w:val="00685900"/>
    <w:rsid w:val="00685DB3"/>
    <w:rsid w:val="00685DB4"/>
    <w:rsid w:val="00685FE7"/>
    <w:rsid w:val="006861D9"/>
    <w:rsid w:val="006862B8"/>
    <w:rsid w:val="0068645B"/>
    <w:rsid w:val="0068665C"/>
    <w:rsid w:val="00686B61"/>
    <w:rsid w:val="00686C80"/>
    <w:rsid w:val="0068714D"/>
    <w:rsid w:val="0068732C"/>
    <w:rsid w:val="006876EC"/>
    <w:rsid w:val="00687DC3"/>
    <w:rsid w:val="00690037"/>
    <w:rsid w:val="00690D9D"/>
    <w:rsid w:val="00691146"/>
    <w:rsid w:val="006912BC"/>
    <w:rsid w:val="00691452"/>
    <w:rsid w:val="00691765"/>
    <w:rsid w:val="00691C2B"/>
    <w:rsid w:val="00691ED1"/>
    <w:rsid w:val="00692401"/>
    <w:rsid w:val="006924F5"/>
    <w:rsid w:val="006928CA"/>
    <w:rsid w:val="00692D98"/>
    <w:rsid w:val="00693162"/>
    <w:rsid w:val="006942D7"/>
    <w:rsid w:val="006943CA"/>
    <w:rsid w:val="00694499"/>
    <w:rsid w:val="006949F6"/>
    <w:rsid w:val="00695170"/>
    <w:rsid w:val="00695AD6"/>
    <w:rsid w:val="00695F0E"/>
    <w:rsid w:val="006960EE"/>
    <w:rsid w:val="00696666"/>
    <w:rsid w:val="00696B42"/>
    <w:rsid w:val="0069761C"/>
    <w:rsid w:val="00697764"/>
    <w:rsid w:val="0069780C"/>
    <w:rsid w:val="006978DB"/>
    <w:rsid w:val="006A00D2"/>
    <w:rsid w:val="006A094A"/>
    <w:rsid w:val="006A0FFD"/>
    <w:rsid w:val="006A10E4"/>
    <w:rsid w:val="006A1DEC"/>
    <w:rsid w:val="006A1F18"/>
    <w:rsid w:val="006A2439"/>
    <w:rsid w:val="006A2648"/>
    <w:rsid w:val="006A265A"/>
    <w:rsid w:val="006A2ED3"/>
    <w:rsid w:val="006A32F9"/>
    <w:rsid w:val="006A349A"/>
    <w:rsid w:val="006A3BEA"/>
    <w:rsid w:val="006A3F55"/>
    <w:rsid w:val="006A3F85"/>
    <w:rsid w:val="006A428C"/>
    <w:rsid w:val="006A4412"/>
    <w:rsid w:val="006A482D"/>
    <w:rsid w:val="006A4AAA"/>
    <w:rsid w:val="006A4B9A"/>
    <w:rsid w:val="006A4D49"/>
    <w:rsid w:val="006A5168"/>
    <w:rsid w:val="006A5480"/>
    <w:rsid w:val="006A5510"/>
    <w:rsid w:val="006A5CBD"/>
    <w:rsid w:val="006A5D6D"/>
    <w:rsid w:val="006A6428"/>
    <w:rsid w:val="006A66E9"/>
    <w:rsid w:val="006A6A26"/>
    <w:rsid w:val="006A6C60"/>
    <w:rsid w:val="006A76D5"/>
    <w:rsid w:val="006A791A"/>
    <w:rsid w:val="006A7F19"/>
    <w:rsid w:val="006B02A3"/>
    <w:rsid w:val="006B09D2"/>
    <w:rsid w:val="006B0F7B"/>
    <w:rsid w:val="006B14F1"/>
    <w:rsid w:val="006B1C12"/>
    <w:rsid w:val="006B2009"/>
    <w:rsid w:val="006B214A"/>
    <w:rsid w:val="006B2195"/>
    <w:rsid w:val="006B241D"/>
    <w:rsid w:val="006B29C1"/>
    <w:rsid w:val="006B2EC8"/>
    <w:rsid w:val="006B3899"/>
    <w:rsid w:val="006B3F17"/>
    <w:rsid w:val="006B415D"/>
    <w:rsid w:val="006B44EE"/>
    <w:rsid w:val="006B4775"/>
    <w:rsid w:val="006B499C"/>
    <w:rsid w:val="006B4A89"/>
    <w:rsid w:val="006B4E67"/>
    <w:rsid w:val="006B4FE1"/>
    <w:rsid w:val="006B5530"/>
    <w:rsid w:val="006B55C5"/>
    <w:rsid w:val="006B562D"/>
    <w:rsid w:val="006B57C9"/>
    <w:rsid w:val="006B5857"/>
    <w:rsid w:val="006B5B8D"/>
    <w:rsid w:val="006B5BA7"/>
    <w:rsid w:val="006B5F0A"/>
    <w:rsid w:val="006B69F6"/>
    <w:rsid w:val="006B6A93"/>
    <w:rsid w:val="006B6C1D"/>
    <w:rsid w:val="006B6D83"/>
    <w:rsid w:val="006B6E18"/>
    <w:rsid w:val="006B7094"/>
    <w:rsid w:val="006B7196"/>
    <w:rsid w:val="006B74E8"/>
    <w:rsid w:val="006B7644"/>
    <w:rsid w:val="006B7C3E"/>
    <w:rsid w:val="006B7F9F"/>
    <w:rsid w:val="006C032A"/>
    <w:rsid w:val="006C0416"/>
    <w:rsid w:val="006C04C6"/>
    <w:rsid w:val="006C06CA"/>
    <w:rsid w:val="006C0C2F"/>
    <w:rsid w:val="006C131B"/>
    <w:rsid w:val="006C1780"/>
    <w:rsid w:val="006C1D4E"/>
    <w:rsid w:val="006C1EA5"/>
    <w:rsid w:val="006C1FAE"/>
    <w:rsid w:val="006C21A0"/>
    <w:rsid w:val="006C2661"/>
    <w:rsid w:val="006C2B2D"/>
    <w:rsid w:val="006C2FEB"/>
    <w:rsid w:val="006C300A"/>
    <w:rsid w:val="006C314E"/>
    <w:rsid w:val="006C31FB"/>
    <w:rsid w:val="006C32C4"/>
    <w:rsid w:val="006C38E8"/>
    <w:rsid w:val="006C426F"/>
    <w:rsid w:val="006C46D0"/>
    <w:rsid w:val="006C4905"/>
    <w:rsid w:val="006C54DD"/>
    <w:rsid w:val="006C568B"/>
    <w:rsid w:val="006C5779"/>
    <w:rsid w:val="006C6068"/>
    <w:rsid w:val="006C62E4"/>
    <w:rsid w:val="006C62FC"/>
    <w:rsid w:val="006C683A"/>
    <w:rsid w:val="006C6AA4"/>
    <w:rsid w:val="006C6EE6"/>
    <w:rsid w:val="006C7975"/>
    <w:rsid w:val="006C7D2E"/>
    <w:rsid w:val="006C7EAF"/>
    <w:rsid w:val="006C7F41"/>
    <w:rsid w:val="006C7FF8"/>
    <w:rsid w:val="006D076B"/>
    <w:rsid w:val="006D0B17"/>
    <w:rsid w:val="006D0F02"/>
    <w:rsid w:val="006D10EC"/>
    <w:rsid w:val="006D1241"/>
    <w:rsid w:val="006D190F"/>
    <w:rsid w:val="006D1A24"/>
    <w:rsid w:val="006D1E9A"/>
    <w:rsid w:val="006D21C9"/>
    <w:rsid w:val="006D231B"/>
    <w:rsid w:val="006D2B94"/>
    <w:rsid w:val="006D2C88"/>
    <w:rsid w:val="006D2DAA"/>
    <w:rsid w:val="006D309E"/>
    <w:rsid w:val="006D34E9"/>
    <w:rsid w:val="006D3C97"/>
    <w:rsid w:val="006D3F6A"/>
    <w:rsid w:val="006D428B"/>
    <w:rsid w:val="006D497C"/>
    <w:rsid w:val="006D4A21"/>
    <w:rsid w:val="006D4E53"/>
    <w:rsid w:val="006D519D"/>
    <w:rsid w:val="006D54CE"/>
    <w:rsid w:val="006D5748"/>
    <w:rsid w:val="006D5A55"/>
    <w:rsid w:val="006D5F0E"/>
    <w:rsid w:val="006D6012"/>
    <w:rsid w:val="006D666B"/>
    <w:rsid w:val="006D678C"/>
    <w:rsid w:val="006D6E61"/>
    <w:rsid w:val="006D74F2"/>
    <w:rsid w:val="006D78DA"/>
    <w:rsid w:val="006D7984"/>
    <w:rsid w:val="006D7B6A"/>
    <w:rsid w:val="006D7EEE"/>
    <w:rsid w:val="006E00D4"/>
    <w:rsid w:val="006E0209"/>
    <w:rsid w:val="006E08B5"/>
    <w:rsid w:val="006E0D80"/>
    <w:rsid w:val="006E0F17"/>
    <w:rsid w:val="006E175B"/>
    <w:rsid w:val="006E1816"/>
    <w:rsid w:val="006E191B"/>
    <w:rsid w:val="006E1CA3"/>
    <w:rsid w:val="006E1FB9"/>
    <w:rsid w:val="006E2216"/>
    <w:rsid w:val="006E22CD"/>
    <w:rsid w:val="006E255A"/>
    <w:rsid w:val="006E27F6"/>
    <w:rsid w:val="006E2885"/>
    <w:rsid w:val="006E2B87"/>
    <w:rsid w:val="006E2BE6"/>
    <w:rsid w:val="006E2C14"/>
    <w:rsid w:val="006E2C1E"/>
    <w:rsid w:val="006E3097"/>
    <w:rsid w:val="006E30D9"/>
    <w:rsid w:val="006E329C"/>
    <w:rsid w:val="006E388E"/>
    <w:rsid w:val="006E3B04"/>
    <w:rsid w:val="006E3BEA"/>
    <w:rsid w:val="006E46EC"/>
    <w:rsid w:val="006E4B69"/>
    <w:rsid w:val="006E4BC2"/>
    <w:rsid w:val="006E539D"/>
    <w:rsid w:val="006E5608"/>
    <w:rsid w:val="006E56B9"/>
    <w:rsid w:val="006E5BA6"/>
    <w:rsid w:val="006E5C38"/>
    <w:rsid w:val="006E6390"/>
    <w:rsid w:val="006E6599"/>
    <w:rsid w:val="006E67A0"/>
    <w:rsid w:val="006E67D9"/>
    <w:rsid w:val="006E7003"/>
    <w:rsid w:val="006E7146"/>
    <w:rsid w:val="006E7485"/>
    <w:rsid w:val="006E786F"/>
    <w:rsid w:val="006E7C44"/>
    <w:rsid w:val="006E7FBF"/>
    <w:rsid w:val="006E7FD5"/>
    <w:rsid w:val="006F00FE"/>
    <w:rsid w:val="006F0242"/>
    <w:rsid w:val="006F0305"/>
    <w:rsid w:val="006F07AF"/>
    <w:rsid w:val="006F0A84"/>
    <w:rsid w:val="006F13B5"/>
    <w:rsid w:val="006F1DB3"/>
    <w:rsid w:val="006F2093"/>
    <w:rsid w:val="006F2609"/>
    <w:rsid w:val="006F2903"/>
    <w:rsid w:val="006F2AB3"/>
    <w:rsid w:val="006F2CFA"/>
    <w:rsid w:val="006F31BE"/>
    <w:rsid w:val="006F31D9"/>
    <w:rsid w:val="006F38B8"/>
    <w:rsid w:val="006F3D6E"/>
    <w:rsid w:val="006F3F7E"/>
    <w:rsid w:val="006F40BF"/>
    <w:rsid w:val="006F4154"/>
    <w:rsid w:val="006F415E"/>
    <w:rsid w:val="006F43CB"/>
    <w:rsid w:val="006F4546"/>
    <w:rsid w:val="006F4880"/>
    <w:rsid w:val="006F497A"/>
    <w:rsid w:val="006F519B"/>
    <w:rsid w:val="006F5344"/>
    <w:rsid w:val="006F5D2B"/>
    <w:rsid w:val="006F60EF"/>
    <w:rsid w:val="006F6438"/>
    <w:rsid w:val="006F6837"/>
    <w:rsid w:val="006F6CE9"/>
    <w:rsid w:val="006F748C"/>
    <w:rsid w:val="006F7994"/>
    <w:rsid w:val="006F7B98"/>
    <w:rsid w:val="006F7E6E"/>
    <w:rsid w:val="007003E8"/>
    <w:rsid w:val="00700951"/>
    <w:rsid w:val="00700F98"/>
    <w:rsid w:val="00700FF8"/>
    <w:rsid w:val="007010D2"/>
    <w:rsid w:val="007010E2"/>
    <w:rsid w:val="007012A0"/>
    <w:rsid w:val="00701C72"/>
    <w:rsid w:val="00702298"/>
    <w:rsid w:val="00702422"/>
    <w:rsid w:val="0070248E"/>
    <w:rsid w:val="0070279F"/>
    <w:rsid w:val="00702832"/>
    <w:rsid w:val="0070289D"/>
    <w:rsid w:val="00702D99"/>
    <w:rsid w:val="00702DBA"/>
    <w:rsid w:val="00702F72"/>
    <w:rsid w:val="00703444"/>
    <w:rsid w:val="00703668"/>
    <w:rsid w:val="007037E2"/>
    <w:rsid w:val="00703B9E"/>
    <w:rsid w:val="00703EAC"/>
    <w:rsid w:val="00704040"/>
    <w:rsid w:val="00704043"/>
    <w:rsid w:val="007042ED"/>
    <w:rsid w:val="007047C9"/>
    <w:rsid w:val="007049AE"/>
    <w:rsid w:val="00704CBE"/>
    <w:rsid w:val="00704E70"/>
    <w:rsid w:val="00705BE4"/>
    <w:rsid w:val="00705C1C"/>
    <w:rsid w:val="00705C22"/>
    <w:rsid w:val="00705DDE"/>
    <w:rsid w:val="0070631A"/>
    <w:rsid w:val="00706AD7"/>
    <w:rsid w:val="00706D5A"/>
    <w:rsid w:val="00710364"/>
    <w:rsid w:val="00710424"/>
    <w:rsid w:val="007104C0"/>
    <w:rsid w:val="00710D0C"/>
    <w:rsid w:val="00710F48"/>
    <w:rsid w:val="00711104"/>
    <w:rsid w:val="00711286"/>
    <w:rsid w:val="00711413"/>
    <w:rsid w:val="0071147F"/>
    <w:rsid w:val="007114F1"/>
    <w:rsid w:val="00711AAA"/>
    <w:rsid w:val="00711EA8"/>
    <w:rsid w:val="00711F4D"/>
    <w:rsid w:val="00711FBC"/>
    <w:rsid w:val="007121C3"/>
    <w:rsid w:val="00712AD7"/>
    <w:rsid w:val="00712B64"/>
    <w:rsid w:val="00712EA6"/>
    <w:rsid w:val="007136CE"/>
    <w:rsid w:val="0071388A"/>
    <w:rsid w:val="007138EB"/>
    <w:rsid w:val="007138EE"/>
    <w:rsid w:val="00713AF5"/>
    <w:rsid w:val="00713DDE"/>
    <w:rsid w:val="00713E0C"/>
    <w:rsid w:val="00713EC5"/>
    <w:rsid w:val="0071408F"/>
    <w:rsid w:val="00714112"/>
    <w:rsid w:val="00714479"/>
    <w:rsid w:val="007144AB"/>
    <w:rsid w:val="007146B4"/>
    <w:rsid w:val="00714792"/>
    <w:rsid w:val="00714B82"/>
    <w:rsid w:val="00714DD6"/>
    <w:rsid w:val="007152C7"/>
    <w:rsid w:val="007153D2"/>
    <w:rsid w:val="0071555C"/>
    <w:rsid w:val="007158A5"/>
    <w:rsid w:val="00715B75"/>
    <w:rsid w:val="00716233"/>
    <w:rsid w:val="007162E0"/>
    <w:rsid w:val="007168C0"/>
    <w:rsid w:val="00716B85"/>
    <w:rsid w:val="007177D1"/>
    <w:rsid w:val="00717BAF"/>
    <w:rsid w:val="00717D2B"/>
    <w:rsid w:val="00717D52"/>
    <w:rsid w:val="00717E9C"/>
    <w:rsid w:val="0072062A"/>
    <w:rsid w:val="00720721"/>
    <w:rsid w:val="007207B6"/>
    <w:rsid w:val="007207F8"/>
    <w:rsid w:val="007211C9"/>
    <w:rsid w:val="0072121B"/>
    <w:rsid w:val="0072124A"/>
    <w:rsid w:val="0072126B"/>
    <w:rsid w:val="00721687"/>
    <w:rsid w:val="007216C9"/>
    <w:rsid w:val="0072172B"/>
    <w:rsid w:val="00721D40"/>
    <w:rsid w:val="00721D4F"/>
    <w:rsid w:val="00721DBB"/>
    <w:rsid w:val="00722141"/>
    <w:rsid w:val="007221DA"/>
    <w:rsid w:val="0072261E"/>
    <w:rsid w:val="007227F1"/>
    <w:rsid w:val="00722E58"/>
    <w:rsid w:val="00723310"/>
    <w:rsid w:val="0072334B"/>
    <w:rsid w:val="0072342A"/>
    <w:rsid w:val="007234DD"/>
    <w:rsid w:val="00723672"/>
    <w:rsid w:val="007236A6"/>
    <w:rsid w:val="00723880"/>
    <w:rsid w:val="00723BF0"/>
    <w:rsid w:val="00723E56"/>
    <w:rsid w:val="0072430D"/>
    <w:rsid w:val="007243F2"/>
    <w:rsid w:val="0072459E"/>
    <w:rsid w:val="00724AEE"/>
    <w:rsid w:val="00724C6D"/>
    <w:rsid w:val="00724FE7"/>
    <w:rsid w:val="00725160"/>
    <w:rsid w:val="00725161"/>
    <w:rsid w:val="0072528E"/>
    <w:rsid w:val="0072586F"/>
    <w:rsid w:val="00725D40"/>
    <w:rsid w:val="00726095"/>
    <w:rsid w:val="007260E5"/>
    <w:rsid w:val="00726114"/>
    <w:rsid w:val="0072639D"/>
    <w:rsid w:val="00726405"/>
    <w:rsid w:val="00726B60"/>
    <w:rsid w:val="0072717C"/>
    <w:rsid w:val="0072729E"/>
    <w:rsid w:val="0072735B"/>
    <w:rsid w:val="00727A0F"/>
    <w:rsid w:val="00727E54"/>
    <w:rsid w:val="007304EB"/>
    <w:rsid w:val="00730949"/>
    <w:rsid w:val="00730AE8"/>
    <w:rsid w:val="00730C74"/>
    <w:rsid w:val="007312B5"/>
    <w:rsid w:val="00731638"/>
    <w:rsid w:val="007318E2"/>
    <w:rsid w:val="00731E93"/>
    <w:rsid w:val="00732B3F"/>
    <w:rsid w:val="00733110"/>
    <w:rsid w:val="007334A2"/>
    <w:rsid w:val="007338C9"/>
    <w:rsid w:val="00733BE0"/>
    <w:rsid w:val="00733FDF"/>
    <w:rsid w:val="00734522"/>
    <w:rsid w:val="007345FF"/>
    <w:rsid w:val="00735105"/>
    <w:rsid w:val="007351E9"/>
    <w:rsid w:val="00735519"/>
    <w:rsid w:val="00735677"/>
    <w:rsid w:val="0073573D"/>
    <w:rsid w:val="007357BC"/>
    <w:rsid w:val="007364F7"/>
    <w:rsid w:val="00736846"/>
    <w:rsid w:val="00736A8E"/>
    <w:rsid w:val="00736C64"/>
    <w:rsid w:val="00737DF8"/>
    <w:rsid w:val="007402DB"/>
    <w:rsid w:val="00740990"/>
    <w:rsid w:val="00740B83"/>
    <w:rsid w:val="00740C9E"/>
    <w:rsid w:val="00740D9E"/>
    <w:rsid w:val="007410CD"/>
    <w:rsid w:val="00741277"/>
    <w:rsid w:val="00741361"/>
    <w:rsid w:val="00741470"/>
    <w:rsid w:val="00741578"/>
    <w:rsid w:val="00741624"/>
    <w:rsid w:val="00741701"/>
    <w:rsid w:val="00741748"/>
    <w:rsid w:val="007417B4"/>
    <w:rsid w:val="00741AFC"/>
    <w:rsid w:val="00741D56"/>
    <w:rsid w:val="00742301"/>
    <w:rsid w:val="00742419"/>
    <w:rsid w:val="00742DE1"/>
    <w:rsid w:val="00742FBF"/>
    <w:rsid w:val="00743521"/>
    <w:rsid w:val="00743A56"/>
    <w:rsid w:val="007440A0"/>
    <w:rsid w:val="00744293"/>
    <w:rsid w:val="00744857"/>
    <w:rsid w:val="0074490F"/>
    <w:rsid w:val="00744A0D"/>
    <w:rsid w:val="00744F1A"/>
    <w:rsid w:val="007451B6"/>
    <w:rsid w:val="007453F8"/>
    <w:rsid w:val="007457A7"/>
    <w:rsid w:val="0074583C"/>
    <w:rsid w:val="00745AFC"/>
    <w:rsid w:val="00745DD1"/>
    <w:rsid w:val="007465BA"/>
    <w:rsid w:val="007467CD"/>
    <w:rsid w:val="00746871"/>
    <w:rsid w:val="00746A33"/>
    <w:rsid w:val="00746BA6"/>
    <w:rsid w:val="00746C3A"/>
    <w:rsid w:val="007470C2"/>
    <w:rsid w:val="00747641"/>
    <w:rsid w:val="0074777E"/>
    <w:rsid w:val="00750118"/>
    <w:rsid w:val="00750392"/>
    <w:rsid w:val="00750395"/>
    <w:rsid w:val="007505DA"/>
    <w:rsid w:val="00750C66"/>
    <w:rsid w:val="00751036"/>
    <w:rsid w:val="007518A7"/>
    <w:rsid w:val="00751F85"/>
    <w:rsid w:val="0075203A"/>
    <w:rsid w:val="00752317"/>
    <w:rsid w:val="007527AE"/>
    <w:rsid w:val="00752A8B"/>
    <w:rsid w:val="00752B9E"/>
    <w:rsid w:val="007530C8"/>
    <w:rsid w:val="007533C7"/>
    <w:rsid w:val="0075345A"/>
    <w:rsid w:val="00753EAA"/>
    <w:rsid w:val="00753EB6"/>
    <w:rsid w:val="00754395"/>
    <w:rsid w:val="00754577"/>
    <w:rsid w:val="007546D4"/>
    <w:rsid w:val="007548B6"/>
    <w:rsid w:val="00754E4B"/>
    <w:rsid w:val="00754F76"/>
    <w:rsid w:val="00755EC2"/>
    <w:rsid w:val="00755EE5"/>
    <w:rsid w:val="00756840"/>
    <w:rsid w:val="00756A6D"/>
    <w:rsid w:val="00757392"/>
    <w:rsid w:val="00757B5C"/>
    <w:rsid w:val="00757D93"/>
    <w:rsid w:val="00757FB1"/>
    <w:rsid w:val="007601C6"/>
    <w:rsid w:val="00760635"/>
    <w:rsid w:val="00760DB4"/>
    <w:rsid w:val="007610F6"/>
    <w:rsid w:val="007612C4"/>
    <w:rsid w:val="00761481"/>
    <w:rsid w:val="0076170F"/>
    <w:rsid w:val="00761C96"/>
    <w:rsid w:val="0076204C"/>
    <w:rsid w:val="0076207E"/>
    <w:rsid w:val="00762703"/>
    <w:rsid w:val="00762B63"/>
    <w:rsid w:val="00762BF8"/>
    <w:rsid w:val="00762FBB"/>
    <w:rsid w:val="00763038"/>
    <w:rsid w:val="00763065"/>
    <w:rsid w:val="00763AD0"/>
    <w:rsid w:val="0076407B"/>
    <w:rsid w:val="00764399"/>
    <w:rsid w:val="007646AB"/>
    <w:rsid w:val="007647A6"/>
    <w:rsid w:val="00764A35"/>
    <w:rsid w:val="00764BCB"/>
    <w:rsid w:val="00764BD8"/>
    <w:rsid w:val="00764DAD"/>
    <w:rsid w:val="00765053"/>
    <w:rsid w:val="0076523A"/>
    <w:rsid w:val="007656E4"/>
    <w:rsid w:val="00765915"/>
    <w:rsid w:val="00765B95"/>
    <w:rsid w:val="00765E1C"/>
    <w:rsid w:val="00766415"/>
    <w:rsid w:val="007665A8"/>
    <w:rsid w:val="007666B8"/>
    <w:rsid w:val="00766A86"/>
    <w:rsid w:val="00766DE1"/>
    <w:rsid w:val="007673D2"/>
    <w:rsid w:val="007673FC"/>
    <w:rsid w:val="007713FA"/>
    <w:rsid w:val="007716F9"/>
    <w:rsid w:val="0077191B"/>
    <w:rsid w:val="00771AFA"/>
    <w:rsid w:val="00771E2F"/>
    <w:rsid w:val="00771FEF"/>
    <w:rsid w:val="0077247F"/>
    <w:rsid w:val="007726FA"/>
    <w:rsid w:val="00772918"/>
    <w:rsid w:val="00772AE0"/>
    <w:rsid w:val="00772D21"/>
    <w:rsid w:val="00773293"/>
    <w:rsid w:val="00773446"/>
    <w:rsid w:val="007735EE"/>
    <w:rsid w:val="00773772"/>
    <w:rsid w:val="0077391C"/>
    <w:rsid w:val="00773929"/>
    <w:rsid w:val="00773C08"/>
    <w:rsid w:val="00774213"/>
    <w:rsid w:val="00774253"/>
    <w:rsid w:val="00774456"/>
    <w:rsid w:val="00774692"/>
    <w:rsid w:val="0077495E"/>
    <w:rsid w:val="00774A3D"/>
    <w:rsid w:val="00774BBB"/>
    <w:rsid w:val="0077505C"/>
    <w:rsid w:val="00775279"/>
    <w:rsid w:val="007753AE"/>
    <w:rsid w:val="00776A0F"/>
    <w:rsid w:val="0077711A"/>
    <w:rsid w:val="007774A4"/>
    <w:rsid w:val="00777C06"/>
    <w:rsid w:val="00777C97"/>
    <w:rsid w:val="00777E84"/>
    <w:rsid w:val="00780192"/>
    <w:rsid w:val="0078082F"/>
    <w:rsid w:val="007808AE"/>
    <w:rsid w:val="00780C4B"/>
    <w:rsid w:val="00780EA3"/>
    <w:rsid w:val="00781543"/>
    <w:rsid w:val="0078198E"/>
    <w:rsid w:val="007819A0"/>
    <w:rsid w:val="00781CAA"/>
    <w:rsid w:val="00781CBE"/>
    <w:rsid w:val="00781DF4"/>
    <w:rsid w:val="00781F28"/>
    <w:rsid w:val="00782057"/>
    <w:rsid w:val="00782271"/>
    <w:rsid w:val="00782644"/>
    <w:rsid w:val="00782839"/>
    <w:rsid w:val="00782BEE"/>
    <w:rsid w:val="00782DB2"/>
    <w:rsid w:val="00783167"/>
    <w:rsid w:val="00783177"/>
    <w:rsid w:val="0078346B"/>
    <w:rsid w:val="007834BF"/>
    <w:rsid w:val="007836EE"/>
    <w:rsid w:val="0078372B"/>
    <w:rsid w:val="00783976"/>
    <w:rsid w:val="00784065"/>
    <w:rsid w:val="00784613"/>
    <w:rsid w:val="007849F4"/>
    <w:rsid w:val="00784AE7"/>
    <w:rsid w:val="00784CB0"/>
    <w:rsid w:val="0078523D"/>
    <w:rsid w:val="007852B8"/>
    <w:rsid w:val="007856FE"/>
    <w:rsid w:val="007858D0"/>
    <w:rsid w:val="00785CEE"/>
    <w:rsid w:val="00785D55"/>
    <w:rsid w:val="00785DCD"/>
    <w:rsid w:val="00785EB3"/>
    <w:rsid w:val="00785F5D"/>
    <w:rsid w:val="007865C8"/>
    <w:rsid w:val="00786785"/>
    <w:rsid w:val="00786BAB"/>
    <w:rsid w:val="00786F7D"/>
    <w:rsid w:val="007870CA"/>
    <w:rsid w:val="00787386"/>
    <w:rsid w:val="007873D9"/>
    <w:rsid w:val="00787575"/>
    <w:rsid w:val="00787AAF"/>
    <w:rsid w:val="0079001C"/>
    <w:rsid w:val="007900C2"/>
    <w:rsid w:val="00790163"/>
    <w:rsid w:val="0079045D"/>
    <w:rsid w:val="0079059A"/>
    <w:rsid w:val="00790A54"/>
    <w:rsid w:val="00790A91"/>
    <w:rsid w:val="00791C5B"/>
    <w:rsid w:val="00791ED9"/>
    <w:rsid w:val="00792220"/>
    <w:rsid w:val="0079224A"/>
    <w:rsid w:val="007925F4"/>
    <w:rsid w:val="00792919"/>
    <w:rsid w:val="00792CBC"/>
    <w:rsid w:val="00792DA8"/>
    <w:rsid w:val="00793366"/>
    <w:rsid w:val="00793439"/>
    <w:rsid w:val="00793559"/>
    <w:rsid w:val="007936B9"/>
    <w:rsid w:val="00793F6D"/>
    <w:rsid w:val="0079424E"/>
    <w:rsid w:val="00794DF8"/>
    <w:rsid w:val="00794E20"/>
    <w:rsid w:val="007951A3"/>
    <w:rsid w:val="007953E3"/>
    <w:rsid w:val="007956F9"/>
    <w:rsid w:val="00795A2F"/>
    <w:rsid w:val="00795F24"/>
    <w:rsid w:val="007960AD"/>
    <w:rsid w:val="00796864"/>
    <w:rsid w:val="00796902"/>
    <w:rsid w:val="00796CC7"/>
    <w:rsid w:val="00796E6A"/>
    <w:rsid w:val="00796FB7"/>
    <w:rsid w:val="0079726A"/>
    <w:rsid w:val="00797712"/>
    <w:rsid w:val="00797768"/>
    <w:rsid w:val="007977ED"/>
    <w:rsid w:val="00797869"/>
    <w:rsid w:val="007979CD"/>
    <w:rsid w:val="00797CA2"/>
    <w:rsid w:val="00797EE5"/>
    <w:rsid w:val="007A03F6"/>
    <w:rsid w:val="007A04C2"/>
    <w:rsid w:val="007A07EF"/>
    <w:rsid w:val="007A08AB"/>
    <w:rsid w:val="007A0B16"/>
    <w:rsid w:val="007A0B68"/>
    <w:rsid w:val="007A1056"/>
    <w:rsid w:val="007A10D8"/>
    <w:rsid w:val="007A1358"/>
    <w:rsid w:val="007A1543"/>
    <w:rsid w:val="007A1C81"/>
    <w:rsid w:val="007A1CC6"/>
    <w:rsid w:val="007A1D54"/>
    <w:rsid w:val="007A1DBC"/>
    <w:rsid w:val="007A22E8"/>
    <w:rsid w:val="007A2303"/>
    <w:rsid w:val="007A23FD"/>
    <w:rsid w:val="007A24A0"/>
    <w:rsid w:val="007A2B5E"/>
    <w:rsid w:val="007A31F8"/>
    <w:rsid w:val="007A3D01"/>
    <w:rsid w:val="007A3F74"/>
    <w:rsid w:val="007A3F88"/>
    <w:rsid w:val="007A43D1"/>
    <w:rsid w:val="007A4B03"/>
    <w:rsid w:val="007A4D47"/>
    <w:rsid w:val="007A4DC1"/>
    <w:rsid w:val="007A560B"/>
    <w:rsid w:val="007A5A1E"/>
    <w:rsid w:val="007A5AAE"/>
    <w:rsid w:val="007A5C66"/>
    <w:rsid w:val="007A5D61"/>
    <w:rsid w:val="007A6A54"/>
    <w:rsid w:val="007A705F"/>
    <w:rsid w:val="007A712E"/>
    <w:rsid w:val="007A7203"/>
    <w:rsid w:val="007A7667"/>
    <w:rsid w:val="007A76BC"/>
    <w:rsid w:val="007A781C"/>
    <w:rsid w:val="007A7A45"/>
    <w:rsid w:val="007B0004"/>
    <w:rsid w:val="007B01BF"/>
    <w:rsid w:val="007B06C7"/>
    <w:rsid w:val="007B0B06"/>
    <w:rsid w:val="007B0F9F"/>
    <w:rsid w:val="007B1706"/>
    <w:rsid w:val="007B1D74"/>
    <w:rsid w:val="007B1F92"/>
    <w:rsid w:val="007B245D"/>
    <w:rsid w:val="007B265E"/>
    <w:rsid w:val="007B2934"/>
    <w:rsid w:val="007B2A38"/>
    <w:rsid w:val="007B2AC2"/>
    <w:rsid w:val="007B2E19"/>
    <w:rsid w:val="007B2ED6"/>
    <w:rsid w:val="007B2F93"/>
    <w:rsid w:val="007B30EE"/>
    <w:rsid w:val="007B3606"/>
    <w:rsid w:val="007B391F"/>
    <w:rsid w:val="007B3D67"/>
    <w:rsid w:val="007B453C"/>
    <w:rsid w:val="007B4B9C"/>
    <w:rsid w:val="007B4E31"/>
    <w:rsid w:val="007B4EE2"/>
    <w:rsid w:val="007B4F3B"/>
    <w:rsid w:val="007B50CA"/>
    <w:rsid w:val="007B5749"/>
    <w:rsid w:val="007B5784"/>
    <w:rsid w:val="007B59BC"/>
    <w:rsid w:val="007B600B"/>
    <w:rsid w:val="007B609E"/>
    <w:rsid w:val="007B60E5"/>
    <w:rsid w:val="007B6518"/>
    <w:rsid w:val="007B69B1"/>
    <w:rsid w:val="007B69E3"/>
    <w:rsid w:val="007B6B8F"/>
    <w:rsid w:val="007B6F76"/>
    <w:rsid w:val="007B7019"/>
    <w:rsid w:val="007B7A25"/>
    <w:rsid w:val="007B7B36"/>
    <w:rsid w:val="007B7C86"/>
    <w:rsid w:val="007B7EF1"/>
    <w:rsid w:val="007C0635"/>
    <w:rsid w:val="007C0A26"/>
    <w:rsid w:val="007C0C4E"/>
    <w:rsid w:val="007C0C57"/>
    <w:rsid w:val="007C0D55"/>
    <w:rsid w:val="007C128A"/>
    <w:rsid w:val="007C1445"/>
    <w:rsid w:val="007C1E20"/>
    <w:rsid w:val="007C2790"/>
    <w:rsid w:val="007C28AA"/>
    <w:rsid w:val="007C2BD2"/>
    <w:rsid w:val="007C2C18"/>
    <w:rsid w:val="007C2C38"/>
    <w:rsid w:val="007C2D4C"/>
    <w:rsid w:val="007C3475"/>
    <w:rsid w:val="007C34BE"/>
    <w:rsid w:val="007C3595"/>
    <w:rsid w:val="007C37E0"/>
    <w:rsid w:val="007C3A40"/>
    <w:rsid w:val="007C4320"/>
    <w:rsid w:val="007C4406"/>
    <w:rsid w:val="007C4439"/>
    <w:rsid w:val="007C44D2"/>
    <w:rsid w:val="007C4858"/>
    <w:rsid w:val="007C5072"/>
    <w:rsid w:val="007C56FB"/>
    <w:rsid w:val="007C582D"/>
    <w:rsid w:val="007C5EC4"/>
    <w:rsid w:val="007C6233"/>
    <w:rsid w:val="007C6318"/>
    <w:rsid w:val="007C641B"/>
    <w:rsid w:val="007C6475"/>
    <w:rsid w:val="007C663B"/>
    <w:rsid w:val="007C67E9"/>
    <w:rsid w:val="007C691F"/>
    <w:rsid w:val="007C6BFA"/>
    <w:rsid w:val="007C6D78"/>
    <w:rsid w:val="007C6EAB"/>
    <w:rsid w:val="007C6FB0"/>
    <w:rsid w:val="007C787C"/>
    <w:rsid w:val="007C7C09"/>
    <w:rsid w:val="007C7E30"/>
    <w:rsid w:val="007D089B"/>
    <w:rsid w:val="007D0BBC"/>
    <w:rsid w:val="007D0E05"/>
    <w:rsid w:val="007D0E95"/>
    <w:rsid w:val="007D0FDC"/>
    <w:rsid w:val="007D14D9"/>
    <w:rsid w:val="007D14F8"/>
    <w:rsid w:val="007D1D66"/>
    <w:rsid w:val="007D236F"/>
    <w:rsid w:val="007D28AE"/>
    <w:rsid w:val="007D28CF"/>
    <w:rsid w:val="007D291B"/>
    <w:rsid w:val="007D2B8E"/>
    <w:rsid w:val="007D2C6C"/>
    <w:rsid w:val="007D2F84"/>
    <w:rsid w:val="007D3629"/>
    <w:rsid w:val="007D3935"/>
    <w:rsid w:val="007D418A"/>
    <w:rsid w:val="007D44F6"/>
    <w:rsid w:val="007D4570"/>
    <w:rsid w:val="007D4840"/>
    <w:rsid w:val="007D4DB3"/>
    <w:rsid w:val="007D5004"/>
    <w:rsid w:val="007D5625"/>
    <w:rsid w:val="007D5833"/>
    <w:rsid w:val="007D59B0"/>
    <w:rsid w:val="007D6E86"/>
    <w:rsid w:val="007D74D8"/>
    <w:rsid w:val="007D75DA"/>
    <w:rsid w:val="007D77BF"/>
    <w:rsid w:val="007D7A3C"/>
    <w:rsid w:val="007D7BA8"/>
    <w:rsid w:val="007E0300"/>
    <w:rsid w:val="007E0426"/>
    <w:rsid w:val="007E0ABE"/>
    <w:rsid w:val="007E0AF5"/>
    <w:rsid w:val="007E0B3B"/>
    <w:rsid w:val="007E0BAD"/>
    <w:rsid w:val="007E0D15"/>
    <w:rsid w:val="007E0F41"/>
    <w:rsid w:val="007E0FD6"/>
    <w:rsid w:val="007E1100"/>
    <w:rsid w:val="007E125B"/>
    <w:rsid w:val="007E1276"/>
    <w:rsid w:val="007E16C2"/>
    <w:rsid w:val="007E18B7"/>
    <w:rsid w:val="007E1D35"/>
    <w:rsid w:val="007E1D63"/>
    <w:rsid w:val="007E1D82"/>
    <w:rsid w:val="007E1DF2"/>
    <w:rsid w:val="007E2252"/>
    <w:rsid w:val="007E23A9"/>
    <w:rsid w:val="007E24E3"/>
    <w:rsid w:val="007E25AF"/>
    <w:rsid w:val="007E2612"/>
    <w:rsid w:val="007E28B5"/>
    <w:rsid w:val="007E2951"/>
    <w:rsid w:val="007E29C5"/>
    <w:rsid w:val="007E2C67"/>
    <w:rsid w:val="007E34D7"/>
    <w:rsid w:val="007E378F"/>
    <w:rsid w:val="007E393B"/>
    <w:rsid w:val="007E3D31"/>
    <w:rsid w:val="007E3D4B"/>
    <w:rsid w:val="007E454B"/>
    <w:rsid w:val="007E4C87"/>
    <w:rsid w:val="007E4D1C"/>
    <w:rsid w:val="007E4ECF"/>
    <w:rsid w:val="007E5535"/>
    <w:rsid w:val="007E5568"/>
    <w:rsid w:val="007E61CB"/>
    <w:rsid w:val="007E63D6"/>
    <w:rsid w:val="007E65B3"/>
    <w:rsid w:val="007E6698"/>
    <w:rsid w:val="007E6A46"/>
    <w:rsid w:val="007E6D73"/>
    <w:rsid w:val="007E6E32"/>
    <w:rsid w:val="007E7A26"/>
    <w:rsid w:val="007E7FF6"/>
    <w:rsid w:val="007F0264"/>
    <w:rsid w:val="007F046B"/>
    <w:rsid w:val="007F0945"/>
    <w:rsid w:val="007F0C50"/>
    <w:rsid w:val="007F1776"/>
    <w:rsid w:val="007F1CDA"/>
    <w:rsid w:val="007F1EA0"/>
    <w:rsid w:val="007F21DF"/>
    <w:rsid w:val="007F24AC"/>
    <w:rsid w:val="007F2D3B"/>
    <w:rsid w:val="007F309A"/>
    <w:rsid w:val="007F33C5"/>
    <w:rsid w:val="007F3A30"/>
    <w:rsid w:val="007F3F04"/>
    <w:rsid w:val="007F3F5F"/>
    <w:rsid w:val="007F46B7"/>
    <w:rsid w:val="007F49D2"/>
    <w:rsid w:val="007F4F0D"/>
    <w:rsid w:val="007F5057"/>
    <w:rsid w:val="007F5108"/>
    <w:rsid w:val="007F5321"/>
    <w:rsid w:val="007F556C"/>
    <w:rsid w:val="007F5CDD"/>
    <w:rsid w:val="007F5DD9"/>
    <w:rsid w:val="007F6853"/>
    <w:rsid w:val="007F69FC"/>
    <w:rsid w:val="007F7644"/>
    <w:rsid w:val="007F766A"/>
    <w:rsid w:val="007F79EA"/>
    <w:rsid w:val="00800359"/>
    <w:rsid w:val="00800E21"/>
    <w:rsid w:val="00800F6A"/>
    <w:rsid w:val="008012F3"/>
    <w:rsid w:val="00801A49"/>
    <w:rsid w:val="00801BB5"/>
    <w:rsid w:val="00801C67"/>
    <w:rsid w:val="00801D2D"/>
    <w:rsid w:val="00801F7A"/>
    <w:rsid w:val="00802020"/>
    <w:rsid w:val="00802112"/>
    <w:rsid w:val="008024FD"/>
    <w:rsid w:val="008029E6"/>
    <w:rsid w:val="00802FDA"/>
    <w:rsid w:val="008030A0"/>
    <w:rsid w:val="0080344A"/>
    <w:rsid w:val="008041A7"/>
    <w:rsid w:val="008043FF"/>
    <w:rsid w:val="0080471D"/>
    <w:rsid w:val="00804870"/>
    <w:rsid w:val="0080491E"/>
    <w:rsid w:val="00805037"/>
    <w:rsid w:val="00805575"/>
    <w:rsid w:val="008055FD"/>
    <w:rsid w:val="00805E50"/>
    <w:rsid w:val="00805E85"/>
    <w:rsid w:val="00805F38"/>
    <w:rsid w:val="0080638C"/>
    <w:rsid w:val="00806A8D"/>
    <w:rsid w:val="00806C64"/>
    <w:rsid w:val="00807288"/>
    <w:rsid w:val="00807A3D"/>
    <w:rsid w:val="00807B46"/>
    <w:rsid w:val="00807F33"/>
    <w:rsid w:val="0081060A"/>
    <w:rsid w:val="00810EF8"/>
    <w:rsid w:val="008113FF"/>
    <w:rsid w:val="00811685"/>
    <w:rsid w:val="00811809"/>
    <w:rsid w:val="00811F98"/>
    <w:rsid w:val="0081204B"/>
    <w:rsid w:val="008120CC"/>
    <w:rsid w:val="008121C6"/>
    <w:rsid w:val="008125C5"/>
    <w:rsid w:val="008126E1"/>
    <w:rsid w:val="00812E83"/>
    <w:rsid w:val="00812E9D"/>
    <w:rsid w:val="008130D8"/>
    <w:rsid w:val="00813356"/>
    <w:rsid w:val="0081338D"/>
    <w:rsid w:val="008134D1"/>
    <w:rsid w:val="0081357B"/>
    <w:rsid w:val="008144B9"/>
    <w:rsid w:val="008144BF"/>
    <w:rsid w:val="00814871"/>
    <w:rsid w:val="00814F92"/>
    <w:rsid w:val="008156EB"/>
    <w:rsid w:val="00816AFB"/>
    <w:rsid w:val="00816B45"/>
    <w:rsid w:val="00816C0F"/>
    <w:rsid w:val="00816D74"/>
    <w:rsid w:val="00816E9C"/>
    <w:rsid w:val="00816F60"/>
    <w:rsid w:val="00816F68"/>
    <w:rsid w:val="0081734F"/>
    <w:rsid w:val="0081753C"/>
    <w:rsid w:val="0081769D"/>
    <w:rsid w:val="00817E47"/>
    <w:rsid w:val="00817F53"/>
    <w:rsid w:val="008200AC"/>
    <w:rsid w:val="0082064E"/>
    <w:rsid w:val="00820998"/>
    <w:rsid w:val="00820B3D"/>
    <w:rsid w:val="00820B7A"/>
    <w:rsid w:val="008210A3"/>
    <w:rsid w:val="008210C8"/>
    <w:rsid w:val="00821363"/>
    <w:rsid w:val="00821A76"/>
    <w:rsid w:val="00821AE3"/>
    <w:rsid w:val="00821C13"/>
    <w:rsid w:val="00822065"/>
    <w:rsid w:val="0082208E"/>
    <w:rsid w:val="0082209E"/>
    <w:rsid w:val="0082236A"/>
    <w:rsid w:val="008224A8"/>
    <w:rsid w:val="008225F4"/>
    <w:rsid w:val="00823054"/>
    <w:rsid w:val="008230FC"/>
    <w:rsid w:val="008232EB"/>
    <w:rsid w:val="00823846"/>
    <w:rsid w:val="00823BF6"/>
    <w:rsid w:val="00823BF8"/>
    <w:rsid w:val="00823C26"/>
    <w:rsid w:val="00823CDE"/>
    <w:rsid w:val="00823EF9"/>
    <w:rsid w:val="00823FA0"/>
    <w:rsid w:val="008242BC"/>
    <w:rsid w:val="008244D8"/>
    <w:rsid w:val="00824819"/>
    <w:rsid w:val="00824877"/>
    <w:rsid w:val="008248C3"/>
    <w:rsid w:val="008248E6"/>
    <w:rsid w:val="00824915"/>
    <w:rsid w:val="00824F43"/>
    <w:rsid w:val="00824F78"/>
    <w:rsid w:val="00825AF8"/>
    <w:rsid w:val="00825CAC"/>
    <w:rsid w:val="00825DCA"/>
    <w:rsid w:val="00826001"/>
    <w:rsid w:val="008262BD"/>
    <w:rsid w:val="008268A8"/>
    <w:rsid w:val="00826BC3"/>
    <w:rsid w:val="00826EC1"/>
    <w:rsid w:val="008271B9"/>
    <w:rsid w:val="008274DD"/>
    <w:rsid w:val="0082752D"/>
    <w:rsid w:val="00827790"/>
    <w:rsid w:val="0082791D"/>
    <w:rsid w:val="00827F95"/>
    <w:rsid w:val="00830230"/>
    <w:rsid w:val="008304B1"/>
    <w:rsid w:val="0083059C"/>
    <w:rsid w:val="008308DB"/>
    <w:rsid w:val="00830975"/>
    <w:rsid w:val="00830AFD"/>
    <w:rsid w:val="00830C92"/>
    <w:rsid w:val="00831312"/>
    <w:rsid w:val="008313EC"/>
    <w:rsid w:val="0083144A"/>
    <w:rsid w:val="00831568"/>
    <w:rsid w:val="008316E6"/>
    <w:rsid w:val="008318CB"/>
    <w:rsid w:val="00831A0B"/>
    <w:rsid w:val="00831AA7"/>
    <w:rsid w:val="00831DEE"/>
    <w:rsid w:val="0083217C"/>
    <w:rsid w:val="00832389"/>
    <w:rsid w:val="008323A9"/>
    <w:rsid w:val="0083244B"/>
    <w:rsid w:val="00832574"/>
    <w:rsid w:val="008330A2"/>
    <w:rsid w:val="00833392"/>
    <w:rsid w:val="00833976"/>
    <w:rsid w:val="00833EC5"/>
    <w:rsid w:val="00833FBC"/>
    <w:rsid w:val="0083423D"/>
    <w:rsid w:val="00834550"/>
    <w:rsid w:val="008346BA"/>
    <w:rsid w:val="00834A21"/>
    <w:rsid w:val="00834B65"/>
    <w:rsid w:val="00835A7C"/>
    <w:rsid w:val="00835CF6"/>
    <w:rsid w:val="00835EA2"/>
    <w:rsid w:val="00835F2C"/>
    <w:rsid w:val="00836393"/>
    <w:rsid w:val="00836EA7"/>
    <w:rsid w:val="00837155"/>
    <w:rsid w:val="0083727C"/>
    <w:rsid w:val="008372AB"/>
    <w:rsid w:val="00837301"/>
    <w:rsid w:val="00837736"/>
    <w:rsid w:val="00837752"/>
    <w:rsid w:val="00837950"/>
    <w:rsid w:val="008379D0"/>
    <w:rsid w:val="00837C4B"/>
    <w:rsid w:val="00840334"/>
    <w:rsid w:val="0084086C"/>
    <w:rsid w:val="008408B0"/>
    <w:rsid w:val="008408B5"/>
    <w:rsid w:val="008408E0"/>
    <w:rsid w:val="00840CD4"/>
    <w:rsid w:val="00840F06"/>
    <w:rsid w:val="0084106E"/>
    <w:rsid w:val="008413FA"/>
    <w:rsid w:val="008417BF"/>
    <w:rsid w:val="008417D7"/>
    <w:rsid w:val="00841CF1"/>
    <w:rsid w:val="00842853"/>
    <w:rsid w:val="00842E9E"/>
    <w:rsid w:val="00842EC9"/>
    <w:rsid w:val="00843331"/>
    <w:rsid w:val="008436B0"/>
    <w:rsid w:val="008437E4"/>
    <w:rsid w:val="00843CF8"/>
    <w:rsid w:val="0084491C"/>
    <w:rsid w:val="00844EB1"/>
    <w:rsid w:val="0084506C"/>
    <w:rsid w:val="00845126"/>
    <w:rsid w:val="00845F57"/>
    <w:rsid w:val="00846312"/>
    <w:rsid w:val="008464C9"/>
    <w:rsid w:val="0084658E"/>
    <w:rsid w:val="00846B5B"/>
    <w:rsid w:val="008470DC"/>
    <w:rsid w:val="00847288"/>
    <w:rsid w:val="00847400"/>
    <w:rsid w:val="008478F9"/>
    <w:rsid w:val="008479F4"/>
    <w:rsid w:val="00847FDF"/>
    <w:rsid w:val="0085069F"/>
    <w:rsid w:val="008507E4"/>
    <w:rsid w:val="0085108B"/>
    <w:rsid w:val="008512F5"/>
    <w:rsid w:val="00851426"/>
    <w:rsid w:val="00851747"/>
    <w:rsid w:val="00851817"/>
    <w:rsid w:val="0085199D"/>
    <w:rsid w:val="008519EE"/>
    <w:rsid w:val="00852A13"/>
    <w:rsid w:val="00852C17"/>
    <w:rsid w:val="00852D49"/>
    <w:rsid w:val="00852DAB"/>
    <w:rsid w:val="00852DED"/>
    <w:rsid w:val="00852E74"/>
    <w:rsid w:val="008530B3"/>
    <w:rsid w:val="00853255"/>
    <w:rsid w:val="008536CF"/>
    <w:rsid w:val="0085493D"/>
    <w:rsid w:val="00854BD5"/>
    <w:rsid w:val="00855165"/>
    <w:rsid w:val="00855621"/>
    <w:rsid w:val="00855776"/>
    <w:rsid w:val="00855ED7"/>
    <w:rsid w:val="008561C0"/>
    <w:rsid w:val="00856242"/>
    <w:rsid w:val="008563FD"/>
    <w:rsid w:val="0085640B"/>
    <w:rsid w:val="00856733"/>
    <w:rsid w:val="008567B6"/>
    <w:rsid w:val="00856DFC"/>
    <w:rsid w:val="00857033"/>
    <w:rsid w:val="00857369"/>
    <w:rsid w:val="008573CC"/>
    <w:rsid w:val="008576D4"/>
    <w:rsid w:val="008576EA"/>
    <w:rsid w:val="00857F07"/>
    <w:rsid w:val="00857F11"/>
    <w:rsid w:val="00860EFE"/>
    <w:rsid w:val="008610FD"/>
    <w:rsid w:val="008612B9"/>
    <w:rsid w:val="0086155E"/>
    <w:rsid w:val="00861B5A"/>
    <w:rsid w:val="00861FF0"/>
    <w:rsid w:val="00862097"/>
    <w:rsid w:val="008628E7"/>
    <w:rsid w:val="00862970"/>
    <w:rsid w:val="00862AFA"/>
    <w:rsid w:val="00862B78"/>
    <w:rsid w:val="00862BE1"/>
    <w:rsid w:val="00862C6D"/>
    <w:rsid w:val="008631C4"/>
    <w:rsid w:val="008633C6"/>
    <w:rsid w:val="0086373A"/>
    <w:rsid w:val="00863FE4"/>
    <w:rsid w:val="008641AE"/>
    <w:rsid w:val="00864344"/>
    <w:rsid w:val="00864713"/>
    <w:rsid w:val="00864D37"/>
    <w:rsid w:val="00865239"/>
    <w:rsid w:val="008652EA"/>
    <w:rsid w:val="00865DE6"/>
    <w:rsid w:val="00865EDA"/>
    <w:rsid w:val="00866170"/>
    <w:rsid w:val="00866A10"/>
    <w:rsid w:val="0086777A"/>
    <w:rsid w:val="00867A7F"/>
    <w:rsid w:val="00867D81"/>
    <w:rsid w:val="00867DE9"/>
    <w:rsid w:val="0087092B"/>
    <w:rsid w:val="0087133D"/>
    <w:rsid w:val="008713AF"/>
    <w:rsid w:val="008715BE"/>
    <w:rsid w:val="00871A33"/>
    <w:rsid w:val="00871C22"/>
    <w:rsid w:val="00871C3A"/>
    <w:rsid w:val="00871D87"/>
    <w:rsid w:val="00871E3B"/>
    <w:rsid w:val="008722AF"/>
    <w:rsid w:val="00872761"/>
    <w:rsid w:val="00872789"/>
    <w:rsid w:val="00873214"/>
    <w:rsid w:val="0087322E"/>
    <w:rsid w:val="0087343B"/>
    <w:rsid w:val="00873442"/>
    <w:rsid w:val="00873585"/>
    <w:rsid w:val="0087384D"/>
    <w:rsid w:val="00873A1F"/>
    <w:rsid w:val="00873A7E"/>
    <w:rsid w:val="00873B5B"/>
    <w:rsid w:val="00873BDA"/>
    <w:rsid w:val="00873CF6"/>
    <w:rsid w:val="00873F18"/>
    <w:rsid w:val="00874186"/>
    <w:rsid w:val="00874440"/>
    <w:rsid w:val="00874722"/>
    <w:rsid w:val="00874976"/>
    <w:rsid w:val="00874B7C"/>
    <w:rsid w:val="0087526C"/>
    <w:rsid w:val="008752CE"/>
    <w:rsid w:val="0087572F"/>
    <w:rsid w:val="0087576F"/>
    <w:rsid w:val="00875B8E"/>
    <w:rsid w:val="00875DFD"/>
    <w:rsid w:val="00875F4F"/>
    <w:rsid w:val="008765F5"/>
    <w:rsid w:val="00876C79"/>
    <w:rsid w:val="00876CFD"/>
    <w:rsid w:val="00876D3E"/>
    <w:rsid w:val="00877055"/>
    <w:rsid w:val="008771B8"/>
    <w:rsid w:val="008772EF"/>
    <w:rsid w:val="00877AC9"/>
    <w:rsid w:val="00877CCB"/>
    <w:rsid w:val="00877FCD"/>
    <w:rsid w:val="008800B9"/>
    <w:rsid w:val="008800F0"/>
    <w:rsid w:val="0088031D"/>
    <w:rsid w:val="008804A7"/>
    <w:rsid w:val="008806FB"/>
    <w:rsid w:val="008808FF"/>
    <w:rsid w:val="008809BB"/>
    <w:rsid w:val="00880E22"/>
    <w:rsid w:val="00880E93"/>
    <w:rsid w:val="0088119D"/>
    <w:rsid w:val="008811B0"/>
    <w:rsid w:val="008811FF"/>
    <w:rsid w:val="00881868"/>
    <w:rsid w:val="00881CEE"/>
    <w:rsid w:val="00881D0C"/>
    <w:rsid w:val="00882055"/>
    <w:rsid w:val="00882063"/>
    <w:rsid w:val="00882162"/>
    <w:rsid w:val="008821E5"/>
    <w:rsid w:val="00882302"/>
    <w:rsid w:val="0088245C"/>
    <w:rsid w:val="00882528"/>
    <w:rsid w:val="008825D4"/>
    <w:rsid w:val="0088265D"/>
    <w:rsid w:val="00882CE1"/>
    <w:rsid w:val="00882E40"/>
    <w:rsid w:val="008832BF"/>
    <w:rsid w:val="00883456"/>
    <w:rsid w:val="00883505"/>
    <w:rsid w:val="00883CDF"/>
    <w:rsid w:val="00883EE4"/>
    <w:rsid w:val="00883F25"/>
    <w:rsid w:val="008843C3"/>
    <w:rsid w:val="00884829"/>
    <w:rsid w:val="00884996"/>
    <w:rsid w:val="00884A48"/>
    <w:rsid w:val="00884D6A"/>
    <w:rsid w:val="0088506A"/>
    <w:rsid w:val="008850DB"/>
    <w:rsid w:val="0088518A"/>
    <w:rsid w:val="0088535D"/>
    <w:rsid w:val="008854AB"/>
    <w:rsid w:val="00885984"/>
    <w:rsid w:val="00885D81"/>
    <w:rsid w:val="00885E0F"/>
    <w:rsid w:val="00886136"/>
    <w:rsid w:val="008861D0"/>
    <w:rsid w:val="008862F2"/>
    <w:rsid w:val="00886671"/>
    <w:rsid w:val="008866A2"/>
    <w:rsid w:val="008866D5"/>
    <w:rsid w:val="00886843"/>
    <w:rsid w:val="00886934"/>
    <w:rsid w:val="0088751A"/>
    <w:rsid w:val="00887B1F"/>
    <w:rsid w:val="00887CA0"/>
    <w:rsid w:val="00891139"/>
    <w:rsid w:val="008912D0"/>
    <w:rsid w:val="00891600"/>
    <w:rsid w:val="00891C0C"/>
    <w:rsid w:val="0089201F"/>
    <w:rsid w:val="00892041"/>
    <w:rsid w:val="00892276"/>
    <w:rsid w:val="00892440"/>
    <w:rsid w:val="008927C5"/>
    <w:rsid w:val="0089296F"/>
    <w:rsid w:val="00892B39"/>
    <w:rsid w:val="008935A5"/>
    <w:rsid w:val="00893A3D"/>
    <w:rsid w:val="00893BCF"/>
    <w:rsid w:val="00894D6E"/>
    <w:rsid w:val="00895648"/>
    <w:rsid w:val="00895924"/>
    <w:rsid w:val="00895A89"/>
    <w:rsid w:val="00895BE1"/>
    <w:rsid w:val="00895E3B"/>
    <w:rsid w:val="00895F8D"/>
    <w:rsid w:val="00896010"/>
    <w:rsid w:val="0089624F"/>
    <w:rsid w:val="00896748"/>
    <w:rsid w:val="0089683C"/>
    <w:rsid w:val="00896A11"/>
    <w:rsid w:val="00896BCE"/>
    <w:rsid w:val="00896EB7"/>
    <w:rsid w:val="0089770C"/>
    <w:rsid w:val="00897757"/>
    <w:rsid w:val="00897E06"/>
    <w:rsid w:val="008A0B4E"/>
    <w:rsid w:val="008A0C55"/>
    <w:rsid w:val="008A0DEA"/>
    <w:rsid w:val="008A1315"/>
    <w:rsid w:val="008A13E8"/>
    <w:rsid w:val="008A1EEF"/>
    <w:rsid w:val="008A263F"/>
    <w:rsid w:val="008A26F8"/>
    <w:rsid w:val="008A2749"/>
    <w:rsid w:val="008A2BC5"/>
    <w:rsid w:val="008A3385"/>
    <w:rsid w:val="008A36CE"/>
    <w:rsid w:val="008A3788"/>
    <w:rsid w:val="008A3A5F"/>
    <w:rsid w:val="008A3A6B"/>
    <w:rsid w:val="008A3D29"/>
    <w:rsid w:val="008A3ECA"/>
    <w:rsid w:val="008A445F"/>
    <w:rsid w:val="008A44CE"/>
    <w:rsid w:val="008A45EF"/>
    <w:rsid w:val="008A4895"/>
    <w:rsid w:val="008A48E4"/>
    <w:rsid w:val="008A49F3"/>
    <w:rsid w:val="008A4C6C"/>
    <w:rsid w:val="008A520E"/>
    <w:rsid w:val="008A54EB"/>
    <w:rsid w:val="008A5F4D"/>
    <w:rsid w:val="008A5F87"/>
    <w:rsid w:val="008A685E"/>
    <w:rsid w:val="008A68F2"/>
    <w:rsid w:val="008A6CE2"/>
    <w:rsid w:val="008A6F70"/>
    <w:rsid w:val="008A74AF"/>
    <w:rsid w:val="008A777A"/>
    <w:rsid w:val="008A79E4"/>
    <w:rsid w:val="008A7A13"/>
    <w:rsid w:val="008A7A80"/>
    <w:rsid w:val="008A7D2B"/>
    <w:rsid w:val="008A7D9D"/>
    <w:rsid w:val="008A7DC6"/>
    <w:rsid w:val="008A7E75"/>
    <w:rsid w:val="008A7F1E"/>
    <w:rsid w:val="008A7FA2"/>
    <w:rsid w:val="008B0064"/>
    <w:rsid w:val="008B02E9"/>
    <w:rsid w:val="008B0520"/>
    <w:rsid w:val="008B065D"/>
    <w:rsid w:val="008B0775"/>
    <w:rsid w:val="008B0858"/>
    <w:rsid w:val="008B0E08"/>
    <w:rsid w:val="008B1282"/>
    <w:rsid w:val="008B1578"/>
    <w:rsid w:val="008B1639"/>
    <w:rsid w:val="008B1813"/>
    <w:rsid w:val="008B29B2"/>
    <w:rsid w:val="008B30CC"/>
    <w:rsid w:val="008B30E2"/>
    <w:rsid w:val="008B3481"/>
    <w:rsid w:val="008B39BF"/>
    <w:rsid w:val="008B3E2E"/>
    <w:rsid w:val="008B415A"/>
    <w:rsid w:val="008B475C"/>
    <w:rsid w:val="008B554B"/>
    <w:rsid w:val="008B56F5"/>
    <w:rsid w:val="008B58B3"/>
    <w:rsid w:val="008B5941"/>
    <w:rsid w:val="008B5E4B"/>
    <w:rsid w:val="008B5E6A"/>
    <w:rsid w:val="008B5F09"/>
    <w:rsid w:val="008B5F87"/>
    <w:rsid w:val="008B60F5"/>
    <w:rsid w:val="008B6460"/>
    <w:rsid w:val="008B6775"/>
    <w:rsid w:val="008B69C8"/>
    <w:rsid w:val="008B6B27"/>
    <w:rsid w:val="008B6E1F"/>
    <w:rsid w:val="008B7408"/>
    <w:rsid w:val="008B743A"/>
    <w:rsid w:val="008B75B1"/>
    <w:rsid w:val="008B79EE"/>
    <w:rsid w:val="008B7B17"/>
    <w:rsid w:val="008C00BD"/>
    <w:rsid w:val="008C01C5"/>
    <w:rsid w:val="008C0430"/>
    <w:rsid w:val="008C0786"/>
    <w:rsid w:val="008C0E03"/>
    <w:rsid w:val="008C1127"/>
    <w:rsid w:val="008C122B"/>
    <w:rsid w:val="008C1239"/>
    <w:rsid w:val="008C127A"/>
    <w:rsid w:val="008C168F"/>
    <w:rsid w:val="008C3052"/>
    <w:rsid w:val="008C316E"/>
    <w:rsid w:val="008C33A9"/>
    <w:rsid w:val="008C33BA"/>
    <w:rsid w:val="008C38F0"/>
    <w:rsid w:val="008C4070"/>
    <w:rsid w:val="008C4B5A"/>
    <w:rsid w:val="008C4E2F"/>
    <w:rsid w:val="008C528A"/>
    <w:rsid w:val="008C5442"/>
    <w:rsid w:val="008C5B21"/>
    <w:rsid w:val="008C5FD5"/>
    <w:rsid w:val="008C6238"/>
    <w:rsid w:val="008C62D2"/>
    <w:rsid w:val="008C632E"/>
    <w:rsid w:val="008C6381"/>
    <w:rsid w:val="008C694B"/>
    <w:rsid w:val="008C6CCD"/>
    <w:rsid w:val="008C6D2F"/>
    <w:rsid w:val="008C7080"/>
    <w:rsid w:val="008C7806"/>
    <w:rsid w:val="008C78CB"/>
    <w:rsid w:val="008C7A12"/>
    <w:rsid w:val="008C7A53"/>
    <w:rsid w:val="008C7B38"/>
    <w:rsid w:val="008C7BBD"/>
    <w:rsid w:val="008D02FF"/>
    <w:rsid w:val="008D04A3"/>
    <w:rsid w:val="008D0E96"/>
    <w:rsid w:val="008D103C"/>
    <w:rsid w:val="008D12CC"/>
    <w:rsid w:val="008D15E3"/>
    <w:rsid w:val="008D17ED"/>
    <w:rsid w:val="008D1A49"/>
    <w:rsid w:val="008D1D2C"/>
    <w:rsid w:val="008D1ED2"/>
    <w:rsid w:val="008D2036"/>
    <w:rsid w:val="008D27EE"/>
    <w:rsid w:val="008D2824"/>
    <w:rsid w:val="008D2A82"/>
    <w:rsid w:val="008D2B4E"/>
    <w:rsid w:val="008D3058"/>
    <w:rsid w:val="008D3075"/>
    <w:rsid w:val="008D31EF"/>
    <w:rsid w:val="008D347D"/>
    <w:rsid w:val="008D3779"/>
    <w:rsid w:val="008D3E9D"/>
    <w:rsid w:val="008D4685"/>
    <w:rsid w:val="008D495B"/>
    <w:rsid w:val="008D4A00"/>
    <w:rsid w:val="008D4A3C"/>
    <w:rsid w:val="008D4C1F"/>
    <w:rsid w:val="008D4DE2"/>
    <w:rsid w:val="008D5534"/>
    <w:rsid w:val="008D6361"/>
    <w:rsid w:val="008D64B3"/>
    <w:rsid w:val="008D668E"/>
    <w:rsid w:val="008D6905"/>
    <w:rsid w:val="008D6D2E"/>
    <w:rsid w:val="008D7767"/>
    <w:rsid w:val="008D792B"/>
    <w:rsid w:val="008D7E88"/>
    <w:rsid w:val="008D7EC2"/>
    <w:rsid w:val="008E0A5A"/>
    <w:rsid w:val="008E0C96"/>
    <w:rsid w:val="008E0FE3"/>
    <w:rsid w:val="008E14B7"/>
    <w:rsid w:val="008E16AE"/>
    <w:rsid w:val="008E186E"/>
    <w:rsid w:val="008E1ED7"/>
    <w:rsid w:val="008E22C7"/>
    <w:rsid w:val="008E2889"/>
    <w:rsid w:val="008E31B5"/>
    <w:rsid w:val="008E3D05"/>
    <w:rsid w:val="008E3F80"/>
    <w:rsid w:val="008E4037"/>
    <w:rsid w:val="008E41EE"/>
    <w:rsid w:val="008E4BC1"/>
    <w:rsid w:val="008E5504"/>
    <w:rsid w:val="008E57AF"/>
    <w:rsid w:val="008E59DF"/>
    <w:rsid w:val="008E5C11"/>
    <w:rsid w:val="008E5EA2"/>
    <w:rsid w:val="008E6108"/>
    <w:rsid w:val="008E6123"/>
    <w:rsid w:val="008E672D"/>
    <w:rsid w:val="008E6B63"/>
    <w:rsid w:val="008E7051"/>
    <w:rsid w:val="008E7468"/>
    <w:rsid w:val="008E74FF"/>
    <w:rsid w:val="008F04AB"/>
    <w:rsid w:val="008F0617"/>
    <w:rsid w:val="008F0AC2"/>
    <w:rsid w:val="008F128E"/>
    <w:rsid w:val="008F1AD1"/>
    <w:rsid w:val="008F1F81"/>
    <w:rsid w:val="008F1FC4"/>
    <w:rsid w:val="008F21CE"/>
    <w:rsid w:val="008F22D3"/>
    <w:rsid w:val="008F244F"/>
    <w:rsid w:val="008F245F"/>
    <w:rsid w:val="008F26D7"/>
    <w:rsid w:val="008F3339"/>
    <w:rsid w:val="008F33AE"/>
    <w:rsid w:val="008F385C"/>
    <w:rsid w:val="008F420B"/>
    <w:rsid w:val="008F4D5D"/>
    <w:rsid w:val="008F4F68"/>
    <w:rsid w:val="008F4F6B"/>
    <w:rsid w:val="008F513D"/>
    <w:rsid w:val="008F516E"/>
    <w:rsid w:val="008F5550"/>
    <w:rsid w:val="008F57A1"/>
    <w:rsid w:val="008F5912"/>
    <w:rsid w:val="008F60E6"/>
    <w:rsid w:val="008F652F"/>
    <w:rsid w:val="008F6CC8"/>
    <w:rsid w:val="008F6E4C"/>
    <w:rsid w:val="008F6E73"/>
    <w:rsid w:val="008F725A"/>
    <w:rsid w:val="008F7550"/>
    <w:rsid w:val="008F7B82"/>
    <w:rsid w:val="008F7C1E"/>
    <w:rsid w:val="009003B7"/>
    <w:rsid w:val="009004EC"/>
    <w:rsid w:val="0090064F"/>
    <w:rsid w:val="00900D0B"/>
    <w:rsid w:val="00900F1A"/>
    <w:rsid w:val="009011B7"/>
    <w:rsid w:val="00901322"/>
    <w:rsid w:val="009014ED"/>
    <w:rsid w:val="00901670"/>
    <w:rsid w:val="009018B5"/>
    <w:rsid w:val="009019A8"/>
    <w:rsid w:val="00901E5D"/>
    <w:rsid w:val="00901EA8"/>
    <w:rsid w:val="00902AD1"/>
    <w:rsid w:val="00902D0E"/>
    <w:rsid w:val="00902E72"/>
    <w:rsid w:val="00903411"/>
    <w:rsid w:val="009036E4"/>
    <w:rsid w:val="00903DAF"/>
    <w:rsid w:val="00903F50"/>
    <w:rsid w:val="009042FA"/>
    <w:rsid w:val="00904B18"/>
    <w:rsid w:val="00904DB3"/>
    <w:rsid w:val="00904DF6"/>
    <w:rsid w:val="00904EDD"/>
    <w:rsid w:val="00904EFA"/>
    <w:rsid w:val="0090518D"/>
    <w:rsid w:val="009053CF"/>
    <w:rsid w:val="009054E1"/>
    <w:rsid w:val="00905AD6"/>
    <w:rsid w:val="00906437"/>
    <w:rsid w:val="00906830"/>
    <w:rsid w:val="00906C46"/>
    <w:rsid w:val="00906C83"/>
    <w:rsid w:val="00906CB9"/>
    <w:rsid w:val="00907988"/>
    <w:rsid w:val="00907A19"/>
    <w:rsid w:val="00907BBC"/>
    <w:rsid w:val="00907D9F"/>
    <w:rsid w:val="0091123D"/>
    <w:rsid w:val="00911386"/>
    <w:rsid w:val="0091161A"/>
    <w:rsid w:val="0091178B"/>
    <w:rsid w:val="00911AA0"/>
    <w:rsid w:val="00912273"/>
    <w:rsid w:val="009122C8"/>
    <w:rsid w:val="0091236F"/>
    <w:rsid w:val="00912398"/>
    <w:rsid w:val="00912586"/>
    <w:rsid w:val="00912946"/>
    <w:rsid w:val="00912AF4"/>
    <w:rsid w:val="00912CF6"/>
    <w:rsid w:val="00912D5F"/>
    <w:rsid w:val="009138AF"/>
    <w:rsid w:val="009139FB"/>
    <w:rsid w:val="00913BBB"/>
    <w:rsid w:val="00913BCA"/>
    <w:rsid w:val="009141D6"/>
    <w:rsid w:val="00914664"/>
    <w:rsid w:val="00914B01"/>
    <w:rsid w:val="00914CCF"/>
    <w:rsid w:val="00914EA4"/>
    <w:rsid w:val="0091532A"/>
    <w:rsid w:val="00915467"/>
    <w:rsid w:val="009154AB"/>
    <w:rsid w:val="00915582"/>
    <w:rsid w:val="009159D9"/>
    <w:rsid w:val="00915C7A"/>
    <w:rsid w:val="009161A2"/>
    <w:rsid w:val="0091636A"/>
    <w:rsid w:val="0091654C"/>
    <w:rsid w:val="00916658"/>
    <w:rsid w:val="009169B6"/>
    <w:rsid w:val="00916D67"/>
    <w:rsid w:val="00916E69"/>
    <w:rsid w:val="00917558"/>
    <w:rsid w:val="0091782D"/>
    <w:rsid w:val="00920373"/>
    <w:rsid w:val="00920513"/>
    <w:rsid w:val="00920B88"/>
    <w:rsid w:val="00920C4A"/>
    <w:rsid w:val="00920D4B"/>
    <w:rsid w:val="00920F49"/>
    <w:rsid w:val="0092116F"/>
    <w:rsid w:val="00921512"/>
    <w:rsid w:val="00921DDC"/>
    <w:rsid w:val="00921DF6"/>
    <w:rsid w:val="0092265F"/>
    <w:rsid w:val="00922E7F"/>
    <w:rsid w:val="00922F0A"/>
    <w:rsid w:val="009230B4"/>
    <w:rsid w:val="00923150"/>
    <w:rsid w:val="009231C6"/>
    <w:rsid w:val="00923A51"/>
    <w:rsid w:val="00923CC7"/>
    <w:rsid w:val="00923E69"/>
    <w:rsid w:val="00924005"/>
    <w:rsid w:val="00924164"/>
    <w:rsid w:val="009244E5"/>
    <w:rsid w:val="00924601"/>
    <w:rsid w:val="0092481B"/>
    <w:rsid w:val="00925009"/>
    <w:rsid w:val="00925156"/>
    <w:rsid w:val="009254C4"/>
    <w:rsid w:val="009259CA"/>
    <w:rsid w:val="00925A19"/>
    <w:rsid w:val="00926165"/>
    <w:rsid w:val="009261B9"/>
    <w:rsid w:val="00926BDC"/>
    <w:rsid w:val="0092703B"/>
    <w:rsid w:val="009272F8"/>
    <w:rsid w:val="00927578"/>
    <w:rsid w:val="00927EE4"/>
    <w:rsid w:val="00930138"/>
    <w:rsid w:val="0093059D"/>
    <w:rsid w:val="0093072C"/>
    <w:rsid w:val="00930B00"/>
    <w:rsid w:val="00930B61"/>
    <w:rsid w:val="00930B79"/>
    <w:rsid w:val="00930C9E"/>
    <w:rsid w:val="00931082"/>
    <w:rsid w:val="009317C9"/>
    <w:rsid w:val="00931D36"/>
    <w:rsid w:val="00931EE3"/>
    <w:rsid w:val="00932000"/>
    <w:rsid w:val="00932095"/>
    <w:rsid w:val="0093210A"/>
    <w:rsid w:val="009324DB"/>
    <w:rsid w:val="00932593"/>
    <w:rsid w:val="0093263D"/>
    <w:rsid w:val="00932BAB"/>
    <w:rsid w:val="00933010"/>
    <w:rsid w:val="0093332D"/>
    <w:rsid w:val="00933421"/>
    <w:rsid w:val="00933456"/>
    <w:rsid w:val="00933C64"/>
    <w:rsid w:val="00933F34"/>
    <w:rsid w:val="00933F7E"/>
    <w:rsid w:val="009340F0"/>
    <w:rsid w:val="009341A9"/>
    <w:rsid w:val="0093449A"/>
    <w:rsid w:val="009346EB"/>
    <w:rsid w:val="009347CE"/>
    <w:rsid w:val="009348CD"/>
    <w:rsid w:val="0093546D"/>
    <w:rsid w:val="009359F2"/>
    <w:rsid w:val="00935DF6"/>
    <w:rsid w:val="0093614D"/>
    <w:rsid w:val="00936170"/>
    <w:rsid w:val="009363DC"/>
    <w:rsid w:val="00936A25"/>
    <w:rsid w:val="00936C47"/>
    <w:rsid w:val="00937661"/>
    <w:rsid w:val="00937D68"/>
    <w:rsid w:val="00937DE3"/>
    <w:rsid w:val="0094095F"/>
    <w:rsid w:val="00940A68"/>
    <w:rsid w:val="00940CEA"/>
    <w:rsid w:val="00940FFF"/>
    <w:rsid w:val="009410F7"/>
    <w:rsid w:val="009415EE"/>
    <w:rsid w:val="00941A6B"/>
    <w:rsid w:val="00941D8F"/>
    <w:rsid w:val="00941DE9"/>
    <w:rsid w:val="009420E3"/>
    <w:rsid w:val="00942429"/>
    <w:rsid w:val="009424C6"/>
    <w:rsid w:val="0094357F"/>
    <w:rsid w:val="00943798"/>
    <w:rsid w:val="0094391D"/>
    <w:rsid w:val="00943A70"/>
    <w:rsid w:val="00943AA9"/>
    <w:rsid w:val="00943B36"/>
    <w:rsid w:val="00943DC3"/>
    <w:rsid w:val="00944136"/>
    <w:rsid w:val="0094464C"/>
    <w:rsid w:val="009446C8"/>
    <w:rsid w:val="00944F68"/>
    <w:rsid w:val="00944FFF"/>
    <w:rsid w:val="00945D5B"/>
    <w:rsid w:val="00945FDD"/>
    <w:rsid w:val="00946256"/>
    <w:rsid w:val="009462CA"/>
    <w:rsid w:val="00946343"/>
    <w:rsid w:val="009464A9"/>
    <w:rsid w:val="009467CC"/>
    <w:rsid w:val="00946C68"/>
    <w:rsid w:val="00947068"/>
    <w:rsid w:val="00947272"/>
    <w:rsid w:val="00947F2F"/>
    <w:rsid w:val="009502C7"/>
    <w:rsid w:val="00950440"/>
    <w:rsid w:val="00950480"/>
    <w:rsid w:val="00950ED3"/>
    <w:rsid w:val="00950F6C"/>
    <w:rsid w:val="00950FCE"/>
    <w:rsid w:val="009512B4"/>
    <w:rsid w:val="009512D3"/>
    <w:rsid w:val="00951A77"/>
    <w:rsid w:val="00951E07"/>
    <w:rsid w:val="00952507"/>
    <w:rsid w:val="00952513"/>
    <w:rsid w:val="009529CA"/>
    <w:rsid w:val="00952AAF"/>
    <w:rsid w:val="00952E16"/>
    <w:rsid w:val="009531D8"/>
    <w:rsid w:val="00953359"/>
    <w:rsid w:val="009533C5"/>
    <w:rsid w:val="00953561"/>
    <w:rsid w:val="00953603"/>
    <w:rsid w:val="009536AA"/>
    <w:rsid w:val="009538F2"/>
    <w:rsid w:val="00953A07"/>
    <w:rsid w:val="00953BF7"/>
    <w:rsid w:val="0095410F"/>
    <w:rsid w:val="00954177"/>
    <w:rsid w:val="00954419"/>
    <w:rsid w:val="00954AB4"/>
    <w:rsid w:val="00954E5E"/>
    <w:rsid w:val="00955398"/>
    <w:rsid w:val="00955AC6"/>
    <w:rsid w:val="00955E64"/>
    <w:rsid w:val="0095623A"/>
    <w:rsid w:val="0095650E"/>
    <w:rsid w:val="00956521"/>
    <w:rsid w:val="0095696F"/>
    <w:rsid w:val="00956CCF"/>
    <w:rsid w:val="00956F4A"/>
    <w:rsid w:val="00957380"/>
    <w:rsid w:val="00957677"/>
    <w:rsid w:val="009576B1"/>
    <w:rsid w:val="0095779B"/>
    <w:rsid w:val="0095787B"/>
    <w:rsid w:val="00957BDA"/>
    <w:rsid w:val="00957D65"/>
    <w:rsid w:val="00960097"/>
    <w:rsid w:val="00960371"/>
    <w:rsid w:val="00960A5A"/>
    <w:rsid w:val="009613BE"/>
    <w:rsid w:val="0096173F"/>
    <w:rsid w:val="00961E23"/>
    <w:rsid w:val="009627C3"/>
    <w:rsid w:val="00962E31"/>
    <w:rsid w:val="00962FD4"/>
    <w:rsid w:val="009632FB"/>
    <w:rsid w:val="0096331D"/>
    <w:rsid w:val="009638D6"/>
    <w:rsid w:val="0096508C"/>
    <w:rsid w:val="00965336"/>
    <w:rsid w:val="009653CA"/>
    <w:rsid w:val="009665D4"/>
    <w:rsid w:val="00966E45"/>
    <w:rsid w:val="00967513"/>
    <w:rsid w:val="00967653"/>
    <w:rsid w:val="0096784E"/>
    <w:rsid w:val="00967CE0"/>
    <w:rsid w:val="00967D3F"/>
    <w:rsid w:val="0097022A"/>
    <w:rsid w:val="009705A4"/>
    <w:rsid w:val="0097083B"/>
    <w:rsid w:val="0097091D"/>
    <w:rsid w:val="00970AAE"/>
    <w:rsid w:val="00970AC8"/>
    <w:rsid w:val="00970C48"/>
    <w:rsid w:val="00970EFB"/>
    <w:rsid w:val="00971155"/>
    <w:rsid w:val="009713EA"/>
    <w:rsid w:val="00971A0D"/>
    <w:rsid w:val="00971C70"/>
    <w:rsid w:val="00971FC9"/>
    <w:rsid w:val="009722BE"/>
    <w:rsid w:val="009724F1"/>
    <w:rsid w:val="0097276D"/>
    <w:rsid w:val="00972793"/>
    <w:rsid w:val="00972B51"/>
    <w:rsid w:val="0097300D"/>
    <w:rsid w:val="009730DC"/>
    <w:rsid w:val="0097317C"/>
    <w:rsid w:val="00973278"/>
    <w:rsid w:val="009732BB"/>
    <w:rsid w:val="00973530"/>
    <w:rsid w:val="00973944"/>
    <w:rsid w:val="00974117"/>
    <w:rsid w:val="009742E7"/>
    <w:rsid w:val="0097450E"/>
    <w:rsid w:val="00974F98"/>
    <w:rsid w:val="009750B4"/>
    <w:rsid w:val="009750E0"/>
    <w:rsid w:val="009753A9"/>
    <w:rsid w:val="00975AF1"/>
    <w:rsid w:val="00975C7C"/>
    <w:rsid w:val="00975E0B"/>
    <w:rsid w:val="00975EC5"/>
    <w:rsid w:val="00976526"/>
    <w:rsid w:val="00976A26"/>
    <w:rsid w:val="00976B3C"/>
    <w:rsid w:val="009770FB"/>
    <w:rsid w:val="00977858"/>
    <w:rsid w:val="009802ED"/>
    <w:rsid w:val="00980429"/>
    <w:rsid w:val="009804A8"/>
    <w:rsid w:val="009810B0"/>
    <w:rsid w:val="0098120A"/>
    <w:rsid w:val="00981A73"/>
    <w:rsid w:val="00981DD0"/>
    <w:rsid w:val="00982358"/>
    <w:rsid w:val="00982A58"/>
    <w:rsid w:val="00982ED0"/>
    <w:rsid w:val="009830C6"/>
    <w:rsid w:val="00983183"/>
    <w:rsid w:val="00983EC7"/>
    <w:rsid w:val="00983EE9"/>
    <w:rsid w:val="00984206"/>
    <w:rsid w:val="009842E9"/>
    <w:rsid w:val="00984F08"/>
    <w:rsid w:val="009850D8"/>
    <w:rsid w:val="0098580A"/>
    <w:rsid w:val="0098580C"/>
    <w:rsid w:val="00985BF9"/>
    <w:rsid w:val="00986248"/>
    <w:rsid w:val="009865D2"/>
    <w:rsid w:val="0098691E"/>
    <w:rsid w:val="00986AD4"/>
    <w:rsid w:val="00986FB0"/>
    <w:rsid w:val="009873CF"/>
    <w:rsid w:val="009875D3"/>
    <w:rsid w:val="009877FD"/>
    <w:rsid w:val="00987916"/>
    <w:rsid w:val="00987C9F"/>
    <w:rsid w:val="00987D9A"/>
    <w:rsid w:val="009900C1"/>
    <w:rsid w:val="00990BB8"/>
    <w:rsid w:val="00990CB4"/>
    <w:rsid w:val="00990CE8"/>
    <w:rsid w:val="00990F0D"/>
    <w:rsid w:val="00990FF4"/>
    <w:rsid w:val="0099148D"/>
    <w:rsid w:val="009914E8"/>
    <w:rsid w:val="00991511"/>
    <w:rsid w:val="0099172D"/>
    <w:rsid w:val="00991835"/>
    <w:rsid w:val="00991A4D"/>
    <w:rsid w:val="00991C09"/>
    <w:rsid w:val="00991E32"/>
    <w:rsid w:val="0099250C"/>
    <w:rsid w:val="009925D7"/>
    <w:rsid w:val="00992833"/>
    <w:rsid w:val="009931BE"/>
    <w:rsid w:val="009934B0"/>
    <w:rsid w:val="00993702"/>
    <w:rsid w:val="00994082"/>
    <w:rsid w:val="009944C3"/>
    <w:rsid w:val="009945EE"/>
    <w:rsid w:val="0099463F"/>
    <w:rsid w:val="009946A8"/>
    <w:rsid w:val="009947F7"/>
    <w:rsid w:val="00994A70"/>
    <w:rsid w:val="00995050"/>
    <w:rsid w:val="00995075"/>
    <w:rsid w:val="0099541E"/>
    <w:rsid w:val="00995637"/>
    <w:rsid w:val="00995A7B"/>
    <w:rsid w:val="00995EC0"/>
    <w:rsid w:val="00995FCE"/>
    <w:rsid w:val="009962C4"/>
    <w:rsid w:val="009967F9"/>
    <w:rsid w:val="009969D4"/>
    <w:rsid w:val="00996A70"/>
    <w:rsid w:val="00996CFA"/>
    <w:rsid w:val="00996DD4"/>
    <w:rsid w:val="00996FEC"/>
    <w:rsid w:val="00997075"/>
    <w:rsid w:val="00997198"/>
    <w:rsid w:val="009975DF"/>
    <w:rsid w:val="009976E0"/>
    <w:rsid w:val="009A01E1"/>
    <w:rsid w:val="009A0377"/>
    <w:rsid w:val="009A069C"/>
    <w:rsid w:val="009A0C9B"/>
    <w:rsid w:val="009A140F"/>
    <w:rsid w:val="009A1701"/>
    <w:rsid w:val="009A1B2B"/>
    <w:rsid w:val="009A1B70"/>
    <w:rsid w:val="009A2405"/>
    <w:rsid w:val="009A2638"/>
    <w:rsid w:val="009A2ADA"/>
    <w:rsid w:val="009A2BFD"/>
    <w:rsid w:val="009A2E4A"/>
    <w:rsid w:val="009A3132"/>
    <w:rsid w:val="009A3230"/>
    <w:rsid w:val="009A3294"/>
    <w:rsid w:val="009A3517"/>
    <w:rsid w:val="009A35A7"/>
    <w:rsid w:val="009A38EB"/>
    <w:rsid w:val="009A4A74"/>
    <w:rsid w:val="009A4C4A"/>
    <w:rsid w:val="009A4D1F"/>
    <w:rsid w:val="009A4DC6"/>
    <w:rsid w:val="009A5AFE"/>
    <w:rsid w:val="009A60E3"/>
    <w:rsid w:val="009A6494"/>
    <w:rsid w:val="009A6F08"/>
    <w:rsid w:val="009A6F66"/>
    <w:rsid w:val="009A70D7"/>
    <w:rsid w:val="009A7842"/>
    <w:rsid w:val="009A7A4A"/>
    <w:rsid w:val="009A7DB5"/>
    <w:rsid w:val="009B02DD"/>
    <w:rsid w:val="009B073D"/>
    <w:rsid w:val="009B0BFE"/>
    <w:rsid w:val="009B0F19"/>
    <w:rsid w:val="009B11B5"/>
    <w:rsid w:val="009B13A6"/>
    <w:rsid w:val="009B1A24"/>
    <w:rsid w:val="009B1A73"/>
    <w:rsid w:val="009B1A88"/>
    <w:rsid w:val="009B22DC"/>
    <w:rsid w:val="009B23C0"/>
    <w:rsid w:val="009B2691"/>
    <w:rsid w:val="009B276B"/>
    <w:rsid w:val="009B2959"/>
    <w:rsid w:val="009B29C8"/>
    <w:rsid w:val="009B2A9A"/>
    <w:rsid w:val="009B2B90"/>
    <w:rsid w:val="009B2D51"/>
    <w:rsid w:val="009B2E3E"/>
    <w:rsid w:val="009B33E5"/>
    <w:rsid w:val="009B3649"/>
    <w:rsid w:val="009B44B7"/>
    <w:rsid w:val="009B49FB"/>
    <w:rsid w:val="009B4B92"/>
    <w:rsid w:val="009B4C71"/>
    <w:rsid w:val="009B4E70"/>
    <w:rsid w:val="009B55FF"/>
    <w:rsid w:val="009B57DC"/>
    <w:rsid w:val="009B693C"/>
    <w:rsid w:val="009B6C5A"/>
    <w:rsid w:val="009B71F8"/>
    <w:rsid w:val="009B7216"/>
    <w:rsid w:val="009B7448"/>
    <w:rsid w:val="009B7470"/>
    <w:rsid w:val="009B7483"/>
    <w:rsid w:val="009B7BD4"/>
    <w:rsid w:val="009C0FB2"/>
    <w:rsid w:val="009C1830"/>
    <w:rsid w:val="009C1979"/>
    <w:rsid w:val="009C19B4"/>
    <w:rsid w:val="009C1E49"/>
    <w:rsid w:val="009C1EEE"/>
    <w:rsid w:val="009C2669"/>
    <w:rsid w:val="009C27F0"/>
    <w:rsid w:val="009C2BAD"/>
    <w:rsid w:val="009C2F83"/>
    <w:rsid w:val="009C35F6"/>
    <w:rsid w:val="009C38F1"/>
    <w:rsid w:val="009C39A4"/>
    <w:rsid w:val="009C3B47"/>
    <w:rsid w:val="009C3F9D"/>
    <w:rsid w:val="009C4315"/>
    <w:rsid w:val="009C44A7"/>
    <w:rsid w:val="009C4A27"/>
    <w:rsid w:val="009C5160"/>
    <w:rsid w:val="009C547A"/>
    <w:rsid w:val="009C5896"/>
    <w:rsid w:val="009C5959"/>
    <w:rsid w:val="009C5DFC"/>
    <w:rsid w:val="009C61D5"/>
    <w:rsid w:val="009C6742"/>
    <w:rsid w:val="009C6E79"/>
    <w:rsid w:val="009C6FE3"/>
    <w:rsid w:val="009D032F"/>
    <w:rsid w:val="009D092A"/>
    <w:rsid w:val="009D0B0A"/>
    <w:rsid w:val="009D1A4C"/>
    <w:rsid w:val="009D1DB8"/>
    <w:rsid w:val="009D2705"/>
    <w:rsid w:val="009D3346"/>
    <w:rsid w:val="009D37E2"/>
    <w:rsid w:val="009D37F3"/>
    <w:rsid w:val="009D3FCF"/>
    <w:rsid w:val="009D4B0D"/>
    <w:rsid w:val="009D4C2B"/>
    <w:rsid w:val="009D4D41"/>
    <w:rsid w:val="009D4DA5"/>
    <w:rsid w:val="009D4E1A"/>
    <w:rsid w:val="009D4F6D"/>
    <w:rsid w:val="009D5125"/>
    <w:rsid w:val="009D51B3"/>
    <w:rsid w:val="009D51CE"/>
    <w:rsid w:val="009D532D"/>
    <w:rsid w:val="009D5864"/>
    <w:rsid w:val="009D58F6"/>
    <w:rsid w:val="009D5CF1"/>
    <w:rsid w:val="009D5D92"/>
    <w:rsid w:val="009D5F75"/>
    <w:rsid w:val="009D645C"/>
    <w:rsid w:val="009D6B1F"/>
    <w:rsid w:val="009D6B70"/>
    <w:rsid w:val="009D6BC2"/>
    <w:rsid w:val="009D71B1"/>
    <w:rsid w:val="009D7409"/>
    <w:rsid w:val="009D769B"/>
    <w:rsid w:val="009D78DB"/>
    <w:rsid w:val="009D7BE6"/>
    <w:rsid w:val="009D7D37"/>
    <w:rsid w:val="009D7D67"/>
    <w:rsid w:val="009D7F89"/>
    <w:rsid w:val="009E01F2"/>
    <w:rsid w:val="009E03E3"/>
    <w:rsid w:val="009E05AF"/>
    <w:rsid w:val="009E0B82"/>
    <w:rsid w:val="009E0CD5"/>
    <w:rsid w:val="009E10F0"/>
    <w:rsid w:val="009E1311"/>
    <w:rsid w:val="009E19EE"/>
    <w:rsid w:val="009E273F"/>
    <w:rsid w:val="009E276B"/>
    <w:rsid w:val="009E27E6"/>
    <w:rsid w:val="009E2A64"/>
    <w:rsid w:val="009E2B56"/>
    <w:rsid w:val="009E3409"/>
    <w:rsid w:val="009E34BA"/>
    <w:rsid w:val="009E351B"/>
    <w:rsid w:val="009E3957"/>
    <w:rsid w:val="009E3C7C"/>
    <w:rsid w:val="009E4010"/>
    <w:rsid w:val="009E4576"/>
    <w:rsid w:val="009E4E04"/>
    <w:rsid w:val="009E5212"/>
    <w:rsid w:val="009E5A38"/>
    <w:rsid w:val="009E5E27"/>
    <w:rsid w:val="009E6A3F"/>
    <w:rsid w:val="009E6CEA"/>
    <w:rsid w:val="009E7BF3"/>
    <w:rsid w:val="009E7F63"/>
    <w:rsid w:val="009F0158"/>
    <w:rsid w:val="009F0322"/>
    <w:rsid w:val="009F0547"/>
    <w:rsid w:val="009F06AC"/>
    <w:rsid w:val="009F0AD5"/>
    <w:rsid w:val="009F0B11"/>
    <w:rsid w:val="009F0EE2"/>
    <w:rsid w:val="009F10C0"/>
    <w:rsid w:val="009F1295"/>
    <w:rsid w:val="009F12E1"/>
    <w:rsid w:val="009F17CC"/>
    <w:rsid w:val="009F1866"/>
    <w:rsid w:val="009F194E"/>
    <w:rsid w:val="009F1D15"/>
    <w:rsid w:val="009F1E80"/>
    <w:rsid w:val="009F1FAC"/>
    <w:rsid w:val="009F1FDA"/>
    <w:rsid w:val="009F244A"/>
    <w:rsid w:val="009F2544"/>
    <w:rsid w:val="009F25E1"/>
    <w:rsid w:val="009F263E"/>
    <w:rsid w:val="009F2767"/>
    <w:rsid w:val="009F2D17"/>
    <w:rsid w:val="009F2D4E"/>
    <w:rsid w:val="009F2D52"/>
    <w:rsid w:val="009F379C"/>
    <w:rsid w:val="009F4043"/>
    <w:rsid w:val="009F416A"/>
    <w:rsid w:val="009F434D"/>
    <w:rsid w:val="009F43A6"/>
    <w:rsid w:val="009F44C1"/>
    <w:rsid w:val="009F4AC9"/>
    <w:rsid w:val="009F5704"/>
    <w:rsid w:val="009F5E7D"/>
    <w:rsid w:val="009F63C0"/>
    <w:rsid w:val="009F6446"/>
    <w:rsid w:val="009F6758"/>
    <w:rsid w:val="009F6773"/>
    <w:rsid w:val="009F73FC"/>
    <w:rsid w:val="009F75B7"/>
    <w:rsid w:val="009F7DF6"/>
    <w:rsid w:val="00A001F1"/>
    <w:rsid w:val="00A00522"/>
    <w:rsid w:val="00A00B1C"/>
    <w:rsid w:val="00A00DB9"/>
    <w:rsid w:val="00A013EB"/>
    <w:rsid w:val="00A01F6F"/>
    <w:rsid w:val="00A0205D"/>
    <w:rsid w:val="00A023AC"/>
    <w:rsid w:val="00A02882"/>
    <w:rsid w:val="00A02AA2"/>
    <w:rsid w:val="00A02C0A"/>
    <w:rsid w:val="00A02C33"/>
    <w:rsid w:val="00A02E3D"/>
    <w:rsid w:val="00A02E8B"/>
    <w:rsid w:val="00A03466"/>
    <w:rsid w:val="00A03F0B"/>
    <w:rsid w:val="00A04021"/>
    <w:rsid w:val="00A04051"/>
    <w:rsid w:val="00A043BD"/>
    <w:rsid w:val="00A043E4"/>
    <w:rsid w:val="00A0441C"/>
    <w:rsid w:val="00A04496"/>
    <w:rsid w:val="00A04702"/>
    <w:rsid w:val="00A04AA7"/>
    <w:rsid w:val="00A04C57"/>
    <w:rsid w:val="00A04EA1"/>
    <w:rsid w:val="00A04F39"/>
    <w:rsid w:val="00A0517E"/>
    <w:rsid w:val="00A0530A"/>
    <w:rsid w:val="00A05639"/>
    <w:rsid w:val="00A05D33"/>
    <w:rsid w:val="00A05FEA"/>
    <w:rsid w:val="00A06173"/>
    <w:rsid w:val="00A06701"/>
    <w:rsid w:val="00A06775"/>
    <w:rsid w:val="00A06BCE"/>
    <w:rsid w:val="00A07146"/>
    <w:rsid w:val="00A074CA"/>
    <w:rsid w:val="00A076E7"/>
    <w:rsid w:val="00A07A2F"/>
    <w:rsid w:val="00A07AF2"/>
    <w:rsid w:val="00A10466"/>
    <w:rsid w:val="00A10B52"/>
    <w:rsid w:val="00A11119"/>
    <w:rsid w:val="00A1165E"/>
    <w:rsid w:val="00A11D55"/>
    <w:rsid w:val="00A11E14"/>
    <w:rsid w:val="00A125B5"/>
    <w:rsid w:val="00A12F25"/>
    <w:rsid w:val="00A12F58"/>
    <w:rsid w:val="00A13151"/>
    <w:rsid w:val="00A132E0"/>
    <w:rsid w:val="00A1335A"/>
    <w:rsid w:val="00A13B05"/>
    <w:rsid w:val="00A13CB5"/>
    <w:rsid w:val="00A1400A"/>
    <w:rsid w:val="00A14293"/>
    <w:rsid w:val="00A14B85"/>
    <w:rsid w:val="00A14BE6"/>
    <w:rsid w:val="00A14DBF"/>
    <w:rsid w:val="00A14DCC"/>
    <w:rsid w:val="00A153DE"/>
    <w:rsid w:val="00A156EA"/>
    <w:rsid w:val="00A156F7"/>
    <w:rsid w:val="00A157B7"/>
    <w:rsid w:val="00A15A79"/>
    <w:rsid w:val="00A15B35"/>
    <w:rsid w:val="00A15CBF"/>
    <w:rsid w:val="00A15E16"/>
    <w:rsid w:val="00A162CB"/>
    <w:rsid w:val="00A16330"/>
    <w:rsid w:val="00A1681B"/>
    <w:rsid w:val="00A16A3A"/>
    <w:rsid w:val="00A17908"/>
    <w:rsid w:val="00A17A2F"/>
    <w:rsid w:val="00A17A7F"/>
    <w:rsid w:val="00A20805"/>
    <w:rsid w:val="00A20A84"/>
    <w:rsid w:val="00A219FA"/>
    <w:rsid w:val="00A21AA9"/>
    <w:rsid w:val="00A21EF5"/>
    <w:rsid w:val="00A226B6"/>
    <w:rsid w:val="00A2293E"/>
    <w:rsid w:val="00A22C45"/>
    <w:rsid w:val="00A22F0F"/>
    <w:rsid w:val="00A230EF"/>
    <w:rsid w:val="00A231A3"/>
    <w:rsid w:val="00A2342A"/>
    <w:rsid w:val="00A239A1"/>
    <w:rsid w:val="00A23DE3"/>
    <w:rsid w:val="00A23EAF"/>
    <w:rsid w:val="00A23FE4"/>
    <w:rsid w:val="00A245C3"/>
    <w:rsid w:val="00A248DA"/>
    <w:rsid w:val="00A25895"/>
    <w:rsid w:val="00A25CFE"/>
    <w:rsid w:val="00A25F07"/>
    <w:rsid w:val="00A2637C"/>
    <w:rsid w:val="00A26488"/>
    <w:rsid w:val="00A265FC"/>
    <w:rsid w:val="00A272FC"/>
    <w:rsid w:val="00A276BA"/>
    <w:rsid w:val="00A2784B"/>
    <w:rsid w:val="00A27895"/>
    <w:rsid w:val="00A27AC2"/>
    <w:rsid w:val="00A27B45"/>
    <w:rsid w:val="00A27EB8"/>
    <w:rsid w:val="00A30034"/>
    <w:rsid w:val="00A30CF1"/>
    <w:rsid w:val="00A31659"/>
    <w:rsid w:val="00A31F91"/>
    <w:rsid w:val="00A3224C"/>
    <w:rsid w:val="00A324BD"/>
    <w:rsid w:val="00A3274D"/>
    <w:rsid w:val="00A32780"/>
    <w:rsid w:val="00A32F51"/>
    <w:rsid w:val="00A32FBC"/>
    <w:rsid w:val="00A32FEC"/>
    <w:rsid w:val="00A3351C"/>
    <w:rsid w:val="00A335A1"/>
    <w:rsid w:val="00A33608"/>
    <w:rsid w:val="00A33CF4"/>
    <w:rsid w:val="00A3400F"/>
    <w:rsid w:val="00A34556"/>
    <w:rsid w:val="00A3492F"/>
    <w:rsid w:val="00A359DE"/>
    <w:rsid w:val="00A35D0F"/>
    <w:rsid w:val="00A361A5"/>
    <w:rsid w:val="00A363F5"/>
    <w:rsid w:val="00A369C3"/>
    <w:rsid w:val="00A36AC3"/>
    <w:rsid w:val="00A373F5"/>
    <w:rsid w:val="00A37913"/>
    <w:rsid w:val="00A37C16"/>
    <w:rsid w:val="00A37C7D"/>
    <w:rsid w:val="00A40A85"/>
    <w:rsid w:val="00A40C0E"/>
    <w:rsid w:val="00A41897"/>
    <w:rsid w:val="00A41968"/>
    <w:rsid w:val="00A419DA"/>
    <w:rsid w:val="00A41D47"/>
    <w:rsid w:val="00A41DB6"/>
    <w:rsid w:val="00A41E28"/>
    <w:rsid w:val="00A426F4"/>
    <w:rsid w:val="00A42A75"/>
    <w:rsid w:val="00A42B69"/>
    <w:rsid w:val="00A43182"/>
    <w:rsid w:val="00A4319D"/>
    <w:rsid w:val="00A43519"/>
    <w:rsid w:val="00A435FE"/>
    <w:rsid w:val="00A43779"/>
    <w:rsid w:val="00A4391A"/>
    <w:rsid w:val="00A43E5A"/>
    <w:rsid w:val="00A44055"/>
    <w:rsid w:val="00A44446"/>
    <w:rsid w:val="00A448DB"/>
    <w:rsid w:val="00A44C2E"/>
    <w:rsid w:val="00A44D5D"/>
    <w:rsid w:val="00A44FE9"/>
    <w:rsid w:val="00A44FEE"/>
    <w:rsid w:val="00A450D4"/>
    <w:rsid w:val="00A45468"/>
    <w:rsid w:val="00A45A0E"/>
    <w:rsid w:val="00A460B0"/>
    <w:rsid w:val="00A46196"/>
    <w:rsid w:val="00A4679F"/>
    <w:rsid w:val="00A46EA7"/>
    <w:rsid w:val="00A46ED6"/>
    <w:rsid w:val="00A474CB"/>
    <w:rsid w:val="00A47559"/>
    <w:rsid w:val="00A47D0C"/>
    <w:rsid w:val="00A5015A"/>
    <w:rsid w:val="00A50510"/>
    <w:rsid w:val="00A50608"/>
    <w:rsid w:val="00A509C0"/>
    <w:rsid w:val="00A50C10"/>
    <w:rsid w:val="00A50C86"/>
    <w:rsid w:val="00A50D28"/>
    <w:rsid w:val="00A51224"/>
    <w:rsid w:val="00A51641"/>
    <w:rsid w:val="00A516DD"/>
    <w:rsid w:val="00A51DCD"/>
    <w:rsid w:val="00A521FB"/>
    <w:rsid w:val="00A5296B"/>
    <w:rsid w:val="00A52A13"/>
    <w:rsid w:val="00A52EBE"/>
    <w:rsid w:val="00A53393"/>
    <w:rsid w:val="00A535EE"/>
    <w:rsid w:val="00A5366A"/>
    <w:rsid w:val="00A53DE4"/>
    <w:rsid w:val="00A541BF"/>
    <w:rsid w:val="00A543C8"/>
    <w:rsid w:val="00A54480"/>
    <w:rsid w:val="00A54637"/>
    <w:rsid w:val="00A54C8A"/>
    <w:rsid w:val="00A54CAC"/>
    <w:rsid w:val="00A54EDC"/>
    <w:rsid w:val="00A55362"/>
    <w:rsid w:val="00A555C0"/>
    <w:rsid w:val="00A55639"/>
    <w:rsid w:val="00A55E1B"/>
    <w:rsid w:val="00A55E62"/>
    <w:rsid w:val="00A55FC2"/>
    <w:rsid w:val="00A56017"/>
    <w:rsid w:val="00A56456"/>
    <w:rsid w:val="00A56998"/>
    <w:rsid w:val="00A56B89"/>
    <w:rsid w:val="00A56C00"/>
    <w:rsid w:val="00A56ED6"/>
    <w:rsid w:val="00A571BB"/>
    <w:rsid w:val="00A572BC"/>
    <w:rsid w:val="00A57449"/>
    <w:rsid w:val="00A5788D"/>
    <w:rsid w:val="00A578DC"/>
    <w:rsid w:val="00A57C55"/>
    <w:rsid w:val="00A57E4A"/>
    <w:rsid w:val="00A60246"/>
    <w:rsid w:val="00A603E9"/>
    <w:rsid w:val="00A60469"/>
    <w:rsid w:val="00A6098E"/>
    <w:rsid w:val="00A60A90"/>
    <w:rsid w:val="00A60C13"/>
    <w:rsid w:val="00A616C1"/>
    <w:rsid w:val="00A6196E"/>
    <w:rsid w:val="00A61B90"/>
    <w:rsid w:val="00A6228B"/>
    <w:rsid w:val="00A62690"/>
    <w:rsid w:val="00A62FDC"/>
    <w:rsid w:val="00A6315C"/>
    <w:rsid w:val="00A6325D"/>
    <w:rsid w:val="00A63A7F"/>
    <w:rsid w:val="00A64681"/>
    <w:rsid w:val="00A64BAF"/>
    <w:rsid w:val="00A64D87"/>
    <w:rsid w:val="00A65162"/>
    <w:rsid w:val="00A65583"/>
    <w:rsid w:val="00A65855"/>
    <w:rsid w:val="00A65A95"/>
    <w:rsid w:val="00A65C19"/>
    <w:rsid w:val="00A65DE7"/>
    <w:rsid w:val="00A65E62"/>
    <w:rsid w:val="00A65FF6"/>
    <w:rsid w:val="00A66666"/>
    <w:rsid w:val="00A66B1A"/>
    <w:rsid w:val="00A66C60"/>
    <w:rsid w:val="00A670C3"/>
    <w:rsid w:val="00A672EE"/>
    <w:rsid w:val="00A673F0"/>
    <w:rsid w:val="00A67469"/>
    <w:rsid w:val="00A67597"/>
    <w:rsid w:val="00A67909"/>
    <w:rsid w:val="00A67B6E"/>
    <w:rsid w:val="00A706F3"/>
    <w:rsid w:val="00A70D7F"/>
    <w:rsid w:val="00A70FBC"/>
    <w:rsid w:val="00A71054"/>
    <w:rsid w:val="00A71553"/>
    <w:rsid w:val="00A71A5B"/>
    <w:rsid w:val="00A71B29"/>
    <w:rsid w:val="00A72560"/>
    <w:rsid w:val="00A726C3"/>
    <w:rsid w:val="00A72C5E"/>
    <w:rsid w:val="00A72F48"/>
    <w:rsid w:val="00A73012"/>
    <w:rsid w:val="00A7326A"/>
    <w:rsid w:val="00A732BD"/>
    <w:rsid w:val="00A734C0"/>
    <w:rsid w:val="00A7375A"/>
    <w:rsid w:val="00A7381B"/>
    <w:rsid w:val="00A73E2D"/>
    <w:rsid w:val="00A743A9"/>
    <w:rsid w:val="00A74A5C"/>
    <w:rsid w:val="00A74BCE"/>
    <w:rsid w:val="00A74C5B"/>
    <w:rsid w:val="00A751C0"/>
    <w:rsid w:val="00A753E5"/>
    <w:rsid w:val="00A75510"/>
    <w:rsid w:val="00A7592B"/>
    <w:rsid w:val="00A759BB"/>
    <w:rsid w:val="00A75A4E"/>
    <w:rsid w:val="00A75A7D"/>
    <w:rsid w:val="00A75B32"/>
    <w:rsid w:val="00A7620D"/>
    <w:rsid w:val="00A76299"/>
    <w:rsid w:val="00A762E1"/>
    <w:rsid w:val="00A76371"/>
    <w:rsid w:val="00A7638D"/>
    <w:rsid w:val="00A7680A"/>
    <w:rsid w:val="00A769FF"/>
    <w:rsid w:val="00A76BB0"/>
    <w:rsid w:val="00A76F26"/>
    <w:rsid w:val="00A772F9"/>
    <w:rsid w:val="00A7780A"/>
    <w:rsid w:val="00A77AE3"/>
    <w:rsid w:val="00A77DEC"/>
    <w:rsid w:val="00A77E51"/>
    <w:rsid w:val="00A77F06"/>
    <w:rsid w:val="00A80601"/>
    <w:rsid w:val="00A80D86"/>
    <w:rsid w:val="00A80F2E"/>
    <w:rsid w:val="00A81293"/>
    <w:rsid w:val="00A817CA"/>
    <w:rsid w:val="00A81A22"/>
    <w:rsid w:val="00A81AD2"/>
    <w:rsid w:val="00A81B7B"/>
    <w:rsid w:val="00A81E41"/>
    <w:rsid w:val="00A820A8"/>
    <w:rsid w:val="00A820D9"/>
    <w:rsid w:val="00A821A2"/>
    <w:rsid w:val="00A82421"/>
    <w:rsid w:val="00A827AF"/>
    <w:rsid w:val="00A82B84"/>
    <w:rsid w:val="00A82F00"/>
    <w:rsid w:val="00A82F02"/>
    <w:rsid w:val="00A8306F"/>
    <w:rsid w:val="00A830F1"/>
    <w:rsid w:val="00A83708"/>
    <w:rsid w:val="00A83EB4"/>
    <w:rsid w:val="00A840EA"/>
    <w:rsid w:val="00A84577"/>
    <w:rsid w:val="00A845EE"/>
    <w:rsid w:val="00A84AE4"/>
    <w:rsid w:val="00A85901"/>
    <w:rsid w:val="00A859B8"/>
    <w:rsid w:val="00A85CBC"/>
    <w:rsid w:val="00A85F85"/>
    <w:rsid w:val="00A86305"/>
    <w:rsid w:val="00A86398"/>
    <w:rsid w:val="00A864BB"/>
    <w:rsid w:val="00A867CD"/>
    <w:rsid w:val="00A86928"/>
    <w:rsid w:val="00A8693F"/>
    <w:rsid w:val="00A87063"/>
    <w:rsid w:val="00A8707D"/>
    <w:rsid w:val="00A87469"/>
    <w:rsid w:val="00A8767C"/>
    <w:rsid w:val="00A87872"/>
    <w:rsid w:val="00A878B4"/>
    <w:rsid w:val="00A87CAB"/>
    <w:rsid w:val="00A9013E"/>
    <w:rsid w:val="00A9064A"/>
    <w:rsid w:val="00A90B14"/>
    <w:rsid w:val="00A90FA2"/>
    <w:rsid w:val="00A911C8"/>
    <w:rsid w:val="00A91290"/>
    <w:rsid w:val="00A916CA"/>
    <w:rsid w:val="00A91855"/>
    <w:rsid w:val="00A92014"/>
    <w:rsid w:val="00A921A1"/>
    <w:rsid w:val="00A9252C"/>
    <w:rsid w:val="00A92BEA"/>
    <w:rsid w:val="00A92C41"/>
    <w:rsid w:val="00A92E65"/>
    <w:rsid w:val="00A92E6D"/>
    <w:rsid w:val="00A930F9"/>
    <w:rsid w:val="00A93814"/>
    <w:rsid w:val="00A93C4A"/>
    <w:rsid w:val="00A93D06"/>
    <w:rsid w:val="00A9450E"/>
    <w:rsid w:val="00A94783"/>
    <w:rsid w:val="00A950E4"/>
    <w:rsid w:val="00A9585F"/>
    <w:rsid w:val="00A9594C"/>
    <w:rsid w:val="00A960EB"/>
    <w:rsid w:val="00A96197"/>
    <w:rsid w:val="00A967B3"/>
    <w:rsid w:val="00A96AC2"/>
    <w:rsid w:val="00A96B7E"/>
    <w:rsid w:val="00A96E20"/>
    <w:rsid w:val="00A9758F"/>
    <w:rsid w:val="00A97868"/>
    <w:rsid w:val="00A9793C"/>
    <w:rsid w:val="00A97BB2"/>
    <w:rsid w:val="00A97E7E"/>
    <w:rsid w:val="00A97F0F"/>
    <w:rsid w:val="00AA006E"/>
    <w:rsid w:val="00AA02D9"/>
    <w:rsid w:val="00AA0F07"/>
    <w:rsid w:val="00AA14CE"/>
    <w:rsid w:val="00AA1A0F"/>
    <w:rsid w:val="00AA203C"/>
    <w:rsid w:val="00AA215D"/>
    <w:rsid w:val="00AA2A28"/>
    <w:rsid w:val="00AA2C78"/>
    <w:rsid w:val="00AA2DD8"/>
    <w:rsid w:val="00AA3073"/>
    <w:rsid w:val="00AA3229"/>
    <w:rsid w:val="00AA3D9A"/>
    <w:rsid w:val="00AA426B"/>
    <w:rsid w:val="00AA4B45"/>
    <w:rsid w:val="00AA4C95"/>
    <w:rsid w:val="00AA5246"/>
    <w:rsid w:val="00AA554B"/>
    <w:rsid w:val="00AA586F"/>
    <w:rsid w:val="00AA5D3C"/>
    <w:rsid w:val="00AA630B"/>
    <w:rsid w:val="00AA6399"/>
    <w:rsid w:val="00AA64EB"/>
    <w:rsid w:val="00AA69A4"/>
    <w:rsid w:val="00AA6D47"/>
    <w:rsid w:val="00AA73D6"/>
    <w:rsid w:val="00AA7840"/>
    <w:rsid w:val="00AA7B7E"/>
    <w:rsid w:val="00AA7ED2"/>
    <w:rsid w:val="00AB01A4"/>
    <w:rsid w:val="00AB042D"/>
    <w:rsid w:val="00AB04BA"/>
    <w:rsid w:val="00AB094B"/>
    <w:rsid w:val="00AB0A7D"/>
    <w:rsid w:val="00AB128E"/>
    <w:rsid w:val="00AB1A2B"/>
    <w:rsid w:val="00AB1C2C"/>
    <w:rsid w:val="00AB207B"/>
    <w:rsid w:val="00AB214E"/>
    <w:rsid w:val="00AB2CBA"/>
    <w:rsid w:val="00AB2E14"/>
    <w:rsid w:val="00AB338D"/>
    <w:rsid w:val="00AB3450"/>
    <w:rsid w:val="00AB3936"/>
    <w:rsid w:val="00AB3A11"/>
    <w:rsid w:val="00AB3B55"/>
    <w:rsid w:val="00AB3CB2"/>
    <w:rsid w:val="00AB4257"/>
    <w:rsid w:val="00AB44B9"/>
    <w:rsid w:val="00AB4694"/>
    <w:rsid w:val="00AB46FD"/>
    <w:rsid w:val="00AB4941"/>
    <w:rsid w:val="00AB533E"/>
    <w:rsid w:val="00AB54A9"/>
    <w:rsid w:val="00AB57FA"/>
    <w:rsid w:val="00AB605F"/>
    <w:rsid w:val="00AB60E0"/>
    <w:rsid w:val="00AB6158"/>
    <w:rsid w:val="00AB6530"/>
    <w:rsid w:val="00AB731D"/>
    <w:rsid w:val="00AB768B"/>
    <w:rsid w:val="00AB7810"/>
    <w:rsid w:val="00AB79D4"/>
    <w:rsid w:val="00AB7BF6"/>
    <w:rsid w:val="00AB7C05"/>
    <w:rsid w:val="00AB7CF8"/>
    <w:rsid w:val="00AC04A0"/>
    <w:rsid w:val="00AC0811"/>
    <w:rsid w:val="00AC1082"/>
    <w:rsid w:val="00AC1663"/>
    <w:rsid w:val="00AC172C"/>
    <w:rsid w:val="00AC17F4"/>
    <w:rsid w:val="00AC1862"/>
    <w:rsid w:val="00AC1B38"/>
    <w:rsid w:val="00AC22EA"/>
    <w:rsid w:val="00AC245F"/>
    <w:rsid w:val="00AC2E2C"/>
    <w:rsid w:val="00AC331E"/>
    <w:rsid w:val="00AC3A06"/>
    <w:rsid w:val="00AC3A92"/>
    <w:rsid w:val="00AC4218"/>
    <w:rsid w:val="00AC4244"/>
    <w:rsid w:val="00AC4D48"/>
    <w:rsid w:val="00AC5463"/>
    <w:rsid w:val="00AC560C"/>
    <w:rsid w:val="00AC5616"/>
    <w:rsid w:val="00AC5D43"/>
    <w:rsid w:val="00AC6234"/>
    <w:rsid w:val="00AC633F"/>
    <w:rsid w:val="00AC690D"/>
    <w:rsid w:val="00AC6ADA"/>
    <w:rsid w:val="00AC6D31"/>
    <w:rsid w:val="00AC6DA7"/>
    <w:rsid w:val="00AC6FFB"/>
    <w:rsid w:val="00AC79BA"/>
    <w:rsid w:val="00AC7FD0"/>
    <w:rsid w:val="00AD03A1"/>
    <w:rsid w:val="00AD07C9"/>
    <w:rsid w:val="00AD0813"/>
    <w:rsid w:val="00AD0D78"/>
    <w:rsid w:val="00AD0D91"/>
    <w:rsid w:val="00AD1C96"/>
    <w:rsid w:val="00AD21CD"/>
    <w:rsid w:val="00AD22B6"/>
    <w:rsid w:val="00AD25A4"/>
    <w:rsid w:val="00AD2886"/>
    <w:rsid w:val="00AD29D6"/>
    <w:rsid w:val="00AD29E9"/>
    <w:rsid w:val="00AD2AA6"/>
    <w:rsid w:val="00AD2DC1"/>
    <w:rsid w:val="00AD30C9"/>
    <w:rsid w:val="00AD3237"/>
    <w:rsid w:val="00AD32B2"/>
    <w:rsid w:val="00AD3384"/>
    <w:rsid w:val="00AD33B6"/>
    <w:rsid w:val="00AD351E"/>
    <w:rsid w:val="00AD3A46"/>
    <w:rsid w:val="00AD3D26"/>
    <w:rsid w:val="00AD4545"/>
    <w:rsid w:val="00AD49C8"/>
    <w:rsid w:val="00AD4C3B"/>
    <w:rsid w:val="00AD4ECA"/>
    <w:rsid w:val="00AD5090"/>
    <w:rsid w:val="00AD584F"/>
    <w:rsid w:val="00AD5A2F"/>
    <w:rsid w:val="00AD5EFF"/>
    <w:rsid w:val="00AD61BF"/>
    <w:rsid w:val="00AD62AC"/>
    <w:rsid w:val="00AD7189"/>
    <w:rsid w:val="00AD71B0"/>
    <w:rsid w:val="00AD71DE"/>
    <w:rsid w:val="00AD7518"/>
    <w:rsid w:val="00AD7856"/>
    <w:rsid w:val="00AD7A5D"/>
    <w:rsid w:val="00AD7A7D"/>
    <w:rsid w:val="00AD7AD9"/>
    <w:rsid w:val="00AD7C64"/>
    <w:rsid w:val="00AD7D7E"/>
    <w:rsid w:val="00AE002F"/>
    <w:rsid w:val="00AE019A"/>
    <w:rsid w:val="00AE0229"/>
    <w:rsid w:val="00AE0643"/>
    <w:rsid w:val="00AE069F"/>
    <w:rsid w:val="00AE083E"/>
    <w:rsid w:val="00AE0B69"/>
    <w:rsid w:val="00AE0C0A"/>
    <w:rsid w:val="00AE0CD8"/>
    <w:rsid w:val="00AE0E8B"/>
    <w:rsid w:val="00AE13D5"/>
    <w:rsid w:val="00AE228D"/>
    <w:rsid w:val="00AE2946"/>
    <w:rsid w:val="00AE2E60"/>
    <w:rsid w:val="00AE3612"/>
    <w:rsid w:val="00AE3893"/>
    <w:rsid w:val="00AE38C6"/>
    <w:rsid w:val="00AE3B09"/>
    <w:rsid w:val="00AE3B58"/>
    <w:rsid w:val="00AE3D09"/>
    <w:rsid w:val="00AE45E2"/>
    <w:rsid w:val="00AE47A3"/>
    <w:rsid w:val="00AE4B09"/>
    <w:rsid w:val="00AE4C83"/>
    <w:rsid w:val="00AE500A"/>
    <w:rsid w:val="00AE5154"/>
    <w:rsid w:val="00AE567E"/>
    <w:rsid w:val="00AE6272"/>
    <w:rsid w:val="00AE62F7"/>
    <w:rsid w:val="00AE67E8"/>
    <w:rsid w:val="00AE6B9B"/>
    <w:rsid w:val="00AE6BE6"/>
    <w:rsid w:val="00AE72A8"/>
    <w:rsid w:val="00AE750C"/>
    <w:rsid w:val="00AE7713"/>
    <w:rsid w:val="00AE7822"/>
    <w:rsid w:val="00AE7ADD"/>
    <w:rsid w:val="00AE7BCD"/>
    <w:rsid w:val="00AE7EEE"/>
    <w:rsid w:val="00AF009E"/>
    <w:rsid w:val="00AF0286"/>
    <w:rsid w:val="00AF0349"/>
    <w:rsid w:val="00AF0604"/>
    <w:rsid w:val="00AF08A4"/>
    <w:rsid w:val="00AF0B2C"/>
    <w:rsid w:val="00AF0FC4"/>
    <w:rsid w:val="00AF106E"/>
    <w:rsid w:val="00AF13F2"/>
    <w:rsid w:val="00AF16F1"/>
    <w:rsid w:val="00AF19CD"/>
    <w:rsid w:val="00AF1D54"/>
    <w:rsid w:val="00AF1DCD"/>
    <w:rsid w:val="00AF247D"/>
    <w:rsid w:val="00AF24BA"/>
    <w:rsid w:val="00AF252C"/>
    <w:rsid w:val="00AF27BB"/>
    <w:rsid w:val="00AF2838"/>
    <w:rsid w:val="00AF2EEB"/>
    <w:rsid w:val="00AF2F76"/>
    <w:rsid w:val="00AF3264"/>
    <w:rsid w:val="00AF3313"/>
    <w:rsid w:val="00AF3391"/>
    <w:rsid w:val="00AF3595"/>
    <w:rsid w:val="00AF37D6"/>
    <w:rsid w:val="00AF3BCE"/>
    <w:rsid w:val="00AF3C6E"/>
    <w:rsid w:val="00AF3CC3"/>
    <w:rsid w:val="00AF3EFF"/>
    <w:rsid w:val="00AF401D"/>
    <w:rsid w:val="00AF48D3"/>
    <w:rsid w:val="00AF4BAE"/>
    <w:rsid w:val="00AF4BD9"/>
    <w:rsid w:val="00AF4C12"/>
    <w:rsid w:val="00AF532F"/>
    <w:rsid w:val="00AF5411"/>
    <w:rsid w:val="00AF5893"/>
    <w:rsid w:val="00AF5ADB"/>
    <w:rsid w:val="00AF63DB"/>
    <w:rsid w:val="00AF64DC"/>
    <w:rsid w:val="00AF6673"/>
    <w:rsid w:val="00AF6846"/>
    <w:rsid w:val="00AF69D5"/>
    <w:rsid w:val="00AF6A4E"/>
    <w:rsid w:val="00AF6E18"/>
    <w:rsid w:val="00AF71EB"/>
    <w:rsid w:val="00AF7816"/>
    <w:rsid w:val="00AF7A0C"/>
    <w:rsid w:val="00AF7EAD"/>
    <w:rsid w:val="00B00012"/>
    <w:rsid w:val="00B0008A"/>
    <w:rsid w:val="00B001E4"/>
    <w:rsid w:val="00B007F8"/>
    <w:rsid w:val="00B00848"/>
    <w:rsid w:val="00B00E1A"/>
    <w:rsid w:val="00B00F86"/>
    <w:rsid w:val="00B01912"/>
    <w:rsid w:val="00B019A3"/>
    <w:rsid w:val="00B01D6D"/>
    <w:rsid w:val="00B01E28"/>
    <w:rsid w:val="00B01EAE"/>
    <w:rsid w:val="00B02B6F"/>
    <w:rsid w:val="00B0318C"/>
    <w:rsid w:val="00B03423"/>
    <w:rsid w:val="00B0349A"/>
    <w:rsid w:val="00B034B9"/>
    <w:rsid w:val="00B03CCB"/>
    <w:rsid w:val="00B03E02"/>
    <w:rsid w:val="00B041C5"/>
    <w:rsid w:val="00B04376"/>
    <w:rsid w:val="00B0441A"/>
    <w:rsid w:val="00B045AF"/>
    <w:rsid w:val="00B046ED"/>
    <w:rsid w:val="00B04CFB"/>
    <w:rsid w:val="00B04F86"/>
    <w:rsid w:val="00B05811"/>
    <w:rsid w:val="00B05A67"/>
    <w:rsid w:val="00B05C4E"/>
    <w:rsid w:val="00B05C82"/>
    <w:rsid w:val="00B05CE4"/>
    <w:rsid w:val="00B05E61"/>
    <w:rsid w:val="00B05E94"/>
    <w:rsid w:val="00B06052"/>
    <w:rsid w:val="00B061C8"/>
    <w:rsid w:val="00B0633D"/>
    <w:rsid w:val="00B066A4"/>
    <w:rsid w:val="00B06777"/>
    <w:rsid w:val="00B06B5A"/>
    <w:rsid w:val="00B06CDE"/>
    <w:rsid w:val="00B07121"/>
    <w:rsid w:val="00B07360"/>
    <w:rsid w:val="00B077BA"/>
    <w:rsid w:val="00B07AA7"/>
    <w:rsid w:val="00B07BF8"/>
    <w:rsid w:val="00B100F5"/>
    <w:rsid w:val="00B1027F"/>
    <w:rsid w:val="00B10513"/>
    <w:rsid w:val="00B10E61"/>
    <w:rsid w:val="00B11160"/>
    <w:rsid w:val="00B113F1"/>
    <w:rsid w:val="00B11A94"/>
    <w:rsid w:val="00B11E4F"/>
    <w:rsid w:val="00B120B4"/>
    <w:rsid w:val="00B12140"/>
    <w:rsid w:val="00B123ED"/>
    <w:rsid w:val="00B1240B"/>
    <w:rsid w:val="00B1243A"/>
    <w:rsid w:val="00B12443"/>
    <w:rsid w:val="00B124E1"/>
    <w:rsid w:val="00B12619"/>
    <w:rsid w:val="00B12723"/>
    <w:rsid w:val="00B12AEE"/>
    <w:rsid w:val="00B12B7C"/>
    <w:rsid w:val="00B12F8E"/>
    <w:rsid w:val="00B13141"/>
    <w:rsid w:val="00B131FD"/>
    <w:rsid w:val="00B135FF"/>
    <w:rsid w:val="00B13C2F"/>
    <w:rsid w:val="00B13EAF"/>
    <w:rsid w:val="00B1415B"/>
    <w:rsid w:val="00B14A62"/>
    <w:rsid w:val="00B14EE2"/>
    <w:rsid w:val="00B15323"/>
    <w:rsid w:val="00B153F8"/>
    <w:rsid w:val="00B1579A"/>
    <w:rsid w:val="00B15C99"/>
    <w:rsid w:val="00B1613C"/>
    <w:rsid w:val="00B16185"/>
    <w:rsid w:val="00B165FA"/>
    <w:rsid w:val="00B16869"/>
    <w:rsid w:val="00B16ADD"/>
    <w:rsid w:val="00B17091"/>
    <w:rsid w:val="00B170AB"/>
    <w:rsid w:val="00B170C5"/>
    <w:rsid w:val="00B17670"/>
    <w:rsid w:val="00B17BA4"/>
    <w:rsid w:val="00B17C83"/>
    <w:rsid w:val="00B20118"/>
    <w:rsid w:val="00B2033C"/>
    <w:rsid w:val="00B20698"/>
    <w:rsid w:val="00B20A21"/>
    <w:rsid w:val="00B210D1"/>
    <w:rsid w:val="00B217F4"/>
    <w:rsid w:val="00B21905"/>
    <w:rsid w:val="00B21962"/>
    <w:rsid w:val="00B2197C"/>
    <w:rsid w:val="00B22057"/>
    <w:rsid w:val="00B221F9"/>
    <w:rsid w:val="00B22401"/>
    <w:rsid w:val="00B22765"/>
    <w:rsid w:val="00B22768"/>
    <w:rsid w:val="00B22BDF"/>
    <w:rsid w:val="00B22F34"/>
    <w:rsid w:val="00B23246"/>
    <w:rsid w:val="00B23484"/>
    <w:rsid w:val="00B23973"/>
    <w:rsid w:val="00B23A48"/>
    <w:rsid w:val="00B23CB5"/>
    <w:rsid w:val="00B24031"/>
    <w:rsid w:val="00B24065"/>
    <w:rsid w:val="00B24835"/>
    <w:rsid w:val="00B25220"/>
    <w:rsid w:val="00B2593F"/>
    <w:rsid w:val="00B25B10"/>
    <w:rsid w:val="00B25E98"/>
    <w:rsid w:val="00B25F63"/>
    <w:rsid w:val="00B25F73"/>
    <w:rsid w:val="00B25FF5"/>
    <w:rsid w:val="00B263B5"/>
    <w:rsid w:val="00B267B5"/>
    <w:rsid w:val="00B26C9E"/>
    <w:rsid w:val="00B27081"/>
    <w:rsid w:val="00B270B9"/>
    <w:rsid w:val="00B27400"/>
    <w:rsid w:val="00B27825"/>
    <w:rsid w:val="00B27AC4"/>
    <w:rsid w:val="00B27C3C"/>
    <w:rsid w:val="00B30AB8"/>
    <w:rsid w:val="00B30FBA"/>
    <w:rsid w:val="00B3119E"/>
    <w:rsid w:val="00B31231"/>
    <w:rsid w:val="00B319FA"/>
    <w:rsid w:val="00B31B48"/>
    <w:rsid w:val="00B31D3E"/>
    <w:rsid w:val="00B32B14"/>
    <w:rsid w:val="00B32F03"/>
    <w:rsid w:val="00B331C7"/>
    <w:rsid w:val="00B3387C"/>
    <w:rsid w:val="00B33A18"/>
    <w:rsid w:val="00B33D93"/>
    <w:rsid w:val="00B33ED4"/>
    <w:rsid w:val="00B342CC"/>
    <w:rsid w:val="00B344A4"/>
    <w:rsid w:val="00B34644"/>
    <w:rsid w:val="00B34B9C"/>
    <w:rsid w:val="00B34E44"/>
    <w:rsid w:val="00B35111"/>
    <w:rsid w:val="00B351C0"/>
    <w:rsid w:val="00B3532A"/>
    <w:rsid w:val="00B356B3"/>
    <w:rsid w:val="00B35A64"/>
    <w:rsid w:val="00B35FC0"/>
    <w:rsid w:val="00B36003"/>
    <w:rsid w:val="00B36361"/>
    <w:rsid w:val="00B36558"/>
    <w:rsid w:val="00B36693"/>
    <w:rsid w:val="00B369CE"/>
    <w:rsid w:val="00B36BE8"/>
    <w:rsid w:val="00B371B3"/>
    <w:rsid w:val="00B37706"/>
    <w:rsid w:val="00B377C5"/>
    <w:rsid w:val="00B379CE"/>
    <w:rsid w:val="00B37AB4"/>
    <w:rsid w:val="00B404DC"/>
    <w:rsid w:val="00B404FA"/>
    <w:rsid w:val="00B405D2"/>
    <w:rsid w:val="00B408A8"/>
    <w:rsid w:val="00B40C1A"/>
    <w:rsid w:val="00B4128C"/>
    <w:rsid w:val="00B41356"/>
    <w:rsid w:val="00B414B3"/>
    <w:rsid w:val="00B41DF3"/>
    <w:rsid w:val="00B41F3C"/>
    <w:rsid w:val="00B423F8"/>
    <w:rsid w:val="00B424A6"/>
    <w:rsid w:val="00B42879"/>
    <w:rsid w:val="00B42A6B"/>
    <w:rsid w:val="00B42B79"/>
    <w:rsid w:val="00B42D44"/>
    <w:rsid w:val="00B43322"/>
    <w:rsid w:val="00B43431"/>
    <w:rsid w:val="00B4393D"/>
    <w:rsid w:val="00B43B05"/>
    <w:rsid w:val="00B448AA"/>
    <w:rsid w:val="00B449A2"/>
    <w:rsid w:val="00B44B4C"/>
    <w:rsid w:val="00B44C1D"/>
    <w:rsid w:val="00B4510F"/>
    <w:rsid w:val="00B45540"/>
    <w:rsid w:val="00B45E7D"/>
    <w:rsid w:val="00B45F41"/>
    <w:rsid w:val="00B461EE"/>
    <w:rsid w:val="00B462CE"/>
    <w:rsid w:val="00B4666B"/>
    <w:rsid w:val="00B466BB"/>
    <w:rsid w:val="00B4701C"/>
    <w:rsid w:val="00B47445"/>
    <w:rsid w:val="00B4776F"/>
    <w:rsid w:val="00B47FC9"/>
    <w:rsid w:val="00B5017F"/>
    <w:rsid w:val="00B50876"/>
    <w:rsid w:val="00B50920"/>
    <w:rsid w:val="00B50BBE"/>
    <w:rsid w:val="00B50E5E"/>
    <w:rsid w:val="00B51067"/>
    <w:rsid w:val="00B5126C"/>
    <w:rsid w:val="00B51412"/>
    <w:rsid w:val="00B5154A"/>
    <w:rsid w:val="00B515F9"/>
    <w:rsid w:val="00B5179E"/>
    <w:rsid w:val="00B51820"/>
    <w:rsid w:val="00B52229"/>
    <w:rsid w:val="00B52571"/>
    <w:rsid w:val="00B534E5"/>
    <w:rsid w:val="00B537BC"/>
    <w:rsid w:val="00B540A8"/>
    <w:rsid w:val="00B540EE"/>
    <w:rsid w:val="00B5440E"/>
    <w:rsid w:val="00B54507"/>
    <w:rsid w:val="00B5458C"/>
    <w:rsid w:val="00B546A0"/>
    <w:rsid w:val="00B54888"/>
    <w:rsid w:val="00B54EE0"/>
    <w:rsid w:val="00B54F1E"/>
    <w:rsid w:val="00B550B2"/>
    <w:rsid w:val="00B5533A"/>
    <w:rsid w:val="00B55995"/>
    <w:rsid w:val="00B55D31"/>
    <w:rsid w:val="00B55E9B"/>
    <w:rsid w:val="00B5613A"/>
    <w:rsid w:val="00B5682C"/>
    <w:rsid w:val="00B56B40"/>
    <w:rsid w:val="00B56B76"/>
    <w:rsid w:val="00B56D43"/>
    <w:rsid w:val="00B575E4"/>
    <w:rsid w:val="00B57FE6"/>
    <w:rsid w:val="00B6064A"/>
    <w:rsid w:val="00B606C8"/>
    <w:rsid w:val="00B608F2"/>
    <w:rsid w:val="00B60920"/>
    <w:rsid w:val="00B60A9C"/>
    <w:rsid w:val="00B60BF2"/>
    <w:rsid w:val="00B6125A"/>
    <w:rsid w:val="00B612CF"/>
    <w:rsid w:val="00B61626"/>
    <w:rsid w:val="00B6162E"/>
    <w:rsid w:val="00B61687"/>
    <w:rsid w:val="00B618C1"/>
    <w:rsid w:val="00B61901"/>
    <w:rsid w:val="00B61ACF"/>
    <w:rsid w:val="00B62108"/>
    <w:rsid w:val="00B629CA"/>
    <w:rsid w:val="00B62F18"/>
    <w:rsid w:val="00B6306E"/>
    <w:rsid w:val="00B631D9"/>
    <w:rsid w:val="00B6372C"/>
    <w:rsid w:val="00B645F4"/>
    <w:rsid w:val="00B64A7A"/>
    <w:rsid w:val="00B653F0"/>
    <w:rsid w:val="00B66CB5"/>
    <w:rsid w:val="00B66D31"/>
    <w:rsid w:val="00B67413"/>
    <w:rsid w:val="00B67941"/>
    <w:rsid w:val="00B67BE9"/>
    <w:rsid w:val="00B700D2"/>
    <w:rsid w:val="00B70243"/>
    <w:rsid w:val="00B70733"/>
    <w:rsid w:val="00B71187"/>
    <w:rsid w:val="00B7121F"/>
    <w:rsid w:val="00B715F6"/>
    <w:rsid w:val="00B72381"/>
    <w:rsid w:val="00B7280D"/>
    <w:rsid w:val="00B72E82"/>
    <w:rsid w:val="00B72F4F"/>
    <w:rsid w:val="00B731F8"/>
    <w:rsid w:val="00B7331E"/>
    <w:rsid w:val="00B73FC9"/>
    <w:rsid w:val="00B742FF"/>
    <w:rsid w:val="00B74442"/>
    <w:rsid w:val="00B747B1"/>
    <w:rsid w:val="00B747F6"/>
    <w:rsid w:val="00B74891"/>
    <w:rsid w:val="00B748B5"/>
    <w:rsid w:val="00B74FAA"/>
    <w:rsid w:val="00B7506C"/>
    <w:rsid w:val="00B750C5"/>
    <w:rsid w:val="00B75832"/>
    <w:rsid w:val="00B758AE"/>
    <w:rsid w:val="00B75A27"/>
    <w:rsid w:val="00B75C02"/>
    <w:rsid w:val="00B75D9E"/>
    <w:rsid w:val="00B76190"/>
    <w:rsid w:val="00B7639C"/>
    <w:rsid w:val="00B76835"/>
    <w:rsid w:val="00B768E3"/>
    <w:rsid w:val="00B769ED"/>
    <w:rsid w:val="00B76E0C"/>
    <w:rsid w:val="00B76F0F"/>
    <w:rsid w:val="00B770EB"/>
    <w:rsid w:val="00B773CD"/>
    <w:rsid w:val="00B77707"/>
    <w:rsid w:val="00B77814"/>
    <w:rsid w:val="00B802B6"/>
    <w:rsid w:val="00B80425"/>
    <w:rsid w:val="00B80620"/>
    <w:rsid w:val="00B80653"/>
    <w:rsid w:val="00B80A43"/>
    <w:rsid w:val="00B80B39"/>
    <w:rsid w:val="00B80DDB"/>
    <w:rsid w:val="00B80FEA"/>
    <w:rsid w:val="00B81894"/>
    <w:rsid w:val="00B82047"/>
    <w:rsid w:val="00B827C8"/>
    <w:rsid w:val="00B82C23"/>
    <w:rsid w:val="00B82EFF"/>
    <w:rsid w:val="00B8310D"/>
    <w:rsid w:val="00B8366F"/>
    <w:rsid w:val="00B838C9"/>
    <w:rsid w:val="00B83AFF"/>
    <w:rsid w:val="00B8400D"/>
    <w:rsid w:val="00B84209"/>
    <w:rsid w:val="00B8450C"/>
    <w:rsid w:val="00B8451C"/>
    <w:rsid w:val="00B84B0B"/>
    <w:rsid w:val="00B84E05"/>
    <w:rsid w:val="00B853C0"/>
    <w:rsid w:val="00B853D0"/>
    <w:rsid w:val="00B854AF"/>
    <w:rsid w:val="00B85922"/>
    <w:rsid w:val="00B8669F"/>
    <w:rsid w:val="00B866FE"/>
    <w:rsid w:val="00B86DE1"/>
    <w:rsid w:val="00B86E86"/>
    <w:rsid w:val="00B86EAF"/>
    <w:rsid w:val="00B86F41"/>
    <w:rsid w:val="00B879EA"/>
    <w:rsid w:val="00B879EE"/>
    <w:rsid w:val="00B87C2C"/>
    <w:rsid w:val="00B87D56"/>
    <w:rsid w:val="00B903B4"/>
    <w:rsid w:val="00B903DF"/>
    <w:rsid w:val="00B905D9"/>
    <w:rsid w:val="00B90DFA"/>
    <w:rsid w:val="00B90E6F"/>
    <w:rsid w:val="00B91128"/>
    <w:rsid w:val="00B9119E"/>
    <w:rsid w:val="00B917C2"/>
    <w:rsid w:val="00B91E78"/>
    <w:rsid w:val="00B9261A"/>
    <w:rsid w:val="00B928A3"/>
    <w:rsid w:val="00B92DC7"/>
    <w:rsid w:val="00B934C3"/>
    <w:rsid w:val="00B9382E"/>
    <w:rsid w:val="00B939D5"/>
    <w:rsid w:val="00B93F52"/>
    <w:rsid w:val="00B940BA"/>
    <w:rsid w:val="00B941C9"/>
    <w:rsid w:val="00B943D2"/>
    <w:rsid w:val="00B94B41"/>
    <w:rsid w:val="00B94C17"/>
    <w:rsid w:val="00B94FBD"/>
    <w:rsid w:val="00B95C06"/>
    <w:rsid w:val="00B95DC4"/>
    <w:rsid w:val="00B965E6"/>
    <w:rsid w:val="00B96675"/>
    <w:rsid w:val="00B9668B"/>
    <w:rsid w:val="00B96B90"/>
    <w:rsid w:val="00B97134"/>
    <w:rsid w:val="00BA02DA"/>
    <w:rsid w:val="00BA06AA"/>
    <w:rsid w:val="00BA0B34"/>
    <w:rsid w:val="00BA0B84"/>
    <w:rsid w:val="00BA1720"/>
    <w:rsid w:val="00BA1844"/>
    <w:rsid w:val="00BA18EC"/>
    <w:rsid w:val="00BA19FF"/>
    <w:rsid w:val="00BA1A6F"/>
    <w:rsid w:val="00BA1D15"/>
    <w:rsid w:val="00BA1E1C"/>
    <w:rsid w:val="00BA242A"/>
    <w:rsid w:val="00BA259D"/>
    <w:rsid w:val="00BA25D6"/>
    <w:rsid w:val="00BA267F"/>
    <w:rsid w:val="00BA29C6"/>
    <w:rsid w:val="00BA2F06"/>
    <w:rsid w:val="00BA2FD8"/>
    <w:rsid w:val="00BA3145"/>
    <w:rsid w:val="00BA3BC9"/>
    <w:rsid w:val="00BA3ED5"/>
    <w:rsid w:val="00BA4051"/>
    <w:rsid w:val="00BA43DD"/>
    <w:rsid w:val="00BA467D"/>
    <w:rsid w:val="00BA477F"/>
    <w:rsid w:val="00BA47EF"/>
    <w:rsid w:val="00BA48CD"/>
    <w:rsid w:val="00BA58A6"/>
    <w:rsid w:val="00BA5C7F"/>
    <w:rsid w:val="00BA5C80"/>
    <w:rsid w:val="00BA5E23"/>
    <w:rsid w:val="00BA61AE"/>
    <w:rsid w:val="00BA63AD"/>
    <w:rsid w:val="00BA6582"/>
    <w:rsid w:val="00BA70AF"/>
    <w:rsid w:val="00BA70C4"/>
    <w:rsid w:val="00BA7569"/>
    <w:rsid w:val="00BA77FE"/>
    <w:rsid w:val="00BA7E0D"/>
    <w:rsid w:val="00BB033C"/>
    <w:rsid w:val="00BB05BD"/>
    <w:rsid w:val="00BB0DDF"/>
    <w:rsid w:val="00BB1806"/>
    <w:rsid w:val="00BB25F8"/>
    <w:rsid w:val="00BB2C2A"/>
    <w:rsid w:val="00BB2EC2"/>
    <w:rsid w:val="00BB32D4"/>
    <w:rsid w:val="00BB3BF6"/>
    <w:rsid w:val="00BB3FFC"/>
    <w:rsid w:val="00BB405F"/>
    <w:rsid w:val="00BB44EF"/>
    <w:rsid w:val="00BB4D32"/>
    <w:rsid w:val="00BB4E59"/>
    <w:rsid w:val="00BB4FCF"/>
    <w:rsid w:val="00BB5439"/>
    <w:rsid w:val="00BB5507"/>
    <w:rsid w:val="00BB55CC"/>
    <w:rsid w:val="00BB5888"/>
    <w:rsid w:val="00BB5897"/>
    <w:rsid w:val="00BB5C5B"/>
    <w:rsid w:val="00BB5D7F"/>
    <w:rsid w:val="00BB6238"/>
    <w:rsid w:val="00BB66A0"/>
    <w:rsid w:val="00BB680F"/>
    <w:rsid w:val="00BB6A1A"/>
    <w:rsid w:val="00BB6A6D"/>
    <w:rsid w:val="00BB6B27"/>
    <w:rsid w:val="00BB7488"/>
    <w:rsid w:val="00BB76AE"/>
    <w:rsid w:val="00BB76D8"/>
    <w:rsid w:val="00BB77B5"/>
    <w:rsid w:val="00BB7B1C"/>
    <w:rsid w:val="00BB7B7E"/>
    <w:rsid w:val="00BB7BBA"/>
    <w:rsid w:val="00BB7EFC"/>
    <w:rsid w:val="00BC009B"/>
    <w:rsid w:val="00BC037D"/>
    <w:rsid w:val="00BC0987"/>
    <w:rsid w:val="00BC1159"/>
    <w:rsid w:val="00BC192F"/>
    <w:rsid w:val="00BC1E56"/>
    <w:rsid w:val="00BC2338"/>
    <w:rsid w:val="00BC2364"/>
    <w:rsid w:val="00BC23CE"/>
    <w:rsid w:val="00BC25DE"/>
    <w:rsid w:val="00BC3275"/>
    <w:rsid w:val="00BC3470"/>
    <w:rsid w:val="00BC3ADD"/>
    <w:rsid w:val="00BC4124"/>
    <w:rsid w:val="00BC4B74"/>
    <w:rsid w:val="00BC501D"/>
    <w:rsid w:val="00BC504A"/>
    <w:rsid w:val="00BC526D"/>
    <w:rsid w:val="00BC565A"/>
    <w:rsid w:val="00BC5BCE"/>
    <w:rsid w:val="00BC6433"/>
    <w:rsid w:val="00BC6743"/>
    <w:rsid w:val="00BC6874"/>
    <w:rsid w:val="00BC6DE1"/>
    <w:rsid w:val="00BC730E"/>
    <w:rsid w:val="00BC7813"/>
    <w:rsid w:val="00BC7DE7"/>
    <w:rsid w:val="00BC7EAE"/>
    <w:rsid w:val="00BD00A0"/>
    <w:rsid w:val="00BD07F0"/>
    <w:rsid w:val="00BD1262"/>
    <w:rsid w:val="00BD129D"/>
    <w:rsid w:val="00BD1829"/>
    <w:rsid w:val="00BD1E0C"/>
    <w:rsid w:val="00BD1ECF"/>
    <w:rsid w:val="00BD2082"/>
    <w:rsid w:val="00BD22A4"/>
    <w:rsid w:val="00BD2503"/>
    <w:rsid w:val="00BD27D1"/>
    <w:rsid w:val="00BD2ECB"/>
    <w:rsid w:val="00BD2F52"/>
    <w:rsid w:val="00BD302F"/>
    <w:rsid w:val="00BD3374"/>
    <w:rsid w:val="00BD39AA"/>
    <w:rsid w:val="00BD39E6"/>
    <w:rsid w:val="00BD3A91"/>
    <w:rsid w:val="00BD3EF1"/>
    <w:rsid w:val="00BD442E"/>
    <w:rsid w:val="00BD4862"/>
    <w:rsid w:val="00BD489F"/>
    <w:rsid w:val="00BD48D4"/>
    <w:rsid w:val="00BD4EAE"/>
    <w:rsid w:val="00BD589F"/>
    <w:rsid w:val="00BD5BCC"/>
    <w:rsid w:val="00BD5FF5"/>
    <w:rsid w:val="00BD6266"/>
    <w:rsid w:val="00BD62DA"/>
    <w:rsid w:val="00BD6453"/>
    <w:rsid w:val="00BD64D0"/>
    <w:rsid w:val="00BD6B5C"/>
    <w:rsid w:val="00BD6C35"/>
    <w:rsid w:val="00BD6D6B"/>
    <w:rsid w:val="00BD6D8A"/>
    <w:rsid w:val="00BD6E74"/>
    <w:rsid w:val="00BD7203"/>
    <w:rsid w:val="00BD742C"/>
    <w:rsid w:val="00BD7C7D"/>
    <w:rsid w:val="00BE0066"/>
    <w:rsid w:val="00BE0A2A"/>
    <w:rsid w:val="00BE0DBE"/>
    <w:rsid w:val="00BE11ED"/>
    <w:rsid w:val="00BE14A6"/>
    <w:rsid w:val="00BE25F8"/>
    <w:rsid w:val="00BE265F"/>
    <w:rsid w:val="00BE26E5"/>
    <w:rsid w:val="00BE2755"/>
    <w:rsid w:val="00BE2B7C"/>
    <w:rsid w:val="00BE2DA6"/>
    <w:rsid w:val="00BE30B6"/>
    <w:rsid w:val="00BE3117"/>
    <w:rsid w:val="00BE36C9"/>
    <w:rsid w:val="00BE3C44"/>
    <w:rsid w:val="00BE3E76"/>
    <w:rsid w:val="00BE3F22"/>
    <w:rsid w:val="00BE40F1"/>
    <w:rsid w:val="00BE42C6"/>
    <w:rsid w:val="00BE438A"/>
    <w:rsid w:val="00BE481D"/>
    <w:rsid w:val="00BE4857"/>
    <w:rsid w:val="00BE49D0"/>
    <w:rsid w:val="00BE4C50"/>
    <w:rsid w:val="00BE50AC"/>
    <w:rsid w:val="00BE52CC"/>
    <w:rsid w:val="00BE573B"/>
    <w:rsid w:val="00BE57F2"/>
    <w:rsid w:val="00BE5D11"/>
    <w:rsid w:val="00BE6284"/>
    <w:rsid w:val="00BE64FB"/>
    <w:rsid w:val="00BE6563"/>
    <w:rsid w:val="00BE6829"/>
    <w:rsid w:val="00BE6F27"/>
    <w:rsid w:val="00BE7087"/>
    <w:rsid w:val="00BE772C"/>
    <w:rsid w:val="00BE7BC7"/>
    <w:rsid w:val="00BF0266"/>
    <w:rsid w:val="00BF047B"/>
    <w:rsid w:val="00BF04C0"/>
    <w:rsid w:val="00BF0A06"/>
    <w:rsid w:val="00BF0B07"/>
    <w:rsid w:val="00BF0BEC"/>
    <w:rsid w:val="00BF0CA0"/>
    <w:rsid w:val="00BF10D7"/>
    <w:rsid w:val="00BF163B"/>
    <w:rsid w:val="00BF196B"/>
    <w:rsid w:val="00BF1A76"/>
    <w:rsid w:val="00BF1CB1"/>
    <w:rsid w:val="00BF1D09"/>
    <w:rsid w:val="00BF216C"/>
    <w:rsid w:val="00BF2322"/>
    <w:rsid w:val="00BF2599"/>
    <w:rsid w:val="00BF25C7"/>
    <w:rsid w:val="00BF2792"/>
    <w:rsid w:val="00BF283D"/>
    <w:rsid w:val="00BF2AA0"/>
    <w:rsid w:val="00BF2EBF"/>
    <w:rsid w:val="00BF322D"/>
    <w:rsid w:val="00BF367E"/>
    <w:rsid w:val="00BF3764"/>
    <w:rsid w:val="00BF398E"/>
    <w:rsid w:val="00BF3CA2"/>
    <w:rsid w:val="00BF40DC"/>
    <w:rsid w:val="00BF411B"/>
    <w:rsid w:val="00BF519F"/>
    <w:rsid w:val="00BF51F1"/>
    <w:rsid w:val="00BF573D"/>
    <w:rsid w:val="00BF58DB"/>
    <w:rsid w:val="00BF5B91"/>
    <w:rsid w:val="00BF5BB6"/>
    <w:rsid w:val="00BF5EBC"/>
    <w:rsid w:val="00BF60D5"/>
    <w:rsid w:val="00BF6E4B"/>
    <w:rsid w:val="00BF77F2"/>
    <w:rsid w:val="00BF7C84"/>
    <w:rsid w:val="00BF7CD1"/>
    <w:rsid w:val="00C001DE"/>
    <w:rsid w:val="00C0026D"/>
    <w:rsid w:val="00C00643"/>
    <w:rsid w:val="00C010B6"/>
    <w:rsid w:val="00C011EB"/>
    <w:rsid w:val="00C01899"/>
    <w:rsid w:val="00C0199D"/>
    <w:rsid w:val="00C01B4C"/>
    <w:rsid w:val="00C01C06"/>
    <w:rsid w:val="00C01DBB"/>
    <w:rsid w:val="00C01F05"/>
    <w:rsid w:val="00C02266"/>
    <w:rsid w:val="00C02370"/>
    <w:rsid w:val="00C026B9"/>
    <w:rsid w:val="00C029F8"/>
    <w:rsid w:val="00C02A54"/>
    <w:rsid w:val="00C02C37"/>
    <w:rsid w:val="00C02FD8"/>
    <w:rsid w:val="00C03685"/>
    <w:rsid w:val="00C03900"/>
    <w:rsid w:val="00C04138"/>
    <w:rsid w:val="00C0477B"/>
    <w:rsid w:val="00C04959"/>
    <w:rsid w:val="00C04A79"/>
    <w:rsid w:val="00C05133"/>
    <w:rsid w:val="00C0549D"/>
    <w:rsid w:val="00C05845"/>
    <w:rsid w:val="00C05D82"/>
    <w:rsid w:val="00C0614B"/>
    <w:rsid w:val="00C0650F"/>
    <w:rsid w:val="00C0657C"/>
    <w:rsid w:val="00C06B1B"/>
    <w:rsid w:val="00C06BCD"/>
    <w:rsid w:val="00C06DAA"/>
    <w:rsid w:val="00C077C8"/>
    <w:rsid w:val="00C07D90"/>
    <w:rsid w:val="00C07F1B"/>
    <w:rsid w:val="00C10378"/>
    <w:rsid w:val="00C105FD"/>
    <w:rsid w:val="00C110E1"/>
    <w:rsid w:val="00C11DDD"/>
    <w:rsid w:val="00C12125"/>
    <w:rsid w:val="00C122FB"/>
    <w:rsid w:val="00C12B07"/>
    <w:rsid w:val="00C12BC0"/>
    <w:rsid w:val="00C1309B"/>
    <w:rsid w:val="00C130EE"/>
    <w:rsid w:val="00C1353D"/>
    <w:rsid w:val="00C1365C"/>
    <w:rsid w:val="00C137D4"/>
    <w:rsid w:val="00C137DE"/>
    <w:rsid w:val="00C1435D"/>
    <w:rsid w:val="00C14444"/>
    <w:rsid w:val="00C144CA"/>
    <w:rsid w:val="00C1479C"/>
    <w:rsid w:val="00C1489C"/>
    <w:rsid w:val="00C14BF4"/>
    <w:rsid w:val="00C14CC7"/>
    <w:rsid w:val="00C14FF1"/>
    <w:rsid w:val="00C151A5"/>
    <w:rsid w:val="00C15A6F"/>
    <w:rsid w:val="00C15B4F"/>
    <w:rsid w:val="00C15B8E"/>
    <w:rsid w:val="00C15F09"/>
    <w:rsid w:val="00C1631A"/>
    <w:rsid w:val="00C16428"/>
    <w:rsid w:val="00C16750"/>
    <w:rsid w:val="00C169D4"/>
    <w:rsid w:val="00C16A0D"/>
    <w:rsid w:val="00C16BB3"/>
    <w:rsid w:val="00C16DE8"/>
    <w:rsid w:val="00C16E18"/>
    <w:rsid w:val="00C16E76"/>
    <w:rsid w:val="00C2001F"/>
    <w:rsid w:val="00C20074"/>
    <w:rsid w:val="00C2046C"/>
    <w:rsid w:val="00C20960"/>
    <w:rsid w:val="00C20C65"/>
    <w:rsid w:val="00C20D80"/>
    <w:rsid w:val="00C20DB3"/>
    <w:rsid w:val="00C21486"/>
    <w:rsid w:val="00C2149B"/>
    <w:rsid w:val="00C21BC5"/>
    <w:rsid w:val="00C21F9E"/>
    <w:rsid w:val="00C226C9"/>
    <w:rsid w:val="00C22E48"/>
    <w:rsid w:val="00C22EB0"/>
    <w:rsid w:val="00C2339B"/>
    <w:rsid w:val="00C23529"/>
    <w:rsid w:val="00C236EE"/>
    <w:rsid w:val="00C23903"/>
    <w:rsid w:val="00C23926"/>
    <w:rsid w:val="00C23B55"/>
    <w:rsid w:val="00C24042"/>
    <w:rsid w:val="00C24620"/>
    <w:rsid w:val="00C24808"/>
    <w:rsid w:val="00C249F6"/>
    <w:rsid w:val="00C24E09"/>
    <w:rsid w:val="00C24E6D"/>
    <w:rsid w:val="00C250D9"/>
    <w:rsid w:val="00C2548F"/>
    <w:rsid w:val="00C2580B"/>
    <w:rsid w:val="00C25A3B"/>
    <w:rsid w:val="00C26138"/>
    <w:rsid w:val="00C26312"/>
    <w:rsid w:val="00C266DD"/>
    <w:rsid w:val="00C26A88"/>
    <w:rsid w:val="00C26A8F"/>
    <w:rsid w:val="00C271F1"/>
    <w:rsid w:val="00C30429"/>
    <w:rsid w:val="00C307B3"/>
    <w:rsid w:val="00C30AF0"/>
    <w:rsid w:val="00C30EB2"/>
    <w:rsid w:val="00C30FFE"/>
    <w:rsid w:val="00C31048"/>
    <w:rsid w:val="00C31174"/>
    <w:rsid w:val="00C313D1"/>
    <w:rsid w:val="00C314F0"/>
    <w:rsid w:val="00C32325"/>
    <w:rsid w:val="00C32516"/>
    <w:rsid w:val="00C32581"/>
    <w:rsid w:val="00C328D3"/>
    <w:rsid w:val="00C32903"/>
    <w:rsid w:val="00C32B20"/>
    <w:rsid w:val="00C33295"/>
    <w:rsid w:val="00C33778"/>
    <w:rsid w:val="00C33C2E"/>
    <w:rsid w:val="00C33EEE"/>
    <w:rsid w:val="00C34334"/>
    <w:rsid w:val="00C344A1"/>
    <w:rsid w:val="00C3452D"/>
    <w:rsid w:val="00C34596"/>
    <w:rsid w:val="00C34916"/>
    <w:rsid w:val="00C34A15"/>
    <w:rsid w:val="00C35060"/>
    <w:rsid w:val="00C351C6"/>
    <w:rsid w:val="00C3524E"/>
    <w:rsid w:val="00C353B2"/>
    <w:rsid w:val="00C35F67"/>
    <w:rsid w:val="00C362B2"/>
    <w:rsid w:val="00C3675C"/>
    <w:rsid w:val="00C36A3F"/>
    <w:rsid w:val="00C36E19"/>
    <w:rsid w:val="00C37058"/>
    <w:rsid w:val="00C37113"/>
    <w:rsid w:val="00C375C8"/>
    <w:rsid w:val="00C377CA"/>
    <w:rsid w:val="00C379EE"/>
    <w:rsid w:val="00C37DB8"/>
    <w:rsid w:val="00C37F19"/>
    <w:rsid w:val="00C400EA"/>
    <w:rsid w:val="00C4072F"/>
    <w:rsid w:val="00C40B37"/>
    <w:rsid w:val="00C40B86"/>
    <w:rsid w:val="00C41285"/>
    <w:rsid w:val="00C417F6"/>
    <w:rsid w:val="00C41A28"/>
    <w:rsid w:val="00C421FC"/>
    <w:rsid w:val="00C423FC"/>
    <w:rsid w:val="00C42842"/>
    <w:rsid w:val="00C42AC0"/>
    <w:rsid w:val="00C42C20"/>
    <w:rsid w:val="00C43013"/>
    <w:rsid w:val="00C432FC"/>
    <w:rsid w:val="00C4341E"/>
    <w:rsid w:val="00C4348A"/>
    <w:rsid w:val="00C4398C"/>
    <w:rsid w:val="00C43D76"/>
    <w:rsid w:val="00C44150"/>
    <w:rsid w:val="00C44447"/>
    <w:rsid w:val="00C445C1"/>
    <w:rsid w:val="00C44801"/>
    <w:rsid w:val="00C44AC8"/>
    <w:rsid w:val="00C44F23"/>
    <w:rsid w:val="00C44F39"/>
    <w:rsid w:val="00C44FA0"/>
    <w:rsid w:val="00C4535B"/>
    <w:rsid w:val="00C45452"/>
    <w:rsid w:val="00C45BAD"/>
    <w:rsid w:val="00C45BFB"/>
    <w:rsid w:val="00C46134"/>
    <w:rsid w:val="00C462AB"/>
    <w:rsid w:val="00C46EC5"/>
    <w:rsid w:val="00C46F0A"/>
    <w:rsid w:val="00C472B0"/>
    <w:rsid w:val="00C4773C"/>
    <w:rsid w:val="00C47962"/>
    <w:rsid w:val="00C479AA"/>
    <w:rsid w:val="00C47BFB"/>
    <w:rsid w:val="00C5036B"/>
    <w:rsid w:val="00C5086E"/>
    <w:rsid w:val="00C50BA4"/>
    <w:rsid w:val="00C5151B"/>
    <w:rsid w:val="00C51D63"/>
    <w:rsid w:val="00C51E4C"/>
    <w:rsid w:val="00C51F16"/>
    <w:rsid w:val="00C51F98"/>
    <w:rsid w:val="00C520A0"/>
    <w:rsid w:val="00C52205"/>
    <w:rsid w:val="00C5246D"/>
    <w:rsid w:val="00C52535"/>
    <w:rsid w:val="00C526ED"/>
    <w:rsid w:val="00C53280"/>
    <w:rsid w:val="00C532D9"/>
    <w:rsid w:val="00C53480"/>
    <w:rsid w:val="00C539AE"/>
    <w:rsid w:val="00C53E33"/>
    <w:rsid w:val="00C53E98"/>
    <w:rsid w:val="00C54161"/>
    <w:rsid w:val="00C5450B"/>
    <w:rsid w:val="00C545A7"/>
    <w:rsid w:val="00C549DC"/>
    <w:rsid w:val="00C54D05"/>
    <w:rsid w:val="00C54ED7"/>
    <w:rsid w:val="00C54FB9"/>
    <w:rsid w:val="00C54FF2"/>
    <w:rsid w:val="00C55100"/>
    <w:rsid w:val="00C55608"/>
    <w:rsid w:val="00C5596C"/>
    <w:rsid w:val="00C55DA3"/>
    <w:rsid w:val="00C55E70"/>
    <w:rsid w:val="00C56029"/>
    <w:rsid w:val="00C5639F"/>
    <w:rsid w:val="00C56412"/>
    <w:rsid w:val="00C56961"/>
    <w:rsid w:val="00C569F6"/>
    <w:rsid w:val="00C56DD6"/>
    <w:rsid w:val="00C571EB"/>
    <w:rsid w:val="00C57436"/>
    <w:rsid w:val="00C579AC"/>
    <w:rsid w:val="00C57CE5"/>
    <w:rsid w:val="00C60967"/>
    <w:rsid w:val="00C60C06"/>
    <w:rsid w:val="00C610DC"/>
    <w:rsid w:val="00C6177F"/>
    <w:rsid w:val="00C61A74"/>
    <w:rsid w:val="00C62062"/>
    <w:rsid w:val="00C62402"/>
    <w:rsid w:val="00C62493"/>
    <w:rsid w:val="00C625DF"/>
    <w:rsid w:val="00C62A93"/>
    <w:rsid w:val="00C62BF2"/>
    <w:rsid w:val="00C6373C"/>
    <w:rsid w:val="00C64046"/>
    <w:rsid w:val="00C64184"/>
    <w:rsid w:val="00C644F1"/>
    <w:rsid w:val="00C645BD"/>
    <w:rsid w:val="00C64723"/>
    <w:rsid w:val="00C64DC9"/>
    <w:rsid w:val="00C64DF3"/>
    <w:rsid w:val="00C650BA"/>
    <w:rsid w:val="00C65195"/>
    <w:rsid w:val="00C65564"/>
    <w:rsid w:val="00C6613E"/>
    <w:rsid w:val="00C66150"/>
    <w:rsid w:val="00C6651D"/>
    <w:rsid w:val="00C66696"/>
    <w:rsid w:val="00C666A8"/>
    <w:rsid w:val="00C66722"/>
    <w:rsid w:val="00C66892"/>
    <w:rsid w:val="00C6691A"/>
    <w:rsid w:val="00C66B95"/>
    <w:rsid w:val="00C66E91"/>
    <w:rsid w:val="00C67352"/>
    <w:rsid w:val="00C67488"/>
    <w:rsid w:val="00C67497"/>
    <w:rsid w:val="00C675A8"/>
    <w:rsid w:val="00C67A7D"/>
    <w:rsid w:val="00C67C8E"/>
    <w:rsid w:val="00C70150"/>
    <w:rsid w:val="00C705D4"/>
    <w:rsid w:val="00C70D2D"/>
    <w:rsid w:val="00C70EF6"/>
    <w:rsid w:val="00C710EC"/>
    <w:rsid w:val="00C71287"/>
    <w:rsid w:val="00C71757"/>
    <w:rsid w:val="00C71833"/>
    <w:rsid w:val="00C719BF"/>
    <w:rsid w:val="00C72650"/>
    <w:rsid w:val="00C7284C"/>
    <w:rsid w:val="00C72A75"/>
    <w:rsid w:val="00C7343C"/>
    <w:rsid w:val="00C7390D"/>
    <w:rsid w:val="00C739C7"/>
    <w:rsid w:val="00C73ECD"/>
    <w:rsid w:val="00C74070"/>
    <w:rsid w:val="00C74242"/>
    <w:rsid w:val="00C74EC4"/>
    <w:rsid w:val="00C74ECB"/>
    <w:rsid w:val="00C7558F"/>
    <w:rsid w:val="00C7580C"/>
    <w:rsid w:val="00C75FAE"/>
    <w:rsid w:val="00C76117"/>
    <w:rsid w:val="00C7621D"/>
    <w:rsid w:val="00C76496"/>
    <w:rsid w:val="00C765C2"/>
    <w:rsid w:val="00C766F7"/>
    <w:rsid w:val="00C76BA2"/>
    <w:rsid w:val="00C76EB1"/>
    <w:rsid w:val="00C76FAA"/>
    <w:rsid w:val="00C77135"/>
    <w:rsid w:val="00C7713E"/>
    <w:rsid w:val="00C773D8"/>
    <w:rsid w:val="00C7745A"/>
    <w:rsid w:val="00C7787D"/>
    <w:rsid w:val="00C77A6F"/>
    <w:rsid w:val="00C77D52"/>
    <w:rsid w:val="00C77E94"/>
    <w:rsid w:val="00C808FD"/>
    <w:rsid w:val="00C80D84"/>
    <w:rsid w:val="00C80ED2"/>
    <w:rsid w:val="00C81005"/>
    <w:rsid w:val="00C812FE"/>
    <w:rsid w:val="00C81767"/>
    <w:rsid w:val="00C81977"/>
    <w:rsid w:val="00C81DE9"/>
    <w:rsid w:val="00C81E05"/>
    <w:rsid w:val="00C82093"/>
    <w:rsid w:val="00C82168"/>
    <w:rsid w:val="00C82419"/>
    <w:rsid w:val="00C8274B"/>
    <w:rsid w:val="00C82E1F"/>
    <w:rsid w:val="00C839C5"/>
    <w:rsid w:val="00C84353"/>
    <w:rsid w:val="00C8465C"/>
    <w:rsid w:val="00C84C68"/>
    <w:rsid w:val="00C84E64"/>
    <w:rsid w:val="00C84E6F"/>
    <w:rsid w:val="00C8512B"/>
    <w:rsid w:val="00C85284"/>
    <w:rsid w:val="00C8566E"/>
    <w:rsid w:val="00C8575B"/>
    <w:rsid w:val="00C85D33"/>
    <w:rsid w:val="00C85EB3"/>
    <w:rsid w:val="00C86134"/>
    <w:rsid w:val="00C86557"/>
    <w:rsid w:val="00C866AD"/>
    <w:rsid w:val="00C868E3"/>
    <w:rsid w:val="00C86B1B"/>
    <w:rsid w:val="00C87A87"/>
    <w:rsid w:val="00C87B5F"/>
    <w:rsid w:val="00C9083A"/>
    <w:rsid w:val="00C90AE2"/>
    <w:rsid w:val="00C90CA3"/>
    <w:rsid w:val="00C9131D"/>
    <w:rsid w:val="00C91359"/>
    <w:rsid w:val="00C91360"/>
    <w:rsid w:val="00C91518"/>
    <w:rsid w:val="00C91692"/>
    <w:rsid w:val="00C91BE1"/>
    <w:rsid w:val="00C92334"/>
    <w:rsid w:val="00C923FB"/>
    <w:rsid w:val="00C92B33"/>
    <w:rsid w:val="00C92F68"/>
    <w:rsid w:val="00C93520"/>
    <w:rsid w:val="00C935B0"/>
    <w:rsid w:val="00C93B47"/>
    <w:rsid w:val="00C93F59"/>
    <w:rsid w:val="00C9435D"/>
    <w:rsid w:val="00C946AF"/>
    <w:rsid w:val="00C94A9B"/>
    <w:rsid w:val="00C94C94"/>
    <w:rsid w:val="00C94FD1"/>
    <w:rsid w:val="00C957EF"/>
    <w:rsid w:val="00C95C87"/>
    <w:rsid w:val="00C95DBF"/>
    <w:rsid w:val="00C9649E"/>
    <w:rsid w:val="00C96B54"/>
    <w:rsid w:val="00C96F35"/>
    <w:rsid w:val="00C96F8C"/>
    <w:rsid w:val="00C9751E"/>
    <w:rsid w:val="00C97844"/>
    <w:rsid w:val="00C979EB"/>
    <w:rsid w:val="00CA00D0"/>
    <w:rsid w:val="00CA00D3"/>
    <w:rsid w:val="00CA0A0C"/>
    <w:rsid w:val="00CA0A44"/>
    <w:rsid w:val="00CA0A60"/>
    <w:rsid w:val="00CA149C"/>
    <w:rsid w:val="00CA1535"/>
    <w:rsid w:val="00CA16C7"/>
    <w:rsid w:val="00CA18FD"/>
    <w:rsid w:val="00CA19C1"/>
    <w:rsid w:val="00CA1AFF"/>
    <w:rsid w:val="00CA1D3A"/>
    <w:rsid w:val="00CA1E9B"/>
    <w:rsid w:val="00CA1EEA"/>
    <w:rsid w:val="00CA29CC"/>
    <w:rsid w:val="00CA2C3E"/>
    <w:rsid w:val="00CA3161"/>
    <w:rsid w:val="00CA3267"/>
    <w:rsid w:val="00CA32E7"/>
    <w:rsid w:val="00CA3780"/>
    <w:rsid w:val="00CA37CC"/>
    <w:rsid w:val="00CA385A"/>
    <w:rsid w:val="00CA3CC3"/>
    <w:rsid w:val="00CA427D"/>
    <w:rsid w:val="00CA441F"/>
    <w:rsid w:val="00CA448D"/>
    <w:rsid w:val="00CA4579"/>
    <w:rsid w:val="00CA4630"/>
    <w:rsid w:val="00CA49A3"/>
    <w:rsid w:val="00CA4CCB"/>
    <w:rsid w:val="00CA4EF7"/>
    <w:rsid w:val="00CA510F"/>
    <w:rsid w:val="00CA571C"/>
    <w:rsid w:val="00CA58B2"/>
    <w:rsid w:val="00CA5CE8"/>
    <w:rsid w:val="00CA65B2"/>
    <w:rsid w:val="00CA68C8"/>
    <w:rsid w:val="00CA68D2"/>
    <w:rsid w:val="00CA69E0"/>
    <w:rsid w:val="00CA6BF6"/>
    <w:rsid w:val="00CA6DFB"/>
    <w:rsid w:val="00CA6E5B"/>
    <w:rsid w:val="00CA6EFF"/>
    <w:rsid w:val="00CA6FEB"/>
    <w:rsid w:val="00CB051E"/>
    <w:rsid w:val="00CB0C23"/>
    <w:rsid w:val="00CB0ED3"/>
    <w:rsid w:val="00CB0F18"/>
    <w:rsid w:val="00CB1236"/>
    <w:rsid w:val="00CB12A5"/>
    <w:rsid w:val="00CB1387"/>
    <w:rsid w:val="00CB13CF"/>
    <w:rsid w:val="00CB13FF"/>
    <w:rsid w:val="00CB179F"/>
    <w:rsid w:val="00CB180A"/>
    <w:rsid w:val="00CB1849"/>
    <w:rsid w:val="00CB2155"/>
    <w:rsid w:val="00CB26CE"/>
    <w:rsid w:val="00CB29FB"/>
    <w:rsid w:val="00CB3221"/>
    <w:rsid w:val="00CB38BD"/>
    <w:rsid w:val="00CB3B3A"/>
    <w:rsid w:val="00CB3B3D"/>
    <w:rsid w:val="00CB3BEF"/>
    <w:rsid w:val="00CB4F1A"/>
    <w:rsid w:val="00CB5EE7"/>
    <w:rsid w:val="00CB5FB0"/>
    <w:rsid w:val="00CB6204"/>
    <w:rsid w:val="00CB63C0"/>
    <w:rsid w:val="00CB63D2"/>
    <w:rsid w:val="00CB679F"/>
    <w:rsid w:val="00CB6947"/>
    <w:rsid w:val="00CB7055"/>
    <w:rsid w:val="00CB716E"/>
    <w:rsid w:val="00CB7509"/>
    <w:rsid w:val="00CB7865"/>
    <w:rsid w:val="00CB7885"/>
    <w:rsid w:val="00CB7963"/>
    <w:rsid w:val="00CC0114"/>
    <w:rsid w:val="00CC0262"/>
    <w:rsid w:val="00CC02FA"/>
    <w:rsid w:val="00CC0B51"/>
    <w:rsid w:val="00CC0EA3"/>
    <w:rsid w:val="00CC155A"/>
    <w:rsid w:val="00CC1D42"/>
    <w:rsid w:val="00CC1F7C"/>
    <w:rsid w:val="00CC219B"/>
    <w:rsid w:val="00CC2309"/>
    <w:rsid w:val="00CC240A"/>
    <w:rsid w:val="00CC289B"/>
    <w:rsid w:val="00CC28D0"/>
    <w:rsid w:val="00CC29F3"/>
    <w:rsid w:val="00CC2F07"/>
    <w:rsid w:val="00CC36DD"/>
    <w:rsid w:val="00CC3B0E"/>
    <w:rsid w:val="00CC3CE7"/>
    <w:rsid w:val="00CC4041"/>
    <w:rsid w:val="00CC4192"/>
    <w:rsid w:val="00CC42E5"/>
    <w:rsid w:val="00CC42F1"/>
    <w:rsid w:val="00CC4528"/>
    <w:rsid w:val="00CC46C2"/>
    <w:rsid w:val="00CC49B0"/>
    <w:rsid w:val="00CC4C81"/>
    <w:rsid w:val="00CC5024"/>
    <w:rsid w:val="00CC5648"/>
    <w:rsid w:val="00CC5882"/>
    <w:rsid w:val="00CC5B96"/>
    <w:rsid w:val="00CC630E"/>
    <w:rsid w:val="00CC6380"/>
    <w:rsid w:val="00CC6ADF"/>
    <w:rsid w:val="00CC6B5A"/>
    <w:rsid w:val="00CC6E60"/>
    <w:rsid w:val="00CC7277"/>
    <w:rsid w:val="00CC75F4"/>
    <w:rsid w:val="00CC7861"/>
    <w:rsid w:val="00CC7A78"/>
    <w:rsid w:val="00CD06CA"/>
    <w:rsid w:val="00CD090D"/>
    <w:rsid w:val="00CD114C"/>
    <w:rsid w:val="00CD11D8"/>
    <w:rsid w:val="00CD197D"/>
    <w:rsid w:val="00CD1A4A"/>
    <w:rsid w:val="00CD1A71"/>
    <w:rsid w:val="00CD1A9A"/>
    <w:rsid w:val="00CD25D2"/>
    <w:rsid w:val="00CD2663"/>
    <w:rsid w:val="00CD36AE"/>
    <w:rsid w:val="00CD3BF4"/>
    <w:rsid w:val="00CD3F47"/>
    <w:rsid w:val="00CD44DA"/>
    <w:rsid w:val="00CD531E"/>
    <w:rsid w:val="00CD54C9"/>
    <w:rsid w:val="00CD59A1"/>
    <w:rsid w:val="00CD5A32"/>
    <w:rsid w:val="00CD5EDD"/>
    <w:rsid w:val="00CD623C"/>
    <w:rsid w:val="00CD6375"/>
    <w:rsid w:val="00CD640D"/>
    <w:rsid w:val="00CD642A"/>
    <w:rsid w:val="00CD650C"/>
    <w:rsid w:val="00CD6B2B"/>
    <w:rsid w:val="00CD6BEC"/>
    <w:rsid w:val="00CD6DC0"/>
    <w:rsid w:val="00CD7187"/>
    <w:rsid w:val="00CD7962"/>
    <w:rsid w:val="00CD7AD0"/>
    <w:rsid w:val="00CD7D73"/>
    <w:rsid w:val="00CE00DB"/>
    <w:rsid w:val="00CE0573"/>
    <w:rsid w:val="00CE09B6"/>
    <w:rsid w:val="00CE0BF4"/>
    <w:rsid w:val="00CE0C82"/>
    <w:rsid w:val="00CE0F1D"/>
    <w:rsid w:val="00CE1367"/>
    <w:rsid w:val="00CE14F7"/>
    <w:rsid w:val="00CE19DB"/>
    <w:rsid w:val="00CE1BBC"/>
    <w:rsid w:val="00CE2199"/>
    <w:rsid w:val="00CE2651"/>
    <w:rsid w:val="00CE2F89"/>
    <w:rsid w:val="00CE3352"/>
    <w:rsid w:val="00CE3590"/>
    <w:rsid w:val="00CE3651"/>
    <w:rsid w:val="00CE3709"/>
    <w:rsid w:val="00CE396F"/>
    <w:rsid w:val="00CE39A8"/>
    <w:rsid w:val="00CE4193"/>
    <w:rsid w:val="00CE4915"/>
    <w:rsid w:val="00CE4BA8"/>
    <w:rsid w:val="00CE4BC7"/>
    <w:rsid w:val="00CE4DFC"/>
    <w:rsid w:val="00CE52A3"/>
    <w:rsid w:val="00CE572F"/>
    <w:rsid w:val="00CE5ACA"/>
    <w:rsid w:val="00CE5B2F"/>
    <w:rsid w:val="00CE5CE2"/>
    <w:rsid w:val="00CE5CF5"/>
    <w:rsid w:val="00CE5FA4"/>
    <w:rsid w:val="00CE6863"/>
    <w:rsid w:val="00CE6AB6"/>
    <w:rsid w:val="00CE6FFE"/>
    <w:rsid w:val="00CE76AC"/>
    <w:rsid w:val="00CE79E7"/>
    <w:rsid w:val="00CF047D"/>
    <w:rsid w:val="00CF04E1"/>
    <w:rsid w:val="00CF0625"/>
    <w:rsid w:val="00CF0943"/>
    <w:rsid w:val="00CF10E1"/>
    <w:rsid w:val="00CF14FE"/>
    <w:rsid w:val="00CF1833"/>
    <w:rsid w:val="00CF1AB8"/>
    <w:rsid w:val="00CF1CD6"/>
    <w:rsid w:val="00CF1EF0"/>
    <w:rsid w:val="00CF220F"/>
    <w:rsid w:val="00CF23B0"/>
    <w:rsid w:val="00CF26BE"/>
    <w:rsid w:val="00CF2D8B"/>
    <w:rsid w:val="00CF2FE3"/>
    <w:rsid w:val="00CF30D6"/>
    <w:rsid w:val="00CF33F5"/>
    <w:rsid w:val="00CF395B"/>
    <w:rsid w:val="00CF3F96"/>
    <w:rsid w:val="00CF4344"/>
    <w:rsid w:val="00CF46EE"/>
    <w:rsid w:val="00CF4BC3"/>
    <w:rsid w:val="00CF4D7F"/>
    <w:rsid w:val="00CF5336"/>
    <w:rsid w:val="00CF60C9"/>
    <w:rsid w:val="00CF61EF"/>
    <w:rsid w:val="00CF6267"/>
    <w:rsid w:val="00CF6A49"/>
    <w:rsid w:val="00CF6C88"/>
    <w:rsid w:val="00CF6CB6"/>
    <w:rsid w:val="00CF7225"/>
    <w:rsid w:val="00CF76C4"/>
    <w:rsid w:val="00CF78CC"/>
    <w:rsid w:val="00CF78F1"/>
    <w:rsid w:val="00CF79C1"/>
    <w:rsid w:val="00D00068"/>
    <w:rsid w:val="00D0070D"/>
    <w:rsid w:val="00D00868"/>
    <w:rsid w:val="00D01273"/>
    <w:rsid w:val="00D0197D"/>
    <w:rsid w:val="00D01E5C"/>
    <w:rsid w:val="00D02174"/>
    <w:rsid w:val="00D021BC"/>
    <w:rsid w:val="00D02917"/>
    <w:rsid w:val="00D029E4"/>
    <w:rsid w:val="00D02D07"/>
    <w:rsid w:val="00D02DB6"/>
    <w:rsid w:val="00D02F77"/>
    <w:rsid w:val="00D038D0"/>
    <w:rsid w:val="00D03A04"/>
    <w:rsid w:val="00D03A8B"/>
    <w:rsid w:val="00D03D06"/>
    <w:rsid w:val="00D03EC9"/>
    <w:rsid w:val="00D04006"/>
    <w:rsid w:val="00D048BE"/>
    <w:rsid w:val="00D048F1"/>
    <w:rsid w:val="00D04992"/>
    <w:rsid w:val="00D04A3D"/>
    <w:rsid w:val="00D04BAF"/>
    <w:rsid w:val="00D04BB1"/>
    <w:rsid w:val="00D04D18"/>
    <w:rsid w:val="00D04D4B"/>
    <w:rsid w:val="00D04EDD"/>
    <w:rsid w:val="00D05116"/>
    <w:rsid w:val="00D05367"/>
    <w:rsid w:val="00D05BF6"/>
    <w:rsid w:val="00D05F47"/>
    <w:rsid w:val="00D06095"/>
    <w:rsid w:val="00D060AD"/>
    <w:rsid w:val="00D06370"/>
    <w:rsid w:val="00D06532"/>
    <w:rsid w:val="00D0677C"/>
    <w:rsid w:val="00D068ED"/>
    <w:rsid w:val="00D06D81"/>
    <w:rsid w:val="00D06DCE"/>
    <w:rsid w:val="00D07364"/>
    <w:rsid w:val="00D073E2"/>
    <w:rsid w:val="00D0787B"/>
    <w:rsid w:val="00D07880"/>
    <w:rsid w:val="00D07D24"/>
    <w:rsid w:val="00D07D3B"/>
    <w:rsid w:val="00D1023F"/>
    <w:rsid w:val="00D10590"/>
    <w:rsid w:val="00D10815"/>
    <w:rsid w:val="00D10B8A"/>
    <w:rsid w:val="00D10C62"/>
    <w:rsid w:val="00D1132D"/>
    <w:rsid w:val="00D11645"/>
    <w:rsid w:val="00D11820"/>
    <w:rsid w:val="00D12029"/>
    <w:rsid w:val="00D12883"/>
    <w:rsid w:val="00D12C06"/>
    <w:rsid w:val="00D12D82"/>
    <w:rsid w:val="00D12E07"/>
    <w:rsid w:val="00D1306D"/>
    <w:rsid w:val="00D134A9"/>
    <w:rsid w:val="00D13592"/>
    <w:rsid w:val="00D13B7F"/>
    <w:rsid w:val="00D14096"/>
    <w:rsid w:val="00D14558"/>
    <w:rsid w:val="00D14A69"/>
    <w:rsid w:val="00D14BC0"/>
    <w:rsid w:val="00D14C9B"/>
    <w:rsid w:val="00D151F4"/>
    <w:rsid w:val="00D15D68"/>
    <w:rsid w:val="00D15DEB"/>
    <w:rsid w:val="00D168A7"/>
    <w:rsid w:val="00D16910"/>
    <w:rsid w:val="00D16A99"/>
    <w:rsid w:val="00D16B47"/>
    <w:rsid w:val="00D16C1E"/>
    <w:rsid w:val="00D16CCE"/>
    <w:rsid w:val="00D1754F"/>
    <w:rsid w:val="00D1756D"/>
    <w:rsid w:val="00D17932"/>
    <w:rsid w:val="00D17D2F"/>
    <w:rsid w:val="00D17EF6"/>
    <w:rsid w:val="00D20120"/>
    <w:rsid w:val="00D20285"/>
    <w:rsid w:val="00D2052B"/>
    <w:rsid w:val="00D2068D"/>
    <w:rsid w:val="00D20730"/>
    <w:rsid w:val="00D20A7B"/>
    <w:rsid w:val="00D20B81"/>
    <w:rsid w:val="00D20FA8"/>
    <w:rsid w:val="00D2180E"/>
    <w:rsid w:val="00D21894"/>
    <w:rsid w:val="00D219E0"/>
    <w:rsid w:val="00D21C6D"/>
    <w:rsid w:val="00D22069"/>
    <w:rsid w:val="00D2210D"/>
    <w:rsid w:val="00D22393"/>
    <w:rsid w:val="00D22592"/>
    <w:rsid w:val="00D22646"/>
    <w:rsid w:val="00D22B52"/>
    <w:rsid w:val="00D22EA4"/>
    <w:rsid w:val="00D2360F"/>
    <w:rsid w:val="00D23A28"/>
    <w:rsid w:val="00D23B13"/>
    <w:rsid w:val="00D23B4A"/>
    <w:rsid w:val="00D242E1"/>
    <w:rsid w:val="00D24584"/>
    <w:rsid w:val="00D245DD"/>
    <w:rsid w:val="00D249AE"/>
    <w:rsid w:val="00D24B71"/>
    <w:rsid w:val="00D24C54"/>
    <w:rsid w:val="00D24C56"/>
    <w:rsid w:val="00D24E2D"/>
    <w:rsid w:val="00D25A24"/>
    <w:rsid w:val="00D26336"/>
    <w:rsid w:val="00D264BE"/>
    <w:rsid w:val="00D268C7"/>
    <w:rsid w:val="00D26975"/>
    <w:rsid w:val="00D26B28"/>
    <w:rsid w:val="00D26CAF"/>
    <w:rsid w:val="00D26D02"/>
    <w:rsid w:val="00D26E8A"/>
    <w:rsid w:val="00D270EC"/>
    <w:rsid w:val="00D2717C"/>
    <w:rsid w:val="00D273EE"/>
    <w:rsid w:val="00D27675"/>
    <w:rsid w:val="00D27C87"/>
    <w:rsid w:val="00D27D89"/>
    <w:rsid w:val="00D27E09"/>
    <w:rsid w:val="00D27FB0"/>
    <w:rsid w:val="00D3064A"/>
    <w:rsid w:val="00D31B9C"/>
    <w:rsid w:val="00D31D14"/>
    <w:rsid w:val="00D31E41"/>
    <w:rsid w:val="00D32032"/>
    <w:rsid w:val="00D320ED"/>
    <w:rsid w:val="00D32989"/>
    <w:rsid w:val="00D32F2E"/>
    <w:rsid w:val="00D33045"/>
    <w:rsid w:val="00D33339"/>
    <w:rsid w:val="00D335D5"/>
    <w:rsid w:val="00D337E5"/>
    <w:rsid w:val="00D33883"/>
    <w:rsid w:val="00D3398B"/>
    <w:rsid w:val="00D341E4"/>
    <w:rsid w:val="00D347D6"/>
    <w:rsid w:val="00D34BD9"/>
    <w:rsid w:val="00D34CA8"/>
    <w:rsid w:val="00D34ECA"/>
    <w:rsid w:val="00D34EDC"/>
    <w:rsid w:val="00D350F2"/>
    <w:rsid w:val="00D3576B"/>
    <w:rsid w:val="00D357BB"/>
    <w:rsid w:val="00D35879"/>
    <w:rsid w:val="00D35E55"/>
    <w:rsid w:val="00D362D5"/>
    <w:rsid w:val="00D36480"/>
    <w:rsid w:val="00D364EB"/>
    <w:rsid w:val="00D371A8"/>
    <w:rsid w:val="00D374AD"/>
    <w:rsid w:val="00D376FF"/>
    <w:rsid w:val="00D37C75"/>
    <w:rsid w:val="00D40146"/>
    <w:rsid w:val="00D401DB"/>
    <w:rsid w:val="00D404ED"/>
    <w:rsid w:val="00D4076F"/>
    <w:rsid w:val="00D40A3F"/>
    <w:rsid w:val="00D40D1B"/>
    <w:rsid w:val="00D4100B"/>
    <w:rsid w:val="00D4105A"/>
    <w:rsid w:val="00D41217"/>
    <w:rsid w:val="00D41623"/>
    <w:rsid w:val="00D41BCE"/>
    <w:rsid w:val="00D41F86"/>
    <w:rsid w:val="00D4270D"/>
    <w:rsid w:val="00D42C28"/>
    <w:rsid w:val="00D4309D"/>
    <w:rsid w:val="00D4317C"/>
    <w:rsid w:val="00D43686"/>
    <w:rsid w:val="00D43995"/>
    <w:rsid w:val="00D439F1"/>
    <w:rsid w:val="00D43EDC"/>
    <w:rsid w:val="00D441FA"/>
    <w:rsid w:val="00D442E9"/>
    <w:rsid w:val="00D44352"/>
    <w:rsid w:val="00D4444A"/>
    <w:rsid w:val="00D4474A"/>
    <w:rsid w:val="00D44953"/>
    <w:rsid w:val="00D44970"/>
    <w:rsid w:val="00D44E6D"/>
    <w:rsid w:val="00D44F86"/>
    <w:rsid w:val="00D45009"/>
    <w:rsid w:val="00D4528E"/>
    <w:rsid w:val="00D4630B"/>
    <w:rsid w:val="00D46535"/>
    <w:rsid w:val="00D4656B"/>
    <w:rsid w:val="00D4674C"/>
    <w:rsid w:val="00D46A8A"/>
    <w:rsid w:val="00D46AF6"/>
    <w:rsid w:val="00D47406"/>
    <w:rsid w:val="00D474F3"/>
    <w:rsid w:val="00D47744"/>
    <w:rsid w:val="00D47EFB"/>
    <w:rsid w:val="00D47F5A"/>
    <w:rsid w:val="00D500F7"/>
    <w:rsid w:val="00D50445"/>
    <w:rsid w:val="00D504E1"/>
    <w:rsid w:val="00D50829"/>
    <w:rsid w:val="00D50ABA"/>
    <w:rsid w:val="00D510E9"/>
    <w:rsid w:val="00D51161"/>
    <w:rsid w:val="00D514C8"/>
    <w:rsid w:val="00D5159E"/>
    <w:rsid w:val="00D515A6"/>
    <w:rsid w:val="00D516BC"/>
    <w:rsid w:val="00D51790"/>
    <w:rsid w:val="00D51C51"/>
    <w:rsid w:val="00D51DA5"/>
    <w:rsid w:val="00D51DFD"/>
    <w:rsid w:val="00D51E06"/>
    <w:rsid w:val="00D51EDA"/>
    <w:rsid w:val="00D5249A"/>
    <w:rsid w:val="00D52758"/>
    <w:rsid w:val="00D52D9C"/>
    <w:rsid w:val="00D52F2C"/>
    <w:rsid w:val="00D5340A"/>
    <w:rsid w:val="00D537B5"/>
    <w:rsid w:val="00D538D4"/>
    <w:rsid w:val="00D539EF"/>
    <w:rsid w:val="00D53BD3"/>
    <w:rsid w:val="00D54399"/>
    <w:rsid w:val="00D54CF3"/>
    <w:rsid w:val="00D54E22"/>
    <w:rsid w:val="00D54E4D"/>
    <w:rsid w:val="00D556CB"/>
    <w:rsid w:val="00D556F9"/>
    <w:rsid w:val="00D55786"/>
    <w:rsid w:val="00D55A2A"/>
    <w:rsid w:val="00D55BCF"/>
    <w:rsid w:val="00D565E8"/>
    <w:rsid w:val="00D56A2A"/>
    <w:rsid w:val="00D57688"/>
    <w:rsid w:val="00D57C35"/>
    <w:rsid w:val="00D57C4D"/>
    <w:rsid w:val="00D57FCE"/>
    <w:rsid w:val="00D60288"/>
    <w:rsid w:val="00D60432"/>
    <w:rsid w:val="00D604CD"/>
    <w:rsid w:val="00D606FF"/>
    <w:rsid w:val="00D60A70"/>
    <w:rsid w:val="00D61124"/>
    <w:rsid w:val="00D61B59"/>
    <w:rsid w:val="00D61CA0"/>
    <w:rsid w:val="00D61DE5"/>
    <w:rsid w:val="00D61E1A"/>
    <w:rsid w:val="00D61E71"/>
    <w:rsid w:val="00D6226C"/>
    <w:rsid w:val="00D6233C"/>
    <w:rsid w:val="00D6239F"/>
    <w:rsid w:val="00D625BF"/>
    <w:rsid w:val="00D626B8"/>
    <w:rsid w:val="00D631A0"/>
    <w:rsid w:val="00D6339B"/>
    <w:rsid w:val="00D644A6"/>
    <w:rsid w:val="00D646F0"/>
    <w:rsid w:val="00D647E3"/>
    <w:rsid w:val="00D64887"/>
    <w:rsid w:val="00D64AD7"/>
    <w:rsid w:val="00D64DAB"/>
    <w:rsid w:val="00D64F62"/>
    <w:rsid w:val="00D64FEF"/>
    <w:rsid w:val="00D650C4"/>
    <w:rsid w:val="00D659AD"/>
    <w:rsid w:val="00D65CF7"/>
    <w:rsid w:val="00D663AB"/>
    <w:rsid w:val="00D665C1"/>
    <w:rsid w:val="00D66A1F"/>
    <w:rsid w:val="00D66B39"/>
    <w:rsid w:val="00D66D0D"/>
    <w:rsid w:val="00D67913"/>
    <w:rsid w:val="00D679BE"/>
    <w:rsid w:val="00D702DB"/>
    <w:rsid w:val="00D70FFC"/>
    <w:rsid w:val="00D713C4"/>
    <w:rsid w:val="00D71409"/>
    <w:rsid w:val="00D7188D"/>
    <w:rsid w:val="00D720F1"/>
    <w:rsid w:val="00D7232F"/>
    <w:rsid w:val="00D7271E"/>
    <w:rsid w:val="00D72985"/>
    <w:rsid w:val="00D729B2"/>
    <w:rsid w:val="00D72CB2"/>
    <w:rsid w:val="00D72E3F"/>
    <w:rsid w:val="00D72F1B"/>
    <w:rsid w:val="00D73427"/>
    <w:rsid w:val="00D736B3"/>
    <w:rsid w:val="00D73785"/>
    <w:rsid w:val="00D737F2"/>
    <w:rsid w:val="00D74158"/>
    <w:rsid w:val="00D760FE"/>
    <w:rsid w:val="00D7634B"/>
    <w:rsid w:val="00D77182"/>
    <w:rsid w:val="00D771B5"/>
    <w:rsid w:val="00D77229"/>
    <w:rsid w:val="00D77D48"/>
    <w:rsid w:val="00D77EB4"/>
    <w:rsid w:val="00D8019F"/>
    <w:rsid w:val="00D801D2"/>
    <w:rsid w:val="00D80353"/>
    <w:rsid w:val="00D804BD"/>
    <w:rsid w:val="00D80A6F"/>
    <w:rsid w:val="00D80B4D"/>
    <w:rsid w:val="00D80BFD"/>
    <w:rsid w:val="00D80C41"/>
    <w:rsid w:val="00D811CD"/>
    <w:rsid w:val="00D8129C"/>
    <w:rsid w:val="00D81841"/>
    <w:rsid w:val="00D81A0B"/>
    <w:rsid w:val="00D81C7F"/>
    <w:rsid w:val="00D81F2F"/>
    <w:rsid w:val="00D82108"/>
    <w:rsid w:val="00D82433"/>
    <w:rsid w:val="00D82449"/>
    <w:rsid w:val="00D825AE"/>
    <w:rsid w:val="00D82DD6"/>
    <w:rsid w:val="00D82E4E"/>
    <w:rsid w:val="00D837E7"/>
    <w:rsid w:val="00D839EC"/>
    <w:rsid w:val="00D84149"/>
    <w:rsid w:val="00D8431D"/>
    <w:rsid w:val="00D84672"/>
    <w:rsid w:val="00D849EC"/>
    <w:rsid w:val="00D84A48"/>
    <w:rsid w:val="00D84CF8"/>
    <w:rsid w:val="00D858E3"/>
    <w:rsid w:val="00D8593B"/>
    <w:rsid w:val="00D859A4"/>
    <w:rsid w:val="00D859B4"/>
    <w:rsid w:val="00D85DEF"/>
    <w:rsid w:val="00D85E92"/>
    <w:rsid w:val="00D85F31"/>
    <w:rsid w:val="00D862E2"/>
    <w:rsid w:val="00D86919"/>
    <w:rsid w:val="00D86BBC"/>
    <w:rsid w:val="00D86DB1"/>
    <w:rsid w:val="00D87257"/>
    <w:rsid w:val="00D87C70"/>
    <w:rsid w:val="00D87E5C"/>
    <w:rsid w:val="00D90013"/>
    <w:rsid w:val="00D903D8"/>
    <w:rsid w:val="00D905FC"/>
    <w:rsid w:val="00D90880"/>
    <w:rsid w:val="00D90963"/>
    <w:rsid w:val="00D909D1"/>
    <w:rsid w:val="00D90B58"/>
    <w:rsid w:val="00D912C1"/>
    <w:rsid w:val="00D9186B"/>
    <w:rsid w:val="00D921F2"/>
    <w:rsid w:val="00D9230E"/>
    <w:rsid w:val="00D92611"/>
    <w:rsid w:val="00D92EF0"/>
    <w:rsid w:val="00D93007"/>
    <w:rsid w:val="00D93C20"/>
    <w:rsid w:val="00D93DD9"/>
    <w:rsid w:val="00D9536A"/>
    <w:rsid w:val="00D95938"/>
    <w:rsid w:val="00D95A1F"/>
    <w:rsid w:val="00D95FD4"/>
    <w:rsid w:val="00D961C1"/>
    <w:rsid w:val="00D9671F"/>
    <w:rsid w:val="00D97099"/>
    <w:rsid w:val="00D97460"/>
    <w:rsid w:val="00D9751A"/>
    <w:rsid w:val="00D978BB"/>
    <w:rsid w:val="00D97989"/>
    <w:rsid w:val="00D97A93"/>
    <w:rsid w:val="00DA03CD"/>
    <w:rsid w:val="00DA0442"/>
    <w:rsid w:val="00DA050D"/>
    <w:rsid w:val="00DA09DA"/>
    <w:rsid w:val="00DA0B18"/>
    <w:rsid w:val="00DA125B"/>
    <w:rsid w:val="00DA12E6"/>
    <w:rsid w:val="00DA1649"/>
    <w:rsid w:val="00DA180A"/>
    <w:rsid w:val="00DA1848"/>
    <w:rsid w:val="00DA18E7"/>
    <w:rsid w:val="00DA23E4"/>
    <w:rsid w:val="00DA2438"/>
    <w:rsid w:val="00DA2550"/>
    <w:rsid w:val="00DA256F"/>
    <w:rsid w:val="00DA2600"/>
    <w:rsid w:val="00DA3464"/>
    <w:rsid w:val="00DA3560"/>
    <w:rsid w:val="00DA35F9"/>
    <w:rsid w:val="00DA4154"/>
    <w:rsid w:val="00DA41F6"/>
    <w:rsid w:val="00DA4CC3"/>
    <w:rsid w:val="00DA4FD2"/>
    <w:rsid w:val="00DA52DD"/>
    <w:rsid w:val="00DA53CB"/>
    <w:rsid w:val="00DA5938"/>
    <w:rsid w:val="00DA5AFF"/>
    <w:rsid w:val="00DA5DCF"/>
    <w:rsid w:val="00DA5E4D"/>
    <w:rsid w:val="00DA6218"/>
    <w:rsid w:val="00DA6762"/>
    <w:rsid w:val="00DA680E"/>
    <w:rsid w:val="00DA6CED"/>
    <w:rsid w:val="00DA6E6A"/>
    <w:rsid w:val="00DA70AB"/>
    <w:rsid w:val="00DA741D"/>
    <w:rsid w:val="00DA75C7"/>
    <w:rsid w:val="00DA7642"/>
    <w:rsid w:val="00DA769E"/>
    <w:rsid w:val="00DA7711"/>
    <w:rsid w:val="00DA77BA"/>
    <w:rsid w:val="00DA7BCC"/>
    <w:rsid w:val="00DA7DB5"/>
    <w:rsid w:val="00DA7DB9"/>
    <w:rsid w:val="00DA7DE9"/>
    <w:rsid w:val="00DB0622"/>
    <w:rsid w:val="00DB07F7"/>
    <w:rsid w:val="00DB0D9C"/>
    <w:rsid w:val="00DB1038"/>
    <w:rsid w:val="00DB196F"/>
    <w:rsid w:val="00DB19DB"/>
    <w:rsid w:val="00DB1A30"/>
    <w:rsid w:val="00DB1BB9"/>
    <w:rsid w:val="00DB1E0D"/>
    <w:rsid w:val="00DB21C6"/>
    <w:rsid w:val="00DB2345"/>
    <w:rsid w:val="00DB238C"/>
    <w:rsid w:val="00DB245E"/>
    <w:rsid w:val="00DB25B1"/>
    <w:rsid w:val="00DB270C"/>
    <w:rsid w:val="00DB2AAE"/>
    <w:rsid w:val="00DB2CE5"/>
    <w:rsid w:val="00DB2E6B"/>
    <w:rsid w:val="00DB31F1"/>
    <w:rsid w:val="00DB31FF"/>
    <w:rsid w:val="00DB371D"/>
    <w:rsid w:val="00DB396C"/>
    <w:rsid w:val="00DB3A75"/>
    <w:rsid w:val="00DB3D92"/>
    <w:rsid w:val="00DB3F4B"/>
    <w:rsid w:val="00DB429B"/>
    <w:rsid w:val="00DB44E7"/>
    <w:rsid w:val="00DB4514"/>
    <w:rsid w:val="00DB459F"/>
    <w:rsid w:val="00DB4BDF"/>
    <w:rsid w:val="00DB4D6C"/>
    <w:rsid w:val="00DB52B6"/>
    <w:rsid w:val="00DB54D2"/>
    <w:rsid w:val="00DB5758"/>
    <w:rsid w:val="00DB606B"/>
    <w:rsid w:val="00DB61C7"/>
    <w:rsid w:val="00DB61DC"/>
    <w:rsid w:val="00DB6A78"/>
    <w:rsid w:val="00DB6AB9"/>
    <w:rsid w:val="00DB6B4F"/>
    <w:rsid w:val="00DB70FD"/>
    <w:rsid w:val="00DB739C"/>
    <w:rsid w:val="00DB7563"/>
    <w:rsid w:val="00DB7990"/>
    <w:rsid w:val="00DB7C42"/>
    <w:rsid w:val="00DC0656"/>
    <w:rsid w:val="00DC08A4"/>
    <w:rsid w:val="00DC0BC6"/>
    <w:rsid w:val="00DC0D25"/>
    <w:rsid w:val="00DC0F98"/>
    <w:rsid w:val="00DC103C"/>
    <w:rsid w:val="00DC1513"/>
    <w:rsid w:val="00DC1E9B"/>
    <w:rsid w:val="00DC21D4"/>
    <w:rsid w:val="00DC247A"/>
    <w:rsid w:val="00DC2815"/>
    <w:rsid w:val="00DC2B05"/>
    <w:rsid w:val="00DC2BF0"/>
    <w:rsid w:val="00DC3298"/>
    <w:rsid w:val="00DC3326"/>
    <w:rsid w:val="00DC33B7"/>
    <w:rsid w:val="00DC3564"/>
    <w:rsid w:val="00DC39CC"/>
    <w:rsid w:val="00DC3C83"/>
    <w:rsid w:val="00DC4691"/>
    <w:rsid w:val="00DC4C89"/>
    <w:rsid w:val="00DC4E59"/>
    <w:rsid w:val="00DC50C9"/>
    <w:rsid w:val="00DC57E9"/>
    <w:rsid w:val="00DC5937"/>
    <w:rsid w:val="00DC5E13"/>
    <w:rsid w:val="00DC62B5"/>
    <w:rsid w:val="00DC64CB"/>
    <w:rsid w:val="00DC6800"/>
    <w:rsid w:val="00DC6A3A"/>
    <w:rsid w:val="00DC6BD9"/>
    <w:rsid w:val="00DC6EA0"/>
    <w:rsid w:val="00DC7057"/>
    <w:rsid w:val="00DC74DE"/>
    <w:rsid w:val="00DC77F3"/>
    <w:rsid w:val="00DC7F05"/>
    <w:rsid w:val="00DD091A"/>
    <w:rsid w:val="00DD0DF2"/>
    <w:rsid w:val="00DD0F73"/>
    <w:rsid w:val="00DD1015"/>
    <w:rsid w:val="00DD1048"/>
    <w:rsid w:val="00DD1074"/>
    <w:rsid w:val="00DD10A8"/>
    <w:rsid w:val="00DD1407"/>
    <w:rsid w:val="00DD14FA"/>
    <w:rsid w:val="00DD192E"/>
    <w:rsid w:val="00DD1D59"/>
    <w:rsid w:val="00DD1FA5"/>
    <w:rsid w:val="00DD20EE"/>
    <w:rsid w:val="00DD25D0"/>
    <w:rsid w:val="00DD26D5"/>
    <w:rsid w:val="00DD29BE"/>
    <w:rsid w:val="00DD2A34"/>
    <w:rsid w:val="00DD2F55"/>
    <w:rsid w:val="00DD3038"/>
    <w:rsid w:val="00DD329B"/>
    <w:rsid w:val="00DD353E"/>
    <w:rsid w:val="00DD3854"/>
    <w:rsid w:val="00DD3CE3"/>
    <w:rsid w:val="00DD3DDC"/>
    <w:rsid w:val="00DD4B66"/>
    <w:rsid w:val="00DD4D1C"/>
    <w:rsid w:val="00DD4F1A"/>
    <w:rsid w:val="00DD694E"/>
    <w:rsid w:val="00DD6EDB"/>
    <w:rsid w:val="00DD74C2"/>
    <w:rsid w:val="00DD7528"/>
    <w:rsid w:val="00DD761E"/>
    <w:rsid w:val="00DD77F6"/>
    <w:rsid w:val="00DD7872"/>
    <w:rsid w:val="00DD7A13"/>
    <w:rsid w:val="00DD7ACF"/>
    <w:rsid w:val="00DD7C6E"/>
    <w:rsid w:val="00DE0180"/>
    <w:rsid w:val="00DE0181"/>
    <w:rsid w:val="00DE073C"/>
    <w:rsid w:val="00DE093F"/>
    <w:rsid w:val="00DE09B4"/>
    <w:rsid w:val="00DE0F40"/>
    <w:rsid w:val="00DE1254"/>
    <w:rsid w:val="00DE194F"/>
    <w:rsid w:val="00DE1AC2"/>
    <w:rsid w:val="00DE1F6A"/>
    <w:rsid w:val="00DE2070"/>
    <w:rsid w:val="00DE21E8"/>
    <w:rsid w:val="00DE260F"/>
    <w:rsid w:val="00DE27FA"/>
    <w:rsid w:val="00DE3341"/>
    <w:rsid w:val="00DE3383"/>
    <w:rsid w:val="00DE3856"/>
    <w:rsid w:val="00DE3CBD"/>
    <w:rsid w:val="00DE3D07"/>
    <w:rsid w:val="00DE3D8B"/>
    <w:rsid w:val="00DE410F"/>
    <w:rsid w:val="00DE4269"/>
    <w:rsid w:val="00DE44B8"/>
    <w:rsid w:val="00DE4957"/>
    <w:rsid w:val="00DE4F25"/>
    <w:rsid w:val="00DE5C16"/>
    <w:rsid w:val="00DE600C"/>
    <w:rsid w:val="00DE67CF"/>
    <w:rsid w:val="00DE7180"/>
    <w:rsid w:val="00DE7CFC"/>
    <w:rsid w:val="00DF0ADC"/>
    <w:rsid w:val="00DF154C"/>
    <w:rsid w:val="00DF1DEC"/>
    <w:rsid w:val="00DF2034"/>
    <w:rsid w:val="00DF20E2"/>
    <w:rsid w:val="00DF251B"/>
    <w:rsid w:val="00DF2594"/>
    <w:rsid w:val="00DF25E5"/>
    <w:rsid w:val="00DF28FE"/>
    <w:rsid w:val="00DF2B50"/>
    <w:rsid w:val="00DF32FC"/>
    <w:rsid w:val="00DF3594"/>
    <w:rsid w:val="00DF35DE"/>
    <w:rsid w:val="00DF448A"/>
    <w:rsid w:val="00DF4830"/>
    <w:rsid w:val="00DF4AD9"/>
    <w:rsid w:val="00DF5A9A"/>
    <w:rsid w:val="00DF5C8D"/>
    <w:rsid w:val="00DF616E"/>
    <w:rsid w:val="00DF68C0"/>
    <w:rsid w:val="00E00016"/>
    <w:rsid w:val="00E00365"/>
    <w:rsid w:val="00E005C7"/>
    <w:rsid w:val="00E0061A"/>
    <w:rsid w:val="00E00F49"/>
    <w:rsid w:val="00E012D3"/>
    <w:rsid w:val="00E01650"/>
    <w:rsid w:val="00E0176E"/>
    <w:rsid w:val="00E01936"/>
    <w:rsid w:val="00E01AB1"/>
    <w:rsid w:val="00E01CBB"/>
    <w:rsid w:val="00E01EF9"/>
    <w:rsid w:val="00E02019"/>
    <w:rsid w:val="00E020B6"/>
    <w:rsid w:val="00E020C1"/>
    <w:rsid w:val="00E02281"/>
    <w:rsid w:val="00E02E71"/>
    <w:rsid w:val="00E02EB3"/>
    <w:rsid w:val="00E02EB5"/>
    <w:rsid w:val="00E03225"/>
    <w:rsid w:val="00E03294"/>
    <w:rsid w:val="00E03404"/>
    <w:rsid w:val="00E0357B"/>
    <w:rsid w:val="00E039A4"/>
    <w:rsid w:val="00E03BC1"/>
    <w:rsid w:val="00E03D76"/>
    <w:rsid w:val="00E03EED"/>
    <w:rsid w:val="00E041DA"/>
    <w:rsid w:val="00E0454C"/>
    <w:rsid w:val="00E04A3C"/>
    <w:rsid w:val="00E05924"/>
    <w:rsid w:val="00E05B2D"/>
    <w:rsid w:val="00E060E9"/>
    <w:rsid w:val="00E06190"/>
    <w:rsid w:val="00E06A4D"/>
    <w:rsid w:val="00E06FEF"/>
    <w:rsid w:val="00E07585"/>
    <w:rsid w:val="00E07676"/>
    <w:rsid w:val="00E07683"/>
    <w:rsid w:val="00E07A3D"/>
    <w:rsid w:val="00E07AE5"/>
    <w:rsid w:val="00E07B3B"/>
    <w:rsid w:val="00E07E88"/>
    <w:rsid w:val="00E07E9D"/>
    <w:rsid w:val="00E10864"/>
    <w:rsid w:val="00E108D3"/>
    <w:rsid w:val="00E10B62"/>
    <w:rsid w:val="00E113CE"/>
    <w:rsid w:val="00E113FF"/>
    <w:rsid w:val="00E114A3"/>
    <w:rsid w:val="00E11925"/>
    <w:rsid w:val="00E11A1A"/>
    <w:rsid w:val="00E11C02"/>
    <w:rsid w:val="00E11E3F"/>
    <w:rsid w:val="00E11F2F"/>
    <w:rsid w:val="00E12830"/>
    <w:rsid w:val="00E12FFD"/>
    <w:rsid w:val="00E13232"/>
    <w:rsid w:val="00E1359E"/>
    <w:rsid w:val="00E1377C"/>
    <w:rsid w:val="00E138DE"/>
    <w:rsid w:val="00E1392D"/>
    <w:rsid w:val="00E13A2C"/>
    <w:rsid w:val="00E13AF5"/>
    <w:rsid w:val="00E13B22"/>
    <w:rsid w:val="00E14138"/>
    <w:rsid w:val="00E1417D"/>
    <w:rsid w:val="00E14198"/>
    <w:rsid w:val="00E14BEF"/>
    <w:rsid w:val="00E14FF7"/>
    <w:rsid w:val="00E15217"/>
    <w:rsid w:val="00E15262"/>
    <w:rsid w:val="00E15265"/>
    <w:rsid w:val="00E15C0B"/>
    <w:rsid w:val="00E15C2D"/>
    <w:rsid w:val="00E15D2B"/>
    <w:rsid w:val="00E15EAF"/>
    <w:rsid w:val="00E161F9"/>
    <w:rsid w:val="00E16452"/>
    <w:rsid w:val="00E16856"/>
    <w:rsid w:val="00E16B24"/>
    <w:rsid w:val="00E16F2F"/>
    <w:rsid w:val="00E1759D"/>
    <w:rsid w:val="00E17B4A"/>
    <w:rsid w:val="00E17C7B"/>
    <w:rsid w:val="00E207F2"/>
    <w:rsid w:val="00E20AC9"/>
    <w:rsid w:val="00E20D53"/>
    <w:rsid w:val="00E20FF6"/>
    <w:rsid w:val="00E22054"/>
    <w:rsid w:val="00E22248"/>
    <w:rsid w:val="00E22D40"/>
    <w:rsid w:val="00E22D5B"/>
    <w:rsid w:val="00E22F83"/>
    <w:rsid w:val="00E23033"/>
    <w:rsid w:val="00E2341E"/>
    <w:rsid w:val="00E239E0"/>
    <w:rsid w:val="00E23E6C"/>
    <w:rsid w:val="00E24158"/>
    <w:rsid w:val="00E242DE"/>
    <w:rsid w:val="00E242F1"/>
    <w:rsid w:val="00E245E8"/>
    <w:rsid w:val="00E25333"/>
    <w:rsid w:val="00E25BD7"/>
    <w:rsid w:val="00E2637D"/>
    <w:rsid w:val="00E2702D"/>
    <w:rsid w:val="00E27110"/>
    <w:rsid w:val="00E271A6"/>
    <w:rsid w:val="00E27A10"/>
    <w:rsid w:val="00E3009A"/>
    <w:rsid w:val="00E30279"/>
    <w:rsid w:val="00E30411"/>
    <w:rsid w:val="00E30533"/>
    <w:rsid w:val="00E30ABA"/>
    <w:rsid w:val="00E31177"/>
    <w:rsid w:val="00E31309"/>
    <w:rsid w:val="00E317A3"/>
    <w:rsid w:val="00E31B20"/>
    <w:rsid w:val="00E31C61"/>
    <w:rsid w:val="00E31DF9"/>
    <w:rsid w:val="00E32160"/>
    <w:rsid w:val="00E326F7"/>
    <w:rsid w:val="00E32B40"/>
    <w:rsid w:val="00E32E49"/>
    <w:rsid w:val="00E32EDB"/>
    <w:rsid w:val="00E33243"/>
    <w:rsid w:val="00E335BE"/>
    <w:rsid w:val="00E33654"/>
    <w:rsid w:val="00E337D8"/>
    <w:rsid w:val="00E33DA9"/>
    <w:rsid w:val="00E33EF1"/>
    <w:rsid w:val="00E34019"/>
    <w:rsid w:val="00E34096"/>
    <w:rsid w:val="00E340E7"/>
    <w:rsid w:val="00E341BF"/>
    <w:rsid w:val="00E34725"/>
    <w:rsid w:val="00E34BF1"/>
    <w:rsid w:val="00E34F6D"/>
    <w:rsid w:val="00E35103"/>
    <w:rsid w:val="00E354D3"/>
    <w:rsid w:val="00E35789"/>
    <w:rsid w:val="00E35DCF"/>
    <w:rsid w:val="00E3660D"/>
    <w:rsid w:val="00E36AE0"/>
    <w:rsid w:val="00E36F41"/>
    <w:rsid w:val="00E370FA"/>
    <w:rsid w:val="00E374D3"/>
    <w:rsid w:val="00E4013C"/>
    <w:rsid w:val="00E40241"/>
    <w:rsid w:val="00E406C2"/>
    <w:rsid w:val="00E40A46"/>
    <w:rsid w:val="00E410DE"/>
    <w:rsid w:val="00E41505"/>
    <w:rsid w:val="00E41557"/>
    <w:rsid w:val="00E417C2"/>
    <w:rsid w:val="00E41A24"/>
    <w:rsid w:val="00E41C25"/>
    <w:rsid w:val="00E41DDD"/>
    <w:rsid w:val="00E42035"/>
    <w:rsid w:val="00E420B6"/>
    <w:rsid w:val="00E420BB"/>
    <w:rsid w:val="00E42281"/>
    <w:rsid w:val="00E42752"/>
    <w:rsid w:val="00E42C0D"/>
    <w:rsid w:val="00E42FDA"/>
    <w:rsid w:val="00E43284"/>
    <w:rsid w:val="00E4328C"/>
    <w:rsid w:val="00E433AA"/>
    <w:rsid w:val="00E43CCE"/>
    <w:rsid w:val="00E43D7B"/>
    <w:rsid w:val="00E440B1"/>
    <w:rsid w:val="00E44113"/>
    <w:rsid w:val="00E4412C"/>
    <w:rsid w:val="00E443B2"/>
    <w:rsid w:val="00E44700"/>
    <w:rsid w:val="00E447BD"/>
    <w:rsid w:val="00E44B75"/>
    <w:rsid w:val="00E44BE6"/>
    <w:rsid w:val="00E44FF2"/>
    <w:rsid w:val="00E454A9"/>
    <w:rsid w:val="00E456DE"/>
    <w:rsid w:val="00E45743"/>
    <w:rsid w:val="00E46137"/>
    <w:rsid w:val="00E466CB"/>
    <w:rsid w:val="00E469E2"/>
    <w:rsid w:val="00E46AEA"/>
    <w:rsid w:val="00E46B3A"/>
    <w:rsid w:val="00E46DA2"/>
    <w:rsid w:val="00E46DFA"/>
    <w:rsid w:val="00E46E64"/>
    <w:rsid w:val="00E46F52"/>
    <w:rsid w:val="00E47642"/>
    <w:rsid w:val="00E479C6"/>
    <w:rsid w:val="00E47B09"/>
    <w:rsid w:val="00E47D81"/>
    <w:rsid w:val="00E5071E"/>
    <w:rsid w:val="00E509B2"/>
    <w:rsid w:val="00E50D04"/>
    <w:rsid w:val="00E50DCD"/>
    <w:rsid w:val="00E51092"/>
    <w:rsid w:val="00E519E8"/>
    <w:rsid w:val="00E51D9D"/>
    <w:rsid w:val="00E51F49"/>
    <w:rsid w:val="00E52087"/>
    <w:rsid w:val="00E52353"/>
    <w:rsid w:val="00E5236E"/>
    <w:rsid w:val="00E523EC"/>
    <w:rsid w:val="00E52422"/>
    <w:rsid w:val="00E52C63"/>
    <w:rsid w:val="00E52D59"/>
    <w:rsid w:val="00E53342"/>
    <w:rsid w:val="00E53B07"/>
    <w:rsid w:val="00E53F7D"/>
    <w:rsid w:val="00E54046"/>
    <w:rsid w:val="00E541EC"/>
    <w:rsid w:val="00E54548"/>
    <w:rsid w:val="00E5467C"/>
    <w:rsid w:val="00E5480A"/>
    <w:rsid w:val="00E54885"/>
    <w:rsid w:val="00E54EBF"/>
    <w:rsid w:val="00E54F5A"/>
    <w:rsid w:val="00E55AB8"/>
    <w:rsid w:val="00E55EBC"/>
    <w:rsid w:val="00E5626C"/>
    <w:rsid w:val="00E563A7"/>
    <w:rsid w:val="00E5676E"/>
    <w:rsid w:val="00E5682D"/>
    <w:rsid w:val="00E569EA"/>
    <w:rsid w:val="00E56CCE"/>
    <w:rsid w:val="00E57A2C"/>
    <w:rsid w:val="00E57B5A"/>
    <w:rsid w:val="00E57C58"/>
    <w:rsid w:val="00E57D81"/>
    <w:rsid w:val="00E57F8F"/>
    <w:rsid w:val="00E6024A"/>
    <w:rsid w:val="00E602AA"/>
    <w:rsid w:val="00E602CC"/>
    <w:rsid w:val="00E6037E"/>
    <w:rsid w:val="00E603F4"/>
    <w:rsid w:val="00E60980"/>
    <w:rsid w:val="00E60A51"/>
    <w:rsid w:val="00E60DD7"/>
    <w:rsid w:val="00E61526"/>
    <w:rsid w:val="00E615CC"/>
    <w:rsid w:val="00E61957"/>
    <w:rsid w:val="00E61966"/>
    <w:rsid w:val="00E61982"/>
    <w:rsid w:val="00E61AEC"/>
    <w:rsid w:val="00E6249C"/>
    <w:rsid w:val="00E62680"/>
    <w:rsid w:val="00E628A5"/>
    <w:rsid w:val="00E629AC"/>
    <w:rsid w:val="00E62A55"/>
    <w:rsid w:val="00E62A92"/>
    <w:rsid w:val="00E62BCF"/>
    <w:rsid w:val="00E634B9"/>
    <w:rsid w:val="00E63685"/>
    <w:rsid w:val="00E6369A"/>
    <w:rsid w:val="00E638BC"/>
    <w:rsid w:val="00E6395C"/>
    <w:rsid w:val="00E63EB8"/>
    <w:rsid w:val="00E64175"/>
    <w:rsid w:val="00E6455B"/>
    <w:rsid w:val="00E645F9"/>
    <w:rsid w:val="00E649FB"/>
    <w:rsid w:val="00E64ACE"/>
    <w:rsid w:val="00E650E3"/>
    <w:rsid w:val="00E656C9"/>
    <w:rsid w:val="00E65BA7"/>
    <w:rsid w:val="00E661E3"/>
    <w:rsid w:val="00E667F0"/>
    <w:rsid w:val="00E67456"/>
    <w:rsid w:val="00E702AA"/>
    <w:rsid w:val="00E7033A"/>
    <w:rsid w:val="00E70426"/>
    <w:rsid w:val="00E70513"/>
    <w:rsid w:val="00E7085F"/>
    <w:rsid w:val="00E70B0C"/>
    <w:rsid w:val="00E70EA5"/>
    <w:rsid w:val="00E70EAB"/>
    <w:rsid w:val="00E70F7A"/>
    <w:rsid w:val="00E71294"/>
    <w:rsid w:val="00E7191B"/>
    <w:rsid w:val="00E71CDC"/>
    <w:rsid w:val="00E71D42"/>
    <w:rsid w:val="00E72431"/>
    <w:rsid w:val="00E7243D"/>
    <w:rsid w:val="00E72703"/>
    <w:rsid w:val="00E72D81"/>
    <w:rsid w:val="00E73710"/>
    <w:rsid w:val="00E73C03"/>
    <w:rsid w:val="00E73CA2"/>
    <w:rsid w:val="00E74002"/>
    <w:rsid w:val="00E74313"/>
    <w:rsid w:val="00E74383"/>
    <w:rsid w:val="00E74CC7"/>
    <w:rsid w:val="00E74EB3"/>
    <w:rsid w:val="00E74EF7"/>
    <w:rsid w:val="00E74F15"/>
    <w:rsid w:val="00E75078"/>
    <w:rsid w:val="00E7569D"/>
    <w:rsid w:val="00E7593A"/>
    <w:rsid w:val="00E7596D"/>
    <w:rsid w:val="00E75D2D"/>
    <w:rsid w:val="00E7632B"/>
    <w:rsid w:val="00E7654D"/>
    <w:rsid w:val="00E7659A"/>
    <w:rsid w:val="00E768C1"/>
    <w:rsid w:val="00E768EC"/>
    <w:rsid w:val="00E76A0F"/>
    <w:rsid w:val="00E76A24"/>
    <w:rsid w:val="00E76ABF"/>
    <w:rsid w:val="00E76C7B"/>
    <w:rsid w:val="00E76DCD"/>
    <w:rsid w:val="00E76EF3"/>
    <w:rsid w:val="00E76F9D"/>
    <w:rsid w:val="00E771EE"/>
    <w:rsid w:val="00E777AA"/>
    <w:rsid w:val="00E77E26"/>
    <w:rsid w:val="00E77F69"/>
    <w:rsid w:val="00E80A2E"/>
    <w:rsid w:val="00E80B7C"/>
    <w:rsid w:val="00E81231"/>
    <w:rsid w:val="00E81864"/>
    <w:rsid w:val="00E81D43"/>
    <w:rsid w:val="00E81EAF"/>
    <w:rsid w:val="00E828DD"/>
    <w:rsid w:val="00E82A09"/>
    <w:rsid w:val="00E82A44"/>
    <w:rsid w:val="00E82A4E"/>
    <w:rsid w:val="00E82AA7"/>
    <w:rsid w:val="00E83213"/>
    <w:rsid w:val="00E83329"/>
    <w:rsid w:val="00E8348B"/>
    <w:rsid w:val="00E834E5"/>
    <w:rsid w:val="00E83A32"/>
    <w:rsid w:val="00E83DBE"/>
    <w:rsid w:val="00E84228"/>
    <w:rsid w:val="00E84640"/>
    <w:rsid w:val="00E84714"/>
    <w:rsid w:val="00E84768"/>
    <w:rsid w:val="00E850F4"/>
    <w:rsid w:val="00E85308"/>
    <w:rsid w:val="00E8554F"/>
    <w:rsid w:val="00E8560A"/>
    <w:rsid w:val="00E858AE"/>
    <w:rsid w:val="00E85A00"/>
    <w:rsid w:val="00E85AF6"/>
    <w:rsid w:val="00E85F58"/>
    <w:rsid w:val="00E86702"/>
    <w:rsid w:val="00E86A34"/>
    <w:rsid w:val="00E8703A"/>
    <w:rsid w:val="00E87347"/>
    <w:rsid w:val="00E8773F"/>
    <w:rsid w:val="00E87C9E"/>
    <w:rsid w:val="00E9032C"/>
    <w:rsid w:val="00E90E41"/>
    <w:rsid w:val="00E9231A"/>
    <w:rsid w:val="00E925A5"/>
    <w:rsid w:val="00E926E2"/>
    <w:rsid w:val="00E92A40"/>
    <w:rsid w:val="00E92DCF"/>
    <w:rsid w:val="00E93B13"/>
    <w:rsid w:val="00E93B9A"/>
    <w:rsid w:val="00E9420F"/>
    <w:rsid w:val="00E945AE"/>
    <w:rsid w:val="00E94A7B"/>
    <w:rsid w:val="00E94BA4"/>
    <w:rsid w:val="00E95212"/>
    <w:rsid w:val="00E9540F"/>
    <w:rsid w:val="00E9561F"/>
    <w:rsid w:val="00E95818"/>
    <w:rsid w:val="00E958FA"/>
    <w:rsid w:val="00E95981"/>
    <w:rsid w:val="00E96146"/>
    <w:rsid w:val="00E961C1"/>
    <w:rsid w:val="00E96430"/>
    <w:rsid w:val="00E96A5B"/>
    <w:rsid w:val="00E96E7F"/>
    <w:rsid w:val="00E97518"/>
    <w:rsid w:val="00E975F7"/>
    <w:rsid w:val="00E97BFB"/>
    <w:rsid w:val="00E97DCC"/>
    <w:rsid w:val="00EA004B"/>
    <w:rsid w:val="00EA02A2"/>
    <w:rsid w:val="00EA045E"/>
    <w:rsid w:val="00EA0556"/>
    <w:rsid w:val="00EA0569"/>
    <w:rsid w:val="00EA091C"/>
    <w:rsid w:val="00EA0CC0"/>
    <w:rsid w:val="00EA11F5"/>
    <w:rsid w:val="00EA2241"/>
    <w:rsid w:val="00EA23BE"/>
    <w:rsid w:val="00EA2576"/>
    <w:rsid w:val="00EA26AD"/>
    <w:rsid w:val="00EA274C"/>
    <w:rsid w:val="00EA2977"/>
    <w:rsid w:val="00EA2C42"/>
    <w:rsid w:val="00EA33D0"/>
    <w:rsid w:val="00EA357F"/>
    <w:rsid w:val="00EA3614"/>
    <w:rsid w:val="00EA39E9"/>
    <w:rsid w:val="00EA3A5A"/>
    <w:rsid w:val="00EA3B69"/>
    <w:rsid w:val="00EA3DA8"/>
    <w:rsid w:val="00EA3DEF"/>
    <w:rsid w:val="00EA416B"/>
    <w:rsid w:val="00EA4CF6"/>
    <w:rsid w:val="00EA4F91"/>
    <w:rsid w:val="00EA4FB1"/>
    <w:rsid w:val="00EA532A"/>
    <w:rsid w:val="00EA56C9"/>
    <w:rsid w:val="00EA5974"/>
    <w:rsid w:val="00EA5E3E"/>
    <w:rsid w:val="00EA661E"/>
    <w:rsid w:val="00EA6BD9"/>
    <w:rsid w:val="00EA71E2"/>
    <w:rsid w:val="00EA7265"/>
    <w:rsid w:val="00EA755D"/>
    <w:rsid w:val="00EA76F7"/>
    <w:rsid w:val="00EA7A65"/>
    <w:rsid w:val="00EA7ADE"/>
    <w:rsid w:val="00EA7FBE"/>
    <w:rsid w:val="00EB00A1"/>
    <w:rsid w:val="00EB00AE"/>
    <w:rsid w:val="00EB014C"/>
    <w:rsid w:val="00EB037C"/>
    <w:rsid w:val="00EB03CE"/>
    <w:rsid w:val="00EB063F"/>
    <w:rsid w:val="00EB0A5D"/>
    <w:rsid w:val="00EB0CEF"/>
    <w:rsid w:val="00EB0D8B"/>
    <w:rsid w:val="00EB0E54"/>
    <w:rsid w:val="00EB12C4"/>
    <w:rsid w:val="00EB1914"/>
    <w:rsid w:val="00EB1A40"/>
    <w:rsid w:val="00EB1E2D"/>
    <w:rsid w:val="00EB2777"/>
    <w:rsid w:val="00EB27CE"/>
    <w:rsid w:val="00EB29A0"/>
    <w:rsid w:val="00EB2A7C"/>
    <w:rsid w:val="00EB2E9F"/>
    <w:rsid w:val="00EB2F46"/>
    <w:rsid w:val="00EB2FB8"/>
    <w:rsid w:val="00EB3110"/>
    <w:rsid w:val="00EB319B"/>
    <w:rsid w:val="00EB3643"/>
    <w:rsid w:val="00EB371A"/>
    <w:rsid w:val="00EB38A1"/>
    <w:rsid w:val="00EB3C28"/>
    <w:rsid w:val="00EB40DB"/>
    <w:rsid w:val="00EB4725"/>
    <w:rsid w:val="00EB4752"/>
    <w:rsid w:val="00EB47A8"/>
    <w:rsid w:val="00EB4A2F"/>
    <w:rsid w:val="00EB5127"/>
    <w:rsid w:val="00EB602C"/>
    <w:rsid w:val="00EB621A"/>
    <w:rsid w:val="00EB630B"/>
    <w:rsid w:val="00EB6CD0"/>
    <w:rsid w:val="00EB743F"/>
    <w:rsid w:val="00EB7783"/>
    <w:rsid w:val="00EB787C"/>
    <w:rsid w:val="00EB7E02"/>
    <w:rsid w:val="00EB7E6B"/>
    <w:rsid w:val="00EC0102"/>
    <w:rsid w:val="00EC03A7"/>
    <w:rsid w:val="00EC03E6"/>
    <w:rsid w:val="00EC09AF"/>
    <w:rsid w:val="00EC0BC4"/>
    <w:rsid w:val="00EC0FED"/>
    <w:rsid w:val="00EC1800"/>
    <w:rsid w:val="00EC2458"/>
    <w:rsid w:val="00EC248F"/>
    <w:rsid w:val="00EC2F9D"/>
    <w:rsid w:val="00EC2FF0"/>
    <w:rsid w:val="00EC33A5"/>
    <w:rsid w:val="00EC374D"/>
    <w:rsid w:val="00EC3A69"/>
    <w:rsid w:val="00EC3EBF"/>
    <w:rsid w:val="00EC3F1A"/>
    <w:rsid w:val="00EC4202"/>
    <w:rsid w:val="00EC45BA"/>
    <w:rsid w:val="00EC4736"/>
    <w:rsid w:val="00EC47D5"/>
    <w:rsid w:val="00EC4D71"/>
    <w:rsid w:val="00EC4D96"/>
    <w:rsid w:val="00EC4E45"/>
    <w:rsid w:val="00EC4F87"/>
    <w:rsid w:val="00EC4FC0"/>
    <w:rsid w:val="00EC5074"/>
    <w:rsid w:val="00EC50FE"/>
    <w:rsid w:val="00EC5501"/>
    <w:rsid w:val="00EC5743"/>
    <w:rsid w:val="00EC57AF"/>
    <w:rsid w:val="00EC5A9A"/>
    <w:rsid w:val="00EC5CB4"/>
    <w:rsid w:val="00EC5D31"/>
    <w:rsid w:val="00EC5DFE"/>
    <w:rsid w:val="00EC5F4D"/>
    <w:rsid w:val="00EC643C"/>
    <w:rsid w:val="00EC6862"/>
    <w:rsid w:val="00EC6A4D"/>
    <w:rsid w:val="00EC6D07"/>
    <w:rsid w:val="00EC6E7C"/>
    <w:rsid w:val="00EC6F49"/>
    <w:rsid w:val="00EC71F1"/>
    <w:rsid w:val="00EC72AD"/>
    <w:rsid w:val="00EC72F4"/>
    <w:rsid w:val="00EC7479"/>
    <w:rsid w:val="00EC7AAA"/>
    <w:rsid w:val="00ED02F9"/>
    <w:rsid w:val="00ED0402"/>
    <w:rsid w:val="00ED06E7"/>
    <w:rsid w:val="00ED09A7"/>
    <w:rsid w:val="00ED0AD5"/>
    <w:rsid w:val="00ED0C3E"/>
    <w:rsid w:val="00ED137B"/>
    <w:rsid w:val="00ED152D"/>
    <w:rsid w:val="00ED16CA"/>
    <w:rsid w:val="00ED17C2"/>
    <w:rsid w:val="00ED197A"/>
    <w:rsid w:val="00ED2502"/>
    <w:rsid w:val="00ED2543"/>
    <w:rsid w:val="00ED2630"/>
    <w:rsid w:val="00ED2735"/>
    <w:rsid w:val="00ED2830"/>
    <w:rsid w:val="00ED2836"/>
    <w:rsid w:val="00ED2ADD"/>
    <w:rsid w:val="00ED2B49"/>
    <w:rsid w:val="00ED2C3C"/>
    <w:rsid w:val="00ED301A"/>
    <w:rsid w:val="00ED32B8"/>
    <w:rsid w:val="00ED34B9"/>
    <w:rsid w:val="00ED378C"/>
    <w:rsid w:val="00ED3828"/>
    <w:rsid w:val="00ED395D"/>
    <w:rsid w:val="00ED3A9C"/>
    <w:rsid w:val="00ED3CA5"/>
    <w:rsid w:val="00ED3CA9"/>
    <w:rsid w:val="00ED3E5A"/>
    <w:rsid w:val="00ED4021"/>
    <w:rsid w:val="00ED469E"/>
    <w:rsid w:val="00ED50FA"/>
    <w:rsid w:val="00ED516B"/>
    <w:rsid w:val="00ED5231"/>
    <w:rsid w:val="00ED5327"/>
    <w:rsid w:val="00ED5462"/>
    <w:rsid w:val="00ED54C4"/>
    <w:rsid w:val="00ED590E"/>
    <w:rsid w:val="00ED5AF2"/>
    <w:rsid w:val="00ED5FF7"/>
    <w:rsid w:val="00ED633F"/>
    <w:rsid w:val="00ED64D6"/>
    <w:rsid w:val="00ED6708"/>
    <w:rsid w:val="00ED695C"/>
    <w:rsid w:val="00ED6AC3"/>
    <w:rsid w:val="00ED6E9A"/>
    <w:rsid w:val="00ED7049"/>
    <w:rsid w:val="00ED72FC"/>
    <w:rsid w:val="00ED7975"/>
    <w:rsid w:val="00ED7A82"/>
    <w:rsid w:val="00ED7F8D"/>
    <w:rsid w:val="00EE0358"/>
    <w:rsid w:val="00EE0CA8"/>
    <w:rsid w:val="00EE126A"/>
    <w:rsid w:val="00EE1491"/>
    <w:rsid w:val="00EE192D"/>
    <w:rsid w:val="00EE1C0C"/>
    <w:rsid w:val="00EE23BA"/>
    <w:rsid w:val="00EE2FDD"/>
    <w:rsid w:val="00EE3031"/>
    <w:rsid w:val="00EE3344"/>
    <w:rsid w:val="00EE36AA"/>
    <w:rsid w:val="00EE37A6"/>
    <w:rsid w:val="00EE3810"/>
    <w:rsid w:val="00EE387E"/>
    <w:rsid w:val="00EE454D"/>
    <w:rsid w:val="00EE491E"/>
    <w:rsid w:val="00EE4F4B"/>
    <w:rsid w:val="00EE5065"/>
    <w:rsid w:val="00EE5352"/>
    <w:rsid w:val="00EE53E1"/>
    <w:rsid w:val="00EE5726"/>
    <w:rsid w:val="00EE5783"/>
    <w:rsid w:val="00EE6887"/>
    <w:rsid w:val="00EE7EF3"/>
    <w:rsid w:val="00EF0411"/>
    <w:rsid w:val="00EF0709"/>
    <w:rsid w:val="00EF09D3"/>
    <w:rsid w:val="00EF09E5"/>
    <w:rsid w:val="00EF0AFF"/>
    <w:rsid w:val="00EF0DCF"/>
    <w:rsid w:val="00EF126A"/>
    <w:rsid w:val="00EF1277"/>
    <w:rsid w:val="00EF14A1"/>
    <w:rsid w:val="00EF183D"/>
    <w:rsid w:val="00EF1AE1"/>
    <w:rsid w:val="00EF22A2"/>
    <w:rsid w:val="00EF2531"/>
    <w:rsid w:val="00EF2647"/>
    <w:rsid w:val="00EF2C4C"/>
    <w:rsid w:val="00EF2D3D"/>
    <w:rsid w:val="00EF2E99"/>
    <w:rsid w:val="00EF3296"/>
    <w:rsid w:val="00EF33B8"/>
    <w:rsid w:val="00EF3B00"/>
    <w:rsid w:val="00EF3B4D"/>
    <w:rsid w:val="00EF3C6F"/>
    <w:rsid w:val="00EF3D1A"/>
    <w:rsid w:val="00EF401F"/>
    <w:rsid w:val="00EF41C3"/>
    <w:rsid w:val="00EF4A80"/>
    <w:rsid w:val="00EF4EEE"/>
    <w:rsid w:val="00EF5654"/>
    <w:rsid w:val="00EF58DC"/>
    <w:rsid w:val="00EF64EF"/>
    <w:rsid w:val="00EF6E1D"/>
    <w:rsid w:val="00EF6FB5"/>
    <w:rsid w:val="00EF77C4"/>
    <w:rsid w:val="00EF7A68"/>
    <w:rsid w:val="00EF7DE6"/>
    <w:rsid w:val="00F0007C"/>
    <w:rsid w:val="00F000AB"/>
    <w:rsid w:val="00F00571"/>
    <w:rsid w:val="00F00700"/>
    <w:rsid w:val="00F00734"/>
    <w:rsid w:val="00F007BB"/>
    <w:rsid w:val="00F008E9"/>
    <w:rsid w:val="00F01277"/>
    <w:rsid w:val="00F0227D"/>
    <w:rsid w:val="00F022B0"/>
    <w:rsid w:val="00F02770"/>
    <w:rsid w:val="00F02A53"/>
    <w:rsid w:val="00F031C2"/>
    <w:rsid w:val="00F033F9"/>
    <w:rsid w:val="00F037F5"/>
    <w:rsid w:val="00F039AB"/>
    <w:rsid w:val="00F03BFD"/>
    <w:rsid w:val="00F03E46"/>
    <w:rsid w:val="00F03FAC"/>
    <w:rsid w:val="00F04004"/>
    <w:rsid w:val="00F0418C"/>
    <w:rsid w:val="00F0421A"/>
    <w:rsid w:val="00F04497"/>
    <w:rsid w:val="00F0457B"/>
    <w:rsid w:val="00F046FC"/>
    <w:rsid w:val="00F04AD2"/>
    <w:rsid w:val="00F04D58"/>
    <w:rsid w:val="00F05517"/>
    <w:rsid w:val="00F057A9"/>
    <w:rsid w:val="00F0587A"/>
    <w:rsid w:val="00F05B92"/>
    <w:rsid w:val="00F05BEC"/>
    <w:rsid w:val="00F05CD1"/>
    <w:rsid w:val="00F05F94"/>
    <w:rsid w:val="00F0622A"/>
    <w:rsid w:val="00F065A5"/>
    <w:rsid w:val="00F065B9"/>
    <w:rsid w:val="00F068FE"/>
    <w:rsid w:val="00F06F0C"/>
    <w:rsid w:val="00F06F90"/>
    <w:rsid w:val="00F072AB"/>
    <w:rsid w:val="00F0782B"/>
    <w:rsid w:val="00F079D9"/>
    <w:rsid w:val="00F07CB6"/>
    <w:rsid w:val="00F07E79"/>
    <w:rsid w:val="00F10CE7"/>
    <w:rsid w:val="00F10DF5"/>
    <w:rsid w:val="00F10F6F"/>
    <w:rsid w:val="00F10FAF"/>
    <w:rsid w:val="00F11269"/>
    <w:rsid w:val="00F112CA"/>
    <w:rsid w:val="00F11687"/>
    <w:rsid w:val="00F1185F"/>
    <w:rsid w:val="00F11A9E"/>
    <w:rsid w:val="00F11AF7"/>
    <w:rsid w:val="00F11D01"/>
    <w:rsid w:val="00F120E5"/>
    <w:rsid w:val="00F12508"/>
    <w:rsid w:val="00F12685"/>
    <w:rsid w:val="00F129DE"/>
    <w:rsid w:val="00F12D03"/>
    <w:rsid w:val="00F1320A"/>
    <w:rsid w:val="00F132CF"/>
    <w:rsid w:val="00F13975"/>
    <w:rsid w:val="00F140F2"/>
    <w:rsid w:val="00F14185"/>
    <w:rsid w:val="00F14245"/>
    <w:rsid w:val="00F1433B"/>
    <w:rsid w:val="00F14EA9"/>
    <w:rsid w:val="00F155B6"/>
    <w:rsid w:val="00F155E4"/>
    <w:rsid w:val="00F1582A"/>
    <w:rsid w:val="00F163D1"/>
    <w:rsid w:val="00F16784"/>
    <w:rsid w:val="00F169F2"/>
    <w:rsid w:val="00F16A8A"/>
    <w:rsid w:val="00F16AA6"/>
    <w:rsid w:val="00F16CCA"/>
    <w:rsid w:val="00F16D29"/>
    <w:rsid w:val="00F16D33"/>
    <w:rsid w:val="00F172D3"/>
    <w:rsid w:val="00F173AE"/>
    <w:rsid w:val="00F176A5"/>
    <w:rsid w:val="00F17804"/>
    <w:rsid w:val="00F17C9F"/>
    <w:rsid w:val="00F17F9B"/>
    <w:rsid w:val="00F2066C"/>
    <w:rsid w:val="00F20DA7"/>
    <w:rsid w:val="00F20FBE"/>
    <w:rsid w:val="00F2147D"/>
    <w:rsid w:val="00F21609"/>
    <w:rsid w:val="00F21C57"/>
    <w:rsid w:val="00F21CBC"/>
    <w:rsid w:val="00F232C2"/>
    <w:rsid w:val="00F2375D"/>
    <w:rsid w:val="00F23975"/>
    <w:rsid w:val="00F23CBC"/>
    <w:rsid w:val="00F23E86"/>
    <w:rsid w:val="00F2413D"/>
    <w:rsid w:val="00F241C5"/>
    <w:rsid w:val="00F2452E"/>
    <w:rsid w:val="00F24EB9"/>
    <w:rsid w:val="00F2504B"/>
    <w:rsid w:val="00F253AD"/>
    <w:rsid w:val="00F259C2"/>
    <w:rsid w:val="00F25FAB"/>
    <w:rsid w:val="00F26137"/>
    <w:rsid w:val="00F262A4"/>
    <w:rsid w:val="00F268E9"/>
    <w:rsid w:val="00F2756B"/>
    <w:rsid w:val="00F276E4"/>
    <w:rsid w:val="00F27761"/>
    <w:rsid w:val="00F27ABF"/>
    <w:rsid w:val="00F30923"/>
    <w:rsid w:val="00F30A7C"/>
    <w:rsid w:val="00F31134"/>
    <w:rsid w:val="00F31162"/>
    <w:rsid w:val="00F311E3"/>
    <w:rsid w:val="00F31481"/>
    <w:rsid w:val="00F3150B"/>
    <w:rsid w:val="00F31607"/>
    <w:rsid w:val="00F318B3"/>
    <w:rsid w:val="00F31D1F"/>
    <w:rsid w:val="00F3212B"/>
    <w:rsid w:val="00F324BB"/>
    <w:rsid w:val="00F32933"/>
    <w:rsid w:val="00F32C19"/>
    <w:rsid w:val="00F32EDD"/>
    <w:rsid w:val="00F3302E"/>
    <w:rsid w:val="00F3307C"/>
    <w:rsid w:val="00F33BF0"/>
    <w:rsid w:val="00F34061"/>
    <w:rsid w:val="00F3499A"/>
    <w:rsid w:val="00F34F94"/>
    <w:rsid w:val="00F3550B"/>
    <w:rsid w:val="00F35B34"/>
    <w:rsid w:val="00F35D15"/>
    <w:rsid w:val="00F35F63"/>
    <w:rsid w:val="00F36078"/>
    <w:rsid w:val="00F36919"/>
    <w:rsid w:val="00F36B00"/>
    <w:rsid w:val="00F36B2D"/>
    <w:rsid w:val="00F36E48"/>
    <w:rsid w:val="00F36E77"/>
    <w:rsid w:val="00F37312"/>
    <w:rsid w:val="00F374CB"/>
    <w:rsid w:val="00F37618"/>
    <w:rsid w:val="00F37ABD"/>
    <w:rsid w:val="00F401BD"/>
    <w:rsid w:val="00F40D9E"/>
    <w:rsid w:val="00F4102F"/>
    <w:rsid w:val="00F411E1"/>
    <w:rsid w:val="00F4131C"/>
    <w:rsid w:val="00F4156D"/>
    <w:rsid w:val="00F4194A"/>
    <w:rsid w:val="00F419E8"/>
    <w:rsid w:val="00F41DE4"/>
    <w:rsid w:val="00F423FD"/>
    <w:rsid w:val="00F42621"/>
    <w:rsid w:val="00F4278C"/>
    <w:rsid w:val="00F42ADD"/>
    <w:rsid w:val="00F43239"/>
    <w:rsid w:val="00F43529"/>
    <w:rsid w:val="00F436C1"/>
    <w:rsid w:val="00F43707"/>
    <w:rsid w:val="00F437F3"/>
    <w:rsid w:val="00F43885"/>
    <w:rsid w:val="00F43AF8"/>
    <w:rsid w:val="00F43C28"/>
    <w:rsid w:val="00F4400A"/>
    <w:rsid w:val="00F440C3"/>
    <w:rsid w:val="00F44470"/>
    <w:rsid w:val="00F44E9A"/>
    <w:rsid w:val="00F44F51"/>
    <w:rsid w:val="00F45BFB"/>
    <w:rsid w:val="00F461AD"/>
    <w:rsid w:val="00F4635E"/>
    <w:rsid w:val="00F463A3"/>
    <w:rsid w:val="00F46436"/>
    <w:rsid w:val="00F46569"/>
    <w:rsid w:val="00F4658A"/>
    <w:rsid w:val="00F468F1"/>
    <w:rsid w:val="00F46D25"/>
    <w:rsid w:val="00F478AE"/>
    <w:rsid w:val="00F47A88"/>
    <w:rsid w:val="00F47FB4"/>
    <w:rsid w:val="00F50634"/>
    <w:rsid w:val="00F50913"/>
    <w:rsid w:val="00F50B09"/>
    <w:rsid w:val="00F50D5A"/>
    <w:rsid w:val="00F51568"/>
    <w:rsid w:val="00F51B3E"/>
    <w:rsid w:val="00F51C3E"/>
    <w:rsid w:val="00F51FD2"/>
    <w:rsid w:val="00F52400"/>
    <w:rsid w:val="00F5272B"/>
    <w:rsid w:val="00F52CAF"/>
    <w:rsid w:val="00F52E81"/>
    <w:rsid w:val="00F537E5"/>
    <w:rsid w:val="00F5388B"/>
    <w:rsid w:val="00F538BF"/>
    <w:rsid w:val="00F53C04"/>
    <w:rsid w:val="00F53CD7"/>
    <w:rsid w:val="00F53E20"/>
    <w:rsid w:val="00F542AF"/>
    <w:rsid w:val="00F54770"/>
    <w:rsid w:val="00F54F53"/>
    <w:rsid w:val="00F55269"/>
    <w:rsid w:val="00F556EF"/>
    <w:rsid w:val="00F55847"/>
    <w:rsid w:val="00F55C12"/>
    <w:rsid w:val="00F55E79"/>
    <w:rsid w:val="00F55ED4"/>
    <w:rsid w:val="00F5684F"/>
    <w:rsid w:val="00F56CF3"/>
    <w:rsid w:val="00F56D72"/>
    <w:rsid w:val="00F571AF"/>
    <w:rsid w:val="00F575FB"/>
    <w:rsid w:val="00F576A7"/>
    <w:rsid w:val="00F57B0E"/>
    <w:rsid w:val="00F57D2E"/>
    <w:rsid w:val="00F6032E"/>
    <w:rsid w:val="00F60360"/>
    <w:rsid w:val="00F6056E"/>
    <w:rsid w:val="00F60A87"/>
    <w:rsid w:val="00F60ACB"/>
    <w:rsid w:val="00F61C9B"/>
    <w:rsid w:val="00F61DE6"/>
    <w:rsid w:val="00F62964"/>
    <w:rsid w:val="00F629F6"/>
    <w:rsid w:val="00F62C82"/>
    <w:rsid w:val="00F62E10"/>
    <w:rsid w:val="00F62FCB"/>
    <w:rsid w:val="00F638E3"/>
    <w:rsid w:val="00F63974"/>
    <w:rsid w:val="00F63BBF"/>
    <w:rsid w:val="00F63C15"/>
    <w:rsid w:val="00F64144"/>
    <w:rsid w:val="00F64C79"/>
    <w:rsid w:val="00F64E07"/>
    <w:rsid w:val="00F64E2A"/>
    <w:rsid w:val="00F64F0B"/>
    <w:rsid w:val="00F651E9"/>
    <w:rsid w:val="00F652BB"/>
    <w:rsid w:val="00F6551C"/>
    <w:rsid w:val="00F6552B"/>
    <w:rsid w:val="00F65607"/>
    <w:rsid w:val="00F656E0"/>
    <w:rsid w:val="00F6583A"/>
    <w:rsid w:val="00F664B7"/>
    <w:rsid w:val="00F66801"/>
    <w:rsid w:val="00F66993"/>
    <w:rsid w:val="00F66D8F"/>
    <w:rsid w:val="00F66DB0"/>
    <w:rsid w:val="00F66DF9"/>
    <w:rsid w:val="00F67291"/>
    <w:rsid w:val="00F6730C"/>
    <w:rsid w:val="00F673A8"/>
    <w:rsid w:val="00F673D6"/>
    <w:rsid w:val="00F67994"/>
    <w:rsid w:val="00F67CFE"/>
    <w:rsid w:val="00F706D2"/>
    <w:rsid w:val="00F70CE2"/>
    <w:rsid w:val="00F70D7F"/>
    <w:rsid w:val="00F70D99"/>
    <w:rsid w:val="00F70EDC"/>
    <w:rsid w:val="00F71028"/>
    <w:rsid w:val="00F711B9"/>
    <w:rsid w:val="00F711F2"/>
    <w:rsid w:val="00F71DFF"/>
    <w:rsid w:val="00F71E3D"/>
    <w:rsid w:val="00F7208E"/>
    <w:rsid w:val="00F723C1"/>
    <w:rsid w:val="00F7260A"/>
    <w:rsid w:val="00F72A68"/>
    <w:rsid w:val="00F72AA2"/>
    <w:rsid w:val="00F72AD8"/>
    <w:rsid w:val="00F72B34"/>
    <w:rsid w:val="00F72D54"/>
    <w:rsid w:val="00F732BC"/>
    <w:rsid w:val="00F73337"/>
    <w:rsid w:val="00F734BE"/>
    <w:rsid w:val="00F7376C"/>
    <w:rsid w:val="00F73846"/>
    <w:rsid w:val="00F73D0F"/>
    <w:rsid w:val="00F73E8E"/>
    <w:rsid w:val="00F73F96"/>
    <w:rsid w:val="00F742AF"/>
    <w:rsid w:val="00F744A3"/>
    <w:rsid w:val="00F74900"/>
    <w:rsid w:val="00F74C81"/>
    <w:rsid w:val="00F753F7"/>
    <w:rsid w:val="00F7555A"/>
    <w:rsid w:val="00F75711"/>
    <w:rsid w:val="00F757E7"/>
    <w:rsid w:val="00F75BA9"/>
    <w:rsid w:val="00F75E74"/>
    <w:rsid w:val="00F76345"/>
    <w:rsid w:val="00F76536"/>
    <w:rsid w:val="00F76770"/>
    <w:rsid w:val="00F76D24"/>
    <w:rsid w:val="00F76FA3"/>
    <w:rsid w:val="00F771DC"/>
    <w:rsid w:val="00F778C8"/>
    <w:rsid w:val="00F77951"/>
    <w:rsid w:val="00F77B9C"/>
    <w:rsid w:val="00F80005"/>
    <w:rsid w:val="00F800C7"/>
    <w:rsid w:val="00F807C7"/>
    <w:rsid w:val="00F80B83"/>
    <w:rsid w:val="00F80BF5"/>
    <w:rsid w:val="00F80E02"/>
    <w:rsid w:val="00F80E7B"/>
    <w:rsid w:val="00F80FB0"/>
    <w:rsid w:val="00F812CF"/>
    <w:rsid w:val="00F8130C"/>
    <w:rsid w:val="00F81670"/>
    <w:rsid w:val="00F819F4"/>
    <w:rsid w:val="00F81E6F"/>
    <w:rsid w:val="00F81F06"/>
    <w:rsid w:val="00F820ED"/>
    <w:rsid w:val="00F82FFE"/>
    <w:rsid w:val="00F83148"/>
    <w:rsid w:val="00F83D32"/>
    <w:rsid w:val="00F84C7F"/>
    <w:rsid w:val="00F85138"/>
    <w:rsid w:val="00F853B3"/>
    <w:rsid w:val="00F85916"/>
    <w:rsid w:val="00F85B40"/>
    <w:rsid w:val="00F85BC7"/>
    <w:rsid w:val="00F85BDC"/>
    <w:rsid w:val="00F85D0D"/>
    <w:rsid w:val="00F861EA"/>
    <w:rsid w:val="00F867A4"/>
    <w:rsid w:val="00F8680D"/>
    <w:rsid w:val="00F86BA1"/>
    <w:rsid w:val="00F86D98"/>
    <w:rsid w:val="00F86E8F"/>
    <w:rsid w:val="00F87242"/>
    <w:rsid w:val="00F87521"/>
    <w:rsid w:val="00F87652"/>
    <w:rsid w:val="00F8779C"/>
    <w:rsid w:val="00F879CF"/>
    <w:rsid w:val="00F9003D"/>
    <w:rsid w:val="00F90BC7"/>
    <w:rsid w:val="00F90BF8"/>
    <w:rsid w:val="00F90F0F"/>
    <w:rsid w:val="00F91031"/>
    <w:rsid w:val="00F91661"/>
    <w:rsid w:val="00F91CB7"/>
    <w:rsid w:val="00F91EEF"/>
    <w:rsid w:val="00F92052"/>
    <w:rsid w:val="00F925DF"/>
    <w:rsid w:val="00F929BC"/>
    <w:rsid w:val="00F92AD8"/>
    <w:rsid w:val="00F92E89"/>
    <w:rsid w:val="00F92EE5"/>
    <w:rsid w:val="00F92F5C"/>
    <w:rsid w:val="00F930A6"/>
    <w:rsid w:val="00F93845"/>
    <w:rsid w:val="00F9391D"/>
    <w:rsid w:val="00F93B36"/>
    <w:rsid w:val="00F93DEB"/>
    <w:rsid w:val="00F93FF5"/>
    <w:rsid w:val="00F94291"/>
    <w:rsid w:val="00F945FF"/>
    <w:rsid w:val="00F9487E"/>
    <w:rsid w:val="00F94A49"/>
    <w:rsid w:val="00F94F61"/>
    <w:rsid w:val="00F950C0"/>
    <w:rsid w:val="00F95442"/>
    <w:rsid w:val="00F956B5"/>
    <w:rsid w:val="00F95794"/>
    <w:rsid w:val="00F957E6"/>
    <w:rsid w:val="00F95891"/>
    <w:rsid w:val="00F958CC"/>
    <w:rsid w:val="00F95EDD"/>
    <w:rsid w:val="00F95F69"/>
    <w:rsid w:val="00F95FDB"/>
    <w:rsid w:val="00F968BB"/>
    <w:rsid w:val="00F96B3E"/>
    <w:rsid w:val="00F96F08"/>
    <w:rsid w:val="00F96FA6"/>
    <w:rsid w:val="00F96FE0"/>
    <w:rsid w:val="00F973FA"/>
    <w:rsid w:val="00F9741F"/>
    <w:rsid w:val="00F97C5B"/>
    <w:rsid w:val="00FA0A81"/>
    <w:rsid w:val="00FA0C5A"/>
    <w:rsid w:val="00FA0CA4"/>
    <w:rsid w:val="00FA0D02"/>
    <w:rsid w:val="00FA0D40"/>
    <w:rsid w:val="00FA163A"/>
    <w:rsid w:val="00FA21FF"/>
    <w:rsid w:val="00FA2A1F"/>
    <w:rsid w:val="00FA2BD0"/>
    <w:rsid w:val="00FA34B1"/>
    <w:rsid w:val="00FA38E0"/>
    <w:rsid w:val="00FA3957"/>
    <w:rsid w:val="00FA3E77"/>
    <w:rsid w:val="00FA455D"/>
    <w:rsid w:val="00FA4A24"/>
    <w:rsid w:val="00FA4E89"/>
    <w:rsid w:val="00FA5208"/>
    <w:rsid w:val="00FA5C9D"/>
    <w:rsid w:val="00FA5E7E"/>
    <w:rsid w:val="00FA6944"/>
    <w:rsid w:val="00FA6E8D"/>
    <w:rsid w:val="00FA6FCB"/>
    <w:rsid w:val="00FA76B1"/>
    <w:rsid w:val="00FA78AC"/>
    <w:rsid w:val="00FA7ABD"/>
    <w:rsid w:val="00FA7DF3"/>
    <w:rsid w:val="00FB017E"/>
    <w:rsid w:val="00FB0278"/>
    <w:rsid w:val="00FB03F1"/>
    <w:rsid w:val="00FB03FE"/>
    <w:rsid w:val="00FB059C"/>
    <w:rsid w:val="00FB067B"/>
    <w:rsid w:val="00FB06E1"/>
    <w:rsid w:val="00FB081C"/>
    <w:rsid w:val="00FB0856"/>
    <w:rsid w:val="00FB0B82"/>
    <w:rsid w:val="00FB19B2"/>
    <w:rsid w:val="00FB1CE7"/>
    <w:rsid w:val="00FB1D8A"/>
    <w:rsid w:val="00FB1DA6"/>
    <w:rsid w:val="00FB217C"/>
    <w:rsid w:val="00FB2609"/>
    <w:rsid w:val="00FB2A38"/>
    <w:rsid w:val="00FB2B1B"/>
    <w:rsid w:val="00FB2C77"/>
    <w:rsid w:val="00FB2F6E"/>
    <w:rsid w:val="00FB377B"/>
    <w:rsid w:val="00FB3B2B"/>
    <w:rsid w:val="00FB3B98"/>
    <w:rsid w:val="00FB3B9C"/>
    <w:rsid w:val="00FB3E0C"/>
    <w:rsid w:val="00FB4138"/>
    <w:rsid w:val="00FB4218"/>
    <w:rsid w:val="00FB425B"/>
    <w:rsid w:val="00FB481E"/>
    <w:rsid w:val="00FB4A16"/>
    <w:rsid w:val="00FB50E9"/>
    <w:rsid w:val="00FB5185"/>
    <w:rsid w:val="00FB523F"/>
    <w:rsid w:val="00FB5240"/>
    <w:rsid w:val="00FB5CCD"/>
    <w:rsid w:val="00FB5CEC"/>
    <w:rsid w:val="00FB5D02"/>
    <w:rsid w:val="00FB6293"/>
    <w:rsid w:val="00FB6B1F"/>
    <w:rsid w:val="00FB6D7E"/>
    <w:rsid w:val="00FB6E2C"/>
    <w:rsid w:val="00FB7E60"/>
    <w:rsid w:val="00FC03C0"/>
    <w:rsid w:val="00FC04F7"/>
    <w:rsid w:val="00FC0A29"/>
    <w:rsid w:val="00FC116A"/>
    <w:rsid w:val="00FC1217"/>
    <w:rsid w:val="00FC138D"/>
    <w:rsid w:val="00FC13AE"/>
    <w:rsid w:val="00FC1431"/>
    <w:rsid w:val="00FC182E"/>
    <w:rsid w:val="00FC1D5A"/>
    <w:rsid w:val="00FC1EB0"/>
    <w:rsid w:val="00FC20FB"/>
    <w:rsid w:val="00FC21B1"/>
    <w:rsid w:val="00FC264D"/>
    <w:rsid w:val="00FC289C"/>
    <w:rsid w:val="00FC3495"/>
    <w:rsid w:val="00FC3735"/>
    <w:rsid w:val="00FC3765"/>
    <w:rsid w:val="00FC37D9"/>
    <w:rsid w:val="00FC3BAD"/>
    <w:rsid w:val="00FC3D01"/>
    <w:rsid w:val="00FC3E95"/>
    <w:rsid w:val="00FC45F9"/>
    <w:rsid w:val="00FC4617"/>
    <w:rsid w:val="00FC4A7D"/>
    <w:rsid w:val="00FC4FD4"/>
    <w:rsid w:val="00FC501C"/>
    <w:rsid w:val="00FC511A"/>
    <w:rsid w:val="00FC51F7"/>
    <w:rsid w:val="00FC5214"/>
    <w:rsid w:val="00FC5223"/>
    <w:rsid w:val="00FC59F8"/>
    <w:rsid w:val="00FC5F3D"/>
    <w:rsid w:val="00FC642B"/>
    <w:rsid w:val="00FC66E6"/>
    <w:rsid w:val="00FC6813"/>
    <w:rsid w:val="00FC6CF8"/>
    <w:rsid w:val="00FC77EB"/>
    <w:rsid w:val="00FC7A70"/>
    <w:rsid w:val="00FC7B03"/>
    <w:rsid w:val="00FC7EF2"/>
    <w:rsid w:val="00FD000A"/>
    <w:rsid w:val="00FD012C"/>
    <w:rsid w:val="00FD05D0"/>
    <w:rsid w:val="00FD085F"/>
    <w:rsid w:val="00FD09E8"/>
    <w:rsid w:val="00FD0AF2"/>
    <w:rsid w:val="00FD0B1C"/>
    <w:rsid w:val="00FD0E64"/>
    <w:rsid w:val="00FD1431"/>
    <w:rsid w:val="00FD14FB"/>
    <w:rsid w:val="00FD169A"/>
    <w:rsid w:val="00FD1711"/>
    <w:rsid w:val="00FD1A9B"/>
    <w:rsid w:val="00FD203A"/>
    <w:rsid w:val="00FD2135"/>
    <w:rsid w:val="00FD21DD"/>
    <w:rsid w:val="00FD244C"/>
    <w:rsid w:val="00FD24C8"/>
    <w:rsid w:val="00FD2709"/>
    <w:rsid w:val="00FD28B0"/>
    <w:rsid w:val="00FD32EF"/>
    <w:rsid w:val="00FD3354"/>
    <w:rsid w:val="00FD43C1"/>
    <w:rsid w:val="00FD43D1"/>
    <w:rsid w:val="00FD44B1"/>
    <w:rsid w:val="00FD4629"/>
    <w:rsid w:val="00FD4F47"/>
    <w:rsid w:val="00FD5276"/>
    <w:rsid w:val="00FD54D2"/>
    <w:rsid w:val="00FD5883"/>
    <w:rsid w:val="00FD5BF9"/>
    <w:rsid w:val="00FD5CBB"/>
    <w:rsid w:val="00FD5D66"/>
    <w:rsid w:val="00FD5D6D"/>
    <w:rsid w:val="00FD64DF"/>
    <w:rsid w:val="00FD6561"/>
    <w:rsid w:val="00FD6C2C"/>
    <w:rsid w:val="00FD6EE8"/>
    <w:rsid w:val="00FD6F24"/>
    <w:rsid w:val="00FD794F"/>
    <w:rsid w:val="00FD7AA7"/>
    <w:rsid w:val="00FD7AB3"/>
    <w:rsid w:val="00FD7AB4"/>
    <w:rsid w:val="00FD7B43"/>
    <w:rsid w:val="00FE026E"/>
    <w:rsid w:val="00FE03D2"/>
    <w:rsid w:val="00FE048B"/>
    <w:rsid w:val="00FE0592"/>
    <w:rsid w:val="00FE05B1"/>
    <w:rsid w:val="00FE0771"/>
    <w:rsid w:val="00FE07F7"/>
    <w:rsid w:val="00FE0866"/>
    <w:rsid w:val="00FE093C"/>
    <w:rsid w:val="00FE0C8B"/>
    <w:rsid w:val="00FE0F7C"/>
    <w:rsid w:val="00FE16B7"/>
    <w:rsid w:val="00FE1A41"/>
    <w:rsid w:val="00FE1C74"/>
    <w:rsid w:val="00FE1DA9"/>
    <w:rsid w:val="00FE1EB1"/>
    <w:rsid w:val="00FE21CA"/>
    <w:rsid w:val="00FE2475"/>
    <w:rsid w:val="00FE2840"/>
    <w:rsid w:val="00FE2B51"/>
    <w:rsid w:val="00FE2C48"/>
    <w:rsid w:val="00FE2DD7"/>
    <w:rsid w:val="00FE2E07"/>
    <w:rsid w:val="00FE30CC"/>
    <w:rsid w:val="00FE35E2"/>
    <w:rsid w:val="00FE3793"/>
    <w:rsid w:val="00FE3828"/>
    <w:rsid w:val="00FE3D54"/>
    <w:rsid w:val="00FE4284"/>
    <w:rsid w:val="00FE435E"/>
    <w:rsid w:val="00FE4975"/>
    <w:rsid w:val="00FE4AC5"/>
    <w:rsid w:val="00FE4E08"/>
    <w:rsid w:val="00FE50F1"/>
    <w:rsid w:val="00FE534C"/>
    <w:rsid w:val="00FE585D"/>
    <w:rsid w:val="00FE5CFF"/>
    <w:rsid w:val="00FE5F21"/>
    <w:rsid w:val="00FE6518"/>
    <w:rsid w:val="00FE6519"/>
    <w:rsid w:val="00FE6E8A"/>
    <w:rsid w:val="00FE6FB6"/>
    <w:rsid w:val="00FE7387"/>
    <w:rsid w:val="00FF01C3"/>
    <w:rsid w:val="00FF0D21"/>
    <w:rsid w:val="00FF0F31"/>
    <w:rsid w:val="00FF10B2"/>
    <w:rsid w:val="00FF1288"/>
    <w:rsid w:val="00FF131F"/>
    <w:rsid w:val="00FF1405"/>
    <w:rsid w:val="00FF172B"/>
    <w:rsid w:val="00FF1995"/>
    <w:rsid w:val="00FF19C2"/>
    <w:rsid w:val="00FF1DEC"/>
    <w:rsid w:val="00FF21D8"/>
    <w:rsid w:val="00FF2C75"/>
    <w:rsid w:val="00FF2DE8"/>
    <w:rsid w:val="00FF317F"/>
    <w:rsid w:val="00FF3230"/>
    <w:rsid w:val="00FF35AF"/>
    <w:rsid w:val="00FF385C"/>
    <w:rsid w:val="00FF3AD2"/>
    <w:rsid w:val="00FF41C9"/>
    <w:rsid w:val="00FF48F1"/>
    <w:rsid w:val="00FF50F0"/>
    <w:rsid w:val="00FF56EC"/>
    <w:rsid w:val="00FF5CAB"/>
    <w:rsid w:val="00FF5DF4"/>
    <w:rsid w:val="00FF5F4D"/>
    <w:rsid w:val="00FF6946"/>
    <w:rsid w:val="00FF6B99"/>
    <w:rsid w:val="00FF6FFA"/>
    <w:rsid w:val="00FF71F8"/>
    <w:rsid w:val="01A0DE80"/>
    <w:rsid w:val="01FCC372"/>
    <w:rsid w:val="04828CE0"/>
    <w:rsid w:val="0A110FC0"/>
    <w:rsid w:val="0A591AA6"/>
    <w:rsid w:val="0AD4635D"/>
    <w:rsid w:val="0B0F4EB2"/>
    <w:rsid w:val="0E2F5955"/>
    <w:rsid w:val="128A6780"/>
    <w:rsid w:val="13A78BC0"/>
    <w:rsid w:val="14EC73E1"/>
    <w:rsid w:val="16B16C82"/>
    <w:rsid w:val="16E11F42"/>
    <w:rsid w:val="1BDE5FE4"/>
    <w:rsid w:val="1E2534BE"/>
    <w:rsid w:val="213F71CF"/>
    <w:rsid w:val="21C26674"/>
    <w:rsid w:val="237A3777"/>
    <w:rsid w:val="24C640AC"/>
    <w:rsid w:val="25971387"/>
    <w:rsid w:val="28C18D06"/>
    <w:rsid w:val="293B62E2"/>
    <w:rsid w:val="2AEB8262"/>
    <w:rsid w:val="2C5B6B79"/>
    <w:rsid w:val="30C40BD1"/>
    <w:rsid w:val="333A3C41"/>
    <w:rsid w:val="35874AE3"/>
    <w:rsid w:val="389A2E9E"/>
    <w:rsid w:val="3B03F57D"/>
    <w:rsid w:val="3B767DD1"/>
    <w:rsid w:val="3C6C5AD2"/>
    <w:rsid w:val="3CA8948F"/>
    <w:rsid w:val="3E7A4803"/>
    <w:rsid w:val="443013FC"/>
    <w:rsid w:val="44F0F32B"/>
    <w:rsid w:val="47B70FB5"/>
    <w:rsid w:val="4A432DB2"/>
    <w:rsid w:val="4C2869FC"/>
    <w:rsid w:val="4FDF0351"/>
    <w:rsid w:val="4FF54F1D"/>
    <w:rsid w:val="512D9A81"/>
    <w:rsid w:val="518084CF"/>
    <w:rsid w:val="54B76745"/>
    <w:rsid w:val="55F6E02C"/>
    <w:rsid w:val="56C24251"/>
    <w:rsid w:val="57455939"/>
    <w:rsid w:val="59CCE424"/>
    <w:rsid w:val="5AF041C1"/>
    <w:rsid w:val="64415416"/>
    <w:rsid w:val="65B7EA7E"/>
    <w:rsid w:val="66B1BD63"/>
    <w:rsid w:val="694B222E"/>
    <w:rsid w:val="6BC4E16E"/>
    <w:rsid w:val="6CBF4F53"/>
    <w:rsid w:val="713F2D9F"/>
    <w:rsid w:val="724FAB15"/>
    <w:rsid w:val="7266063B"/>
    <w:rsid w:val="747C2B56"/>
    <w:rsid w:val="79641838"/>
    <w:rsid w:val="798742CE"/>
    <w:rsid w:val="7B6B30B9"/>
    <w:rsid w:val="7EA53D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en-US" w:eastAsia="en-US" w:bidi="ar-SA"/>
    </w:rPr>
  </w:style>
  <w:style w:type="paragraph" w:styleId="2">
    <w:name w:val="heading 3"/>
    <w:basedOn w:val="1"/>
    <w:link w:val="23"/>
    <w:qFormat/>
    <w:uiPriority w:val="9"/>
    <w:pPr>
      <w:spacing w:before="100" w:beforeAutospacing="1" w:after="100" w:afterAutospacing="1" w:line="240" w:lineRule="auto"/>
      <w:outlineLvl w:val="2"/>
    </w:pPr>
    <w:rPr>
      <w:rFonts w:ascii="Times New Roman" w:hAnsi="Times New Roman" w:eastAsia="Times New Roman"/>
      <w:b/>
      <w:bCs/>
      <w:sz w:val="27"/>
      <w:szCs w:val="27"/>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30"/>
    <w:semiHidden/>
    <w:unhideWhenUsed/>
    <w:qFormat/>
    <w:uiPriority w:val="99"/>
    <w:pPr>
      <w:spacing w:after="0" w:line="240" w:lineRule="auto"/>
    </w:pPr>
    <w:rPr>
      <w:rFonts w:ascii="Segoe UI" w:hAnsi="Segoe UI" w:cs="Segoe UI"/>
      <w:sz w:val="18"/>
      <w:szCs w:val="18"/>
    </w:rPr>
  </w:style>
  <w:style w:type="paragraph" w:styleId="6">
    <w:name w:val="Body Text Indent"/>
    <w:basedOn w:val="1"/>
    <w:link w:val="46"/>
    <w:unhideWhenUsed/>
    <w:qFormat/>
    <w:uiPriority w:val="99"/>
    <w:pPr>
      <w:spacing w:after="120" w:line="240" w:lineRule="auto"/>
      <w:ind w:left="360"/>
    </w:pPr>
    <w:rPr>
      <w:rFonts w:ascii="Times New Roman" w:hAnsi="Times New Roman" w:eastAsia="Times New Roman"/>
      <w:sz w:val="28"/>
      <w:szCs w:val="28"/>
    </w:rPr>
  </w:style>
  <w:style w:type="character" w:styleId="7">
    <w:name w:val="annotation reference"/>
    <w:basedOn w:val="3"/>
    <w:semiHidden/>
    <w:unhideWhenUsed/>
    <w:qFormat/>
    <w:uiPriority w:val="99"/>
    <w:rPr>
      <w:sz w:val="16"/>
      <w:szCs w:val="16"/>
    </w:rPr>
  </w:style>
  <w:style w:type="paragraph" w:styleId="8">
    <w:name w:val="annotation text"/>
    <w:basedOn w:val="1"/>
    <w:link w:val="29"/>
    <w:semiHidden/>
    <w:unhideWhenUsed/>
    <w:qFormat/>
    <w:uiPriority w:val="99"/>
    <w:pPr>
      <w:spacing w:line="240" w:lineRule="auto"/>
      <w:jc w:val="both"/>
    </w:pPr>
    <w:rPr>
      <w:rFonts w:ascii="Times New Roman" w:hAnsi="Times New Roman" w:eastAsiaTheme="minorHAnsi" w:cstheme="minorBidi"/>
      <w:sz w:val="20"/>
      <w:szCs w:val="20"/>
      <w:lang w:val="en-AU"/>
    </w:rPr>
  </w:style>
  <w:style w:type="paragraph" w:styleId="9">
    <w:name w:val="annotation subject"/>
    <w:basedOn w:val="8"/>
    <w:next w:val="8"/>
    <w:link w:val="42"/>
    <w:semiHidden/>
    <w:unhideWhenUsed/>
    <w:qFormat/>
    <w:uiPriority w:val="99"/>
    <w:pPr>
      <w:jc w:val="left"/>
    </w:pPr>
    <w:rPr>
      <w:rFonts w:ascii="Calibri" w:hAnsi="Calibri" w:eastAsia="Calibri" w:cs="Times New Roman"/>
      <w:b/>
      <w:bCs/>
      <w:lang w:val="en-US"/>
    </w:rPr>
  </w:style>
  <w:style w:type="character" w:styleId="10">
    <w:name w:val="Emphasis"/>
    <w:basedOn w:val="3"/>
    <w:qFormat/>
    <w:uiPriority w:val="20"/>
    <w:rPr>
      <w:i/>
      <w:iCs/>
    </w:rPr>
  </w:style>
  <w:style w:type="character" w:styleId="11">
    <w:name w:val="endnote reference"/>
    <w:basedOn w:val="3"/>
    <w:semiHidden/>
    <w:unhideWhenUsed/>
    <w:qFormat/>
    <w:uiPriority w:val="99"/>
    <w:rPr>
      <w:vertAlign w:val="superscript"/>
    </w:rPr>
  </w:style>
  <w:style w:type="paragraph" w:styleId="12">
    <w:name w:val="endnote text"/>
    <w:basedOn w:val="1"/>
    <w:link w:val="35"/>
    <w:semiHidden/>
    <w:unhideWhenUsed/>
    <w:qFormat/>
    <w:uiPriority w:val="99"/>
    <w:pPr>
      <w:spacing w:after="0" w:line="240" w:lineRule="auto"/>
    </w:pPr>
    <w:rPr>
      <w:sz w:val="20"/>
      <w:szCs w:val="20"/>
    </w:rPr>
  </w:style>
  <w:style w:type="character" w:styleId="13">
    <w:name w:val="FollowedHyperlink"/>
    <w:basedOn w:val="3"/>
    <w:semiHidden/>
    <w:unhideWhenUsed/>
    <w:qFormat/>
    <w:uiPriority w:val="99"/>
    <w:rPr>
      <w:color w:val="954F72" w:themeColor="followedHyperlink"/>
      <w:u w:val="single"/>
      <w14:textFill>
        <w14:solidFill>
          <w14:schemeClr w14:val="folHlink"/>
        </w14:solidFill>
      </w14:textFill>
    </w:rPr>
  </w:style>
  <w:style w:type="paragraph" w:styleId="14">
    <w:name w:val="footer"/>
    <w:basedOn w:val="1"/>
    <w:link w:val="32"/>
    <w:unhideWhenUsed/>
    <w:qFormat/>
    <w:uiPriority w:val="99"/>
    <w:pPr>
      <w:tabs>
        <w:tab w:val="center" w:pos="4680"/>
        <w:tab w:val="right" w:pos="9360"/>
      </w:tabs>
      <w:spacing w:after="0" w:line="240" w:lineRule="auto"/>
    </w:pPr>
  </w:style>
  <w:style w:type="character" w:styleId="15">
    <w:name w:val="footnote reference"/>
    <w:basedOn w:val="3"/>
    <w:unhideWhenUsed/>
    <w:qFormat/>
    <w:uiPriority w:val="99"/>
    <w:rPr>
      <w:vertAlign w:val="superscript"/>
    </w:rPr>
  </w:style>
  <w:style w:type="paragraph" w:styleId="16">
    <w:name w:val="footnote text"/>
    <w:basedOn w:val="1"/>
    <w:link w:val="28"/>
    <w:unhideWhenUsed/>
    <w:qFormat/>
    <w:uiPriority w:val="99"/>
    <w:pPr>
      <w:spacing w:after="0" w:line="240" w:lineRule="auto"/>
      <w:jc w:val="both"/>
    </w:pPr>
    <w:rPr>
      <w:rFonts w:ascii="Times New Roman" w:hAnsi="Times New Roman" w:eastAsiaTheme="minorHAnsi" w:cstheme="minorBidi"/>
      <w:sz w:val="20"/>
      <w:szCs w:val="20"/>
      <w:lang w:val="en-AU"/>
    </w:rPr>
  </w:style>
  <w:style w:type="paragraph" w:styleId="17">
    <w:name w:val="header"/>
    <w:basedOn w:val="1"/>
    <w:link w:val="31"/>
    <w:unhideWhenUsed/>
    <w:qFormat/>
    <w:uiPriority w:val="99"/>
    <w:pPr>
      <w:tabs>
        <w:tab w:val="center" w:pos="4680"/>
        <w:tab w:val="right" w:pos="9360"/>
      </w:tabs>
      <w:spacing w:after="0" w:line="240" w:lineRule="auto"/>
    </w:pPr>
  </w:style>
  <w:style w:type="character" w:styleId="18">
    <w:name w:val="Hyperlink"/>
    <w:basedOn w:val="3"/>
    <w:unhideWhenUsed/>
    <w:qFormat/>
    <w:uiPriority w:val="99"/>
    <w:rPr>
      <w:color w:val="0563C1" w:themeColor="hyperlink"/>
      <w:u w:val="single"/>
      <w14:textFill>
        <w14:solidFill>
          <w14:schemeClr w14:val="hlink"/>
        </w14:solidFill>
      </w14:textFill>
    </w:rPr>
  </w:style>
  <w:style w:type="paragraph" w:styleId="19">
    <w:name w:val="Normal (Web)"/>
    <w:basedOn w:val="1"/>
    <w:link w:val="24"/>
    <w:unhideWhenUsed/>
    <w:qFormat/>
    <w:uiPriority w:val="99"/>
    <w:pPr>
      <w:spacing w:before="100" w:beforeAutospacing="1" w:after="100" w:afterAutospacing="1" w:line="240" w:lineRule="auto"/>
    </w:pPr>
    <w:rPr>
      <w:rFonts w:ascii="Times New Roman" w:hAnsi="Times New Roman" w:eastAsia="Times New Roman"/>
      <w:sz w:val="24"/>
      <w:szCs w:val="24"/>
    </w:rPr>
  </w:style>
  <w:style w:type="character" w:styleId="20">
    <w:name w:val="Strong"/>
    <w:basedOn w:val="3"/>
    <w:qFormat/>
    <w:uiPriority w:val="22"/>
    <w:rPr>
      <w:b/>
      <w:bCs/>
    </w:rPr>
  </w:style>
  <w:style w:type="table" w:styleId="21">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
    <w:name w:val="fontstyle01"/>
    <w:basedOn w:val="3"/>
    <w:qFormat/>
    <w:uiPriority w:val="0"/>
    <w:rPr>
      <w:rFonts w:hint="default" w:ascii="Times New Roman" w:hAnsi="Times New Roman" w:cs="Times New Roman"/>
      <w:i/>
      <w:iCs/>
      <w:color w:val="000000"/>
      <w:sz w:val="28"/>
      <w:szCs w:val="28"/>
    </w:rPr>
  </w:style>
  <w:style w:type="character" w:customStyle="1" w:styleId="23">
    <w:name w:val="Heading 3 Char"/>
    <w:basedOn w:val="3"/>
    <w:link w:val="2"/>
    <w:qFormat/>
    <w:uiPriority w:val="9"/>
    <w:rPr>
      <w:rFonts w:ascii="Times New Roman" w:hAnsi="Times New Roman" w:eastAsia="Times New Roman" w:cs="Times New Roman"/>
      <w:b/>
      <w:bCs/>
      <w:sz w:val="27"/>
      <w:szCs w:val="27"/>
    </w:rPr>
  </w:style>
  <w:style w:type="character" w:customStyle="1" w:styleId="24">
    <w:name w:val="Normal (Web) Char"/>
    <w:link w:val="19"/>
    <w:qFormat/>
    <w:locked/>
    <w:uiPriority w:val="99"/>
    <w:rPr>
      <w:rFonts w:ascii="Times New Roman" w:hAnsi="Times New Roman" w:eastAsia="Times New Roman" w:cs="Times New Roman"/>
      <w:sz w:val="24"/>
      <w:szCs w:val="24"/>
    </w:rPr>
  </w:style>
  <w:style w:type="character" w:customStyle="1" w:styleId="25">
    <w:name w:val="fontstyle21"/>
    <w:basedOn w:val="3"/>
    <w:qFormat/>
    <w:uiPriority w:val="0"/>
    <w:rPr>
      <w:rFonts w:hint="default" w:ascii="Times New Roman" w:hAnsi="Times New Roman" w:cs="Times New Roman"/>
      <w:i/>
      <w:iCs/>
      <w:color w:val="000000"/>
      <w:sz w:val="28"/>
      <w:szCs w:val="28"/>
    </w:rPr>
  </w:style>
  <w:style w:type="character" w:customStyle="1" w:styleId="26">
    <w:name w:val="fontstyle31"/>
    <w:basedOn w:val="3"/>
    <w:qFormat/>
    <w:uiPriority w:val="0"/>
    <w:rPr>
      <w:rFonts w:hint="default" w:ascii="Times New Roman" w:hAnsi="Times New Roman" w:cs="Times New Roman"/>
      <w:b/>
      <w:bCs/>
      <w:i/>
      <w:iCs/>
      <w:color w:val="000000"/>
      <w:sz w:val="28"/>
      <w:szCs w:val="28"/>
    </w:rPr>
  </w:style>
  <w:style w:type="character" w:customStyle="1" w:styleId="27">
    <w:name w:val="fontstyle41"/>
    <w:basedOn w:val="3"/>
    <w:qFormat/>
    <w:uiPriority w:val="0"/>
    <w:rPr>
      <w:rFonts w:hint="default" w:ascii="Times New Roman" w:hAnsi="Times New Roman" w:cs="Times New Roman"/>
      <w:b/>
      <w:bCs/>
      <w:color w:val="000000"/>
      <w:sz w:val="28"/>
      <w:szCs w:val="28"/>
    </w:rPr>
  </w:style>
  <w:style w:type="character" w:customStyle="1" w:styleId="28">
    <w:name w:val="Footnote Text Char"/>
    <w:basedOn w:val="3"/>
    <w:link w:val="16"/>
    <w:qFormat/>
    <w:uiPriority w:val="99"/>
    <w:rPr>
      <w:rFonts w:ascii="Times New Roman" w:hAnsi="Times New Roman"/>
      <w:sz w:val="20"/>
      <w:szCs w:val="20"/>
      <w:lang w:val="en-AU"/>
    </w:rPr>
  </w:style>
  <w:style w:type="character" w:customStyle="1" w:styleId="29">
    <w:name w:val="Comment Text Char"/>
    <w:basedOn w:val="3"/>
    <w:link w:val="8"/>
    <w:semiHidden/>
    <w:qFormat/>
    <w:uiPriority w:val="99"/>
    <w:rPr>
      <w:rFonts w:ascii="Times New Roman" w:hAnsi="Times New Roman"/>
      <w:sz w:val="20"/>
      <w:szCs w:val="20"/>
      <w:lang w:val="en-AU"/>
    </w:rPr>
  </w:style>
  <w:style w:type="character" w:customStyle="1" w:styleId="30">
    <w:name w:val="Balloon Text Char"/>
    <w:basedOn w:val="3"/>
    <w:link w:val="5"/>
    <w:semiHidden/>
    <w:qFormat/>
    <w:uiPriority w:val="99"/>
    <w:rPr>
      <w:rFonts w:ascii="Segoe UI" w:hAnsi="Segoe UI" w:eastAsia="Calibri" w:cs="Segoe UI"/>
      <w:sz w:val="18"/>
      <w:szCs w:val="18"/>
    </w:rPr>
  </w:style>
  <w:style w:type="character" w:customStyle="1" w:styleId="31">
    <w:name w:val="Header Char"/>
    <w:basedOn w:val="3"/>
    <w:link w:val="17"/>
    <w:qFormat/>
    <w:uiPriority w:val="99"/>
    <w:rPr>
      <w:rFonts w:ascii="Calibri" w:hAnsi="Calibri" w:eastAsia="Calibri" w:cs="Times New Roman"/>
    </w:rPr>
  </w:style>
  <w:style w:type="character" w:customStyle="1" w:styleId="32">
    <w:name w:val="Footer Char"/>
    <w:basedOn w:val="3"/>
    <w:link w:val="14"/>
    <w:qFormat/>
    <w:uiPriority w:val="99"/>
    <w:rPr>
      <w:rFonts w:ascii="Calibri" w:hAnsi="Calibri" w:eastAsia="Calibri" w:cs="Times New Roman"/>
    </w:rPr>
  </w:style>
  <w:style w:type="character" w:customStyle="1" w:styleId="33">
    <w:name w:val="doclink"/>
    <w:basedOn w:val="3"/>
    <w:qFormat/>
    <w:uiPriority w:val="0"/>
  </w:style>
  <w:style w:type="paragraph" w:customStyle="1" w:styleId="34">
    <w:name w:val="phead"/>
    <w:basedOn w:val="1"/>
    <w:qFormat/>
    <w:uiPriority w:val="0"/>
    <w:pPr>
      <w:spacing w:before="100" w:beforeAutospacing="1" w:after="100" w:afterAutospacing="1" w:line="240" w:lineRule="auto"/>
    </w:pPr>
    <w:rPr>
      <w:rFonts w:ascii="Times New Roman" w:hAnsi="Times New Roman" w:eastAsia="Times New Roman"/>
      <w:sz w:val="24"/>
      <w:szCs w:val="24"/>
    </w:rPr>
  </w:style>
  <w:style w:type="character" w:customStyle="1" w:styleId="35">
    <w:name w:val="Endnote Text Char"/>
    <w:basedOn w:val="3"/>
    <w:link w:val="12"/>
    <w:semiHidden/>
    <w:qFormat/>
    <w:uiPriority w:val="99"/>
    <w:rPr>
      <w:rFonts w:ascii="Calibri" w:hAnsi="Calibri" w:eastAsia="Calibri" w:cs="Times New Roman"/>
      <w:sz w:val="20"/>
      <w:szCs w:val="20"/>
    </w:rPr>
  </w:style>
  <w:style w:type="character" w:customStyle="1" w:styleId="36">
    <w:name w:val="Body text (2) Exact"/>
    <w:qFormat/>
    <w:uiPriority w:val="0"/>
    <w:rPr>
      <w:rFonts w:ascii="Times New Roman" w:hAnsi="Times New Roman" w:cs="Times New Roman"/>
      <w:sz w:val="26"/>
      <w:szCs w:val="26"/>
      <w:u w:val="none"/>
    </w:rPr>
  </w:style>
  <w:style w:type="character" w:customStyle="1" w:styleId="37">
    <w:name w:val="Body text (2)_"/>
    <w:link w:val="38"/>
    <w:qFormat/>
    <w:locked/>
    <w:uiPriority w:val="0"/>
    <w:rPr>
      <w:sz w:val="26"/>
      <w:szCs w:val="26"/>
      <w:shd w:val="clear" w:color="auto" w:fill="FFFFFF"/>
    </w:rPr>
  </w:style>
  <w:style w:type="paragraph" w:customStyle="1" w:styleId="38">
    <w:name w:val="Body text (2)1"/>
    <w:basedOn w:val="1"/>
    <w:link w:val="37"/>
    <w:qFormat/>
    <w:uiPriority w:val="0"/>
    <w:pPr>
      <w:widowControl w:val="0"/>
      <w:shd w:val="clear" w:color="auto" w:fill="FFFFFF"/>
      <w:spacing w:before="600" w:after="2880" w:line="317" w:lineRule="exact"/>
      <w:jc w:val="both"/>
    </w:pPr>
    <w:rPr>
      <w:rFonts w:asciiTheme="minorHAnsi" w:hAnsiTheme="minorHAnsi" w:eastAsiaTheme="minorHAnsi" w:cstheme="minorBidi"/>
      <w:sz w:val="26"/>
      <w:szCs w:val="26"/>
    </w:rPr>
  </w:style>
  <w:style w:type="character" w:customStyle="1" w:styleId="39">
    <w:name w:val="Unresolved Mention1"/>
    <w:basedOn w:val="3"/>
    <w:semiHidden/>
    <w:unhideWhenUsed/>
    <w:qFormat/>
    <w:uiPriority w:val="99"/>
    <w:rPr>
      <w:color w:val="605E5C"/>
      <w:shd w:val="clear" w:color="auto" w:fill="E1DFDD"/>
    </w:rPr>
  </w:style>
  <w:style w:type="paragraph" w:styleId="40">
    <w:name w:val="List Paragraph"/>
    <w:basedOn w:val="1"/>
    <w:link w:val="45"/>
    <w:qFormat/>
    <w:uiPriority w:val="34"/>
    <w:pPr>
      <w:ind w:left="720"/>
      <w:contextualSpacing/>
    </w:pPr>
  </w:style>
  <w:style w:type="paragraph" w:customStyle="1" w:styleId="41">
    <w:name w:val="Revision"/>
    <w:hidden/>
    <w:semiHidden/>
    <w:qFormat/>
    <w:uiPriority w:val="99"/>
    <w:pPr>
      <w:spacing w:after="0" w:line="240" w:lineRule="auto"/>
    </w:pPr>
    <w:rPr>
      <w:rFonts w:ascii="Calibri" w:hAnsi="Calibri" w:eastAsia="Calibri" w:cs="Times New Roman"/>
      <w:sz w:val="22"/>
      <w:szCs w:val="22"/>
      <w:lang w:val="en-US" w:eastAsia="en-US" w:bidi="ar-SA"/>
    </w:rPr>
  </w:style>
  <w:style w:type="character" w:customStyle="1" w:styleId="42">
    <w:name w:val="Comment Subject Char"/>
    <w:basedOn w:val="29"/>
    <w:link w:val="9"/>
    <w:semiHidden/>
    <w:qFormat/>
    <w:uiPriority w:val="99"/>
    <w:rPr>
      <w:rFonts w:ascii="Calibri" w:hAnsi="Calibri" w:eastAsia="Calibri" w:cs="Times New Roman"/>
      <w:b/>
      <w:bCs/>
      <w:sz w:val="20"/>
      <w:szCs w:val="20"/>
      <w:lang w:val="en-AU"/>
    </w:rPr>
  </w:style>
  <w:style w:type="paragraph" w:customStyle="1" w:styleId="43">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n-GB" w:eastAsia="en-US" w:bidi="ar-SA"/>
    </w:rPr>
  </w:style>
  <w:style w:type="character" w:customStyle="1" w:styleId="44">
    <w:name w:val="Footnote Text Char1"/>
    <w:qFormat/>
    <w:uiPriority w:val="0"/>
    <w:rPr>
      <w:rFonts w:ascii="Times New Roman" w:hAnsi="Times New Roman" w:eastAsia="Times New Roman"/>
      <w:lang w:val="vi-VN" w:eastAsia="vi-VN"/>
    </w:rPr>
  </w:style>
  <w:style w:type="character" w:customStyle="1" w:styleId="45">
    <w:name w:val="List Paragraph Char"/>
    <w:link w:val="40"/>
    <w:qFormat/>
    <w:uiPriority w:val="34"/>
    <w:rPr>
      <w:rFonts w:ascii="Calibri" w:hAnsi="Calibri" w:eastAsia="Calibri" w:cs="Times New Roman"/>
    </w:rPr>
  </w:style>
  <w:style w:type="character" w:customStyle="1" w:styleId="46">
    <w:name w:val="Body Text Indent Char"/>
    <w:basedOn w:val="3"/>
    <w:link w:val="6"/>
    <w:qFormat/>
    <w:uiPriority w:val="99"/>
    <w:rPr>
      <w:rFonts w:ascii="Times New Roman" w:hAnsi="Times New Roman" w:eastAsia="Times New Roman" w:cs="Times New Roman"/>
      <w:sz w:val="28"/>
      <w:szCs w:val="28"/>
    </w:rPr>
  </w:style>
  <w:style w:type="paragraph" w:customStyle="1" w:styleId="47">
    <w:name w:val="Văn bản nội dung"/>
    <w:basedOn w:val="1"/>
    <w:qFormat/>
    <w:uiPriority w:val="0"/>
    <w:pPr>
      <w:widowControl w:val="0"/>
      <w:spacing w:after="120" w:line="269" w:lineRule="auto"/>
      <w:ind w:firstLine="400"/>
    </w:pPr>
    <w:rPr>
      <w:rFonts w:cs="Times New Roman"/>
      <w:szCs w:val="28"/>
    </w:rPr>
  </w:style>
  <w:style w:type="paragraph" w:customStyle="1" w:styleId="48">
    <w:name w:val="Khác"/>
    <w:basedOn w:val="1"/>
    <w:qFormat/>
    <w:uiPriority w:val="0"/>
    <w:pPr>
      <w:widowControl w:val="0"/>
      <w:spacing w:line="240" w:lineRule="auto"/>
      <w:ind w:firstLine="0"/>
    </w:pPr>
    <w:rPr>
      <w:rFonts w:cs="Times New Roman"/>
      <w:sz w:val="22"/>
    </w:rPr>
  </w:style>
  <w:style w:type="paragraph" w:customStyle="1" w:styleId="49">
    <w:name w:val="Tiêu đề #2"/>
    <w:basedOn w:val="1"/>
    <w:qFormat/>
    <w:uiPriority w:val="0"/>
    <w:pPr>
      <w:widowControl w:val="0"/>
      <w:spacing w:after="120" w:line="269" w:lineRule="auto"/>
      <w:outlineLvl w:val="1"/>
    </w:pPr>
    <w:rPr>
      <w:rFonts w:cs="Times New Roman"/>
      <w:b/>
      <w:bCs/>
      <w:szCs w:val="28"/>
    </w:rPr>
  </w:style>
  <w:style w:type="paragraph" w:customStyle="1" w:styleId="50">
    <w:name w:val="Chú thích bảng"/>
    <w:basedOn w:val="1"/>
    <w:qFormat/>
    <w:uiPriority w:val="0"/>
    <w:pPr>
      <w:widowControl w:val="0"/>
      <w:spacing w:line="240" w:lineRule="auto"/>
      <w:ind w:firstLine="0"/>
    </w:pPr>
    <w:rPr>
      <w:rFonts w:cs="Times New Roman"/>
      <w:b/>
      <w:bCs/>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A96AF6-49C4-4057-B582-066A427A0A77}">
  <ds:schemaRefs/>
</ds:datastoreItem>
</file>

<file path=docProps/app.xml><?xml version="1.0" encoding="utf-8"?>
<Properties xmlns="http://schemas.openxmlformats.org/officeDocument/2006/extended-properties" xmlns:vt="http://schemas.openxmlformats.org/officeDocument/2006/docPropsVTypes">
  <Template>Normal</Template>
  <Pages>32</Pages>
  <Words>12753</Words>
  <Characters>44724</Characters>
  <Lines>110</Lines>
  <Paragraphs>31</Paragraphs>
  <TotalTime>0</TotalTime>
  <ScaleCrop>false</ScaleCrop>
  <LinksUpToDate>false</LinksUpToDate>
  <CharactersWithSpaces>56987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2026-08-19T03:22:00Z</dcterms:created>
  <dc:creator>User</dc:creator>
  <cp:lastModifiedBy>PC</cp:lastModifiedBy>
  <cp:lastPrinted>2025-05-23T02:41:00Z</cp:lastPrinted>
  <dcterms:modified xsi:type="dcterms:W3CDTF">2026-11-02T06:49:04Z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eyJoZGlkIjoiMTA1MTZmNzZkZWUxMzc3ZDEzODkyZTlkMjZiOTkyM2EifQ==</vt:lpwstr>
  </property>
  <property fmtid="{D5CDD505-2E9C-101B-9397-08002B2CF9AE}" pid="3" name="KSOProductBuildVer">
    <vt:lpwstr>1033-12.1.0.29162</vt:lpwstr>
  </property>
  <property fmtid="{D5CDD505-2E9C-101B-9397-08002B2CF9AE}" pid="4" name="ICV">
    <vt:lpwstr>1005A0AA494046EC92438509C41C7698_12</vt:lpwstr>
  </property>
</Properties>
</file>