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1"/>
        <w:tblW w:w="9468" w:type="dxa"/>
        <w:jc w:val="center"/>
        <w:tblLayout w:type="autofit"/>
        <w:tblCellMar>
          <w:top w:w="0" w:type="dxa"/>
          <w:left w:w="0" w:type="dxa"/>
          <w:bottom w:w="0" w:type="dxa"/>
          <w:right w:w="0" w:type="dxa"/>
        </w:tblCellMar>
      </w:tblPr>
      <w:tblGrid>
        <w:gridCol w:w="3793"/>
        <w:gridCol w:w="5675"/>
      </w:tblGrid>
      <w:tr w14:paraId="17B5B5B2">
        <w:tblPrEx>
          <w:tblCellMar>
            <w:top w:w="0" w:type="dxa"/>
            <w:left w:w="0" w:type="dxa"/>
            <w:bottom w:w="0" w:type="dxa"/>
            <w:right w:w="0" w:type="dxa"/>
          </w:tblCellMar>
        </w:tblPrEx>
        <w:trPr>
          <w:trHeight w:val="851" w:hRule="atLeast"/>
          <w:jc w:val="center"/>
        </w:trPr>
        <w:tc>
          <w:tcPr>
            <w:tcW w:w="3793" w:type="dxa"/>
            <w:tcMar>
              <w:top w:w="0" w:type="dxa"/>
              <w:left w:w="108" w:type="dxa"/>
              <w:bottom w:w="0" w:type="dxa"/>
              <w:right w:w="108" w:type="dxa"/>
            </w:tcMar>
          </w:tcPr>
          <w:p w14:paraId="73E00AAB">
            <w:pPr>
              <w:jc w:val="center"/>
              <w:rPr>
                <w:b/>
                <w:sz w:val="26"/>
                <w:szCs w:val="26"/>
                <w:lang w:val="nl-NL"/>
              </w:rPr>
            </w:pPr>
            <w:r>
              <w:rPr>
                <w:b/>
                <w:sz w:val="26"/>
                <w:szCs w:val="26"/>
                <w:lang w:val="nl-NL"/>
              </w:rPr>
              <w:t>UỶ BAN NHÂN DÂN</w:t>
            </w:r>
          </w:p>
          <w:p w14:paraId="75063D73">
            <w:pPr>
              <w:spacing w:after="60"/>
              <w:jc w:val="center"/>
              <w:rPr>
                <w:b/>
                <w:sz w:val="26"/>
                <w:szCs w:val="26"/>
                <w:lang w:val="nl-NL"/>
              </w:rPr>
            </w:pPr>
            <w:r>
              <w:rPr>
                <w:b/>
                <w:sz w:val="26"/>
                <w:szCs w:val="26"/>
              </w:rPr>
              <mc:AlternateContent>
                <mc:Choice Requires="wps">
                  <w:drawing>
                    <wp:anchor distT="0" distB="0" distL="114300" distR="114300" simplePos="0" relativeHeight="251659264" behindDoc="0" locked="0" layoutInCell="1" allowOverlap="1">
                      <wp:simplePos x="0" y="0"/>
                      <wp:positionH relativeFrom="column">
                        <wp:posOffset>850265</wp:posOffset>
                      </wp:positionH>
                      <wp:positionV relativeFrom="paragraph">
                        <wp:posOffset>209550</wp:posOffset>
                      </wp:positionV>
                      <wp:extent cx="622300" cy="0"/>
                      <wp:effectExtent l="0" t="0" r="25400" b="19050"/>
                      <wp:wrapNone/>
                      <wp:docPr id="2"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6223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6.95pt;margin-top:16.5pt;height:0pt;width:49pt;z-index:251659264;mso-width-relative:page;mso-height-relative:page;" filled="f" stroked="t" coordsize="21600,21600" o:gfxdata="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B35OP1AAAAAkBAAAPAAAAAAAAAAEAIAAAACIAAABk&#10;cnMvZG93bnJldi54bWxQSwECFAAUAAAACACHTuJAWWyRBNEBAACsAwAADgAAAAAAAAABACAAAAAj&#10;AQAAZHJzL2Uyb0RvYy54bWxQSwUGAAAAAAYABgBZAQAAZgUAAAAA&#10;">
                      <v:fill on="f" focussize="0,0"/>
                      <v:stroke color="#000000" joinstyle="round"/>
                      <v:imagedata o:title=""/>
                      <o:lock v:ext="edit" aspectratio="f"/>
                    </v:line>
                  </w:pict>
                </mc:Fallback>
              </mc:AlternateContent>
            </w:r>
            <w:r>
              <w:rPr>
                <w:b/>
                <w:sz w:val="26"/>
                <w:szCs w:val="26"/>
                <w:lang w:val="nl-NL"/>
              </w:rPr>
              <w:t>THÀNH PHỐ HẢI PHÒNG</w:t>
            </w:r>
          </w:p>
          <w:p w14:paraId="0B706462">
            <w:pPr>
              <w:spacing w:after="60"/>
              <w:jc w:val="center"/>
              <w:rPr>
                <w:b/>
                <w:sz w:val="26"/>
                <w:szCs w:val="26"/>
                <w:lang w:val="nl-NL"/>
              </w:rPr>
            </w:pPr>
          </w:p>
        </w:tc>
        <w:tc>
          <w:tcPr>
            <w:tcW w:w="5675" w:type="dxa"/>
            <w:tcMar>
              <w:top w:w="0" w:type="dxa"/>
              <w:left w:w="108" w:type="dxa"/>
              <w:bottom w:w="0" w:type="dxa"/>
              <w:right w:w="108" w:type="dxa"/>
            </w:tcMar>
          </w:tcPr>
          <w:p w14:paraId="71C7C3F6">
            <w:pPr>
              <w:jc w:val="center"/>
              <w:rPr>
                <w:sz w:val="26"/>
                <w:szCs w:val="26"/>
                <w:lang w:val="nl-NL"/>
              </w:rPr>
            </w:pPr>
            <w:r>
              <w:rPr>
                <w:b/>
                <w:bCs/>
                <w:sz w:val="26"/>
                <w:szCs w:val="26"/>
              </w:rPr>
              <mc:AlternateContent>
                <mc:Choice Requires="wps">
                  <w:drawing>
                    <wp:anchor distT="0" distB="0" distL="114300" distR="114300" simplePos="0" relativeHeight="251660288" behindDoc="0" locked="0" layoutInCell="1" allowOverlap="1">
                      <wp:simplePos x="0" y="0"/>
                      <wp:positionH relativeFrom="column">
                        <wp:posOffset>649605</wp:posOffset>
                      </wp:positionH>
                      <wp:positionV relativeFrom="paragraph">
                        <wp:posOffset>414655</wp:posOffset>
                      </wp:positionV>
                      <wp:extent cx="2171700" cy="0"/>
                      <wp:effectExtent l="0" t="0" r="19050" b="19050"/>
                      <wp:wrapNone/>
                      <wp:docPr id="1" name="Straight Connector 1"/>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51.15pt;margin-top:32.65pt;height:0pt;width:171pt;z-index:251660288;mso-width-relative:page;mso-height-relative:page;" filled="f" stroked="t" coordsize="21600,21600" o:gfxdata="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z92vvdUAAAAJAQAADwAAAAAAAAABACAAAAAiAAAA&#10;ZHJzL2Rvd25yZXYueG1sUEsBAhQAFAAAAAgAh07iQFfGjS/RAQAArQMAAA4AAAAAAAAAAQAgAAAA&#10;JAEAAGRycy9lMm9Eb2MueG1sUEsFBgAAAAAGAAYAWQEAAGcFAAAAAA==&#10;">
                      <v:fill on="f" focussize="0,0"/>
                      <v:stroke color="#000000" joinstyle="round"/>
                      <v:imagedata o:title=""/>
                      <o:lock v:ext="edit" aspectratio="f"/>
                    </v:line>
                  </w:pict>
                </mc:Fallback>
              </mc:AlternateContent>
            </w:r>
            <w:r>
              <w:rPr>
                <w:b/>
                <w:bCs/>
                <w:sz w:val="26"/>
                <w:szCs w:val="26"/>
                <w:lang w:val="nl-NL"/>
              </w:rPr>
              <w:t>CỘNG HÒA XÃ HỘI CHỦ NGHĨA VIỆT NAM</w:t>
            </w:r>
            <w:r>
              <w:rPr>
                <w:b/>
                <w:bCs/>
                <w:sz w:val="26"/>
                <w:szCs w:val="26"/>
                <w:lang w:val="nl-NL"/>
              </w:rPr>
              <w:br w:type="textWrapping"/>
            </w:r>
            <w:r>
              <w:rPr>
                <w:b/>
                <w:bCs/>
                <w:lang w:val="nl-NL"/>
              </w:rPr>
              <w:t>Độc lập - Tự do - Hạnh phúc</w:t>
            </w:r>
          </w:p>
        </w:tc>
      </w:tr>
      <w:tr w14:paraId="7C275945">
        <w:tblPrEx>
          <w:tblCellMar>
            <w:top w:w="0" w:type="dxa"/>
            <w:left w:w="0" w:type="dxa"/>
            <w:bottom w:w="0" w:type="dxa"/>
            <w:right w:w="0" w:type="dxa"/>
          </w:tblCellMar>
        </w:tblPrEx>
        <w:trPr>
          <w:jc w:val="center"/>
        </w:trPr>
        <w:tc>
          <w:tcPr>
            <w:tcW w:w="3793" w:type="dxa"/>
            <w:tcMar>
              <w:top w:w="0" w:type="dxa"/>
              <w:left w:w="108" w:type="dxa"/>
              <w:bottom w:w="0" w:type="dxa"/>
              <w:right w:w="108" w:type="dxa"/>
            </w:tcMar>
            <w:vAlign w:val="center"/>
          </w:tcPr>
          <w:p w14:paraId="310834EC">
            <w:pPr>
              <w:jc w:val="center"/>
              <w:rPr>
                <w:lang w:val="nl-NL"/>
              </w:rPr>
            </w:pPr>
            <w:r>
              <w:rPr>
                <w:lang w:val="nl-NL"/>
              </w:rPr>
              <w:t>Số:         /TTr-UBND</w:t>
            </w:r>
          </w:p>
        </w:tc>
        <w:tc>
          <w:tcPr>
            <w:tcW w:w="5675" w:type="dxa"/>
            <w:tcMar>
              <w:top w:w="0" w:type="dxa"/>
              <w:left w:w="108" w:type="dxa"/>
              <w:bottom w:w="0" w:type="dxa"/>
              <w:right w:w="108" w:type="dxa"/>
            </w:tcMar>
            <w:vAlign w:val="center"/>
          </w:tcPr>
          <w:p w14:paraId="22E3119C">
            <w:pPr>
              <w:ind w:hanging="157"/>
              <w:jc w:val="center"/>
              <w:rPr>
                <w:lang w:val="nl-NL"/>
              </w:rPr>
            </w:pPr>
            <w:r>
              <w:rPr>
                <w:i/>
                <w:iCs/>
                <w:lang w:val="nl-NL"/>
              </w:rPr>
              <w:t>Hải Phòng, ngày       tháng   năm 2026</w:t>
            </w:r>
          </w:p>
        </w:tc>
      </w:tr>
    </w:tbl>
    <w:p w14:paraId="4C0E0CBB">
      <w:pPr>
        <w:spacing w:before="60"/>
        <w:jc w:val="center"/>
        <w:rPr>
          <w:b/>
          <w:bCs/>
        </w:rPr>
      </w:pPr>
      <w:r>
        <mc:AlternateContent>
          <mc:Choice Requires="wps">
            <w:drawing>
              <wp:anchor distT="45720" distB="45720" distL="114300" distR="114300" simplePos="0" relativeHeight="251662336" behindDoc="0" locked="0" layoutInCell="1" allowOverlap="1">
                <wp:simplePos x="0" y="0"/>
                <wp:positionH relativeFrom="column">
                  <wp:posOffset>577215</wp:posOffset>
                </wp:positionH>
                <wp:positionV relativeFrom="paragraph">
                  <wp:posOffset>74295</wp:posOffset>
                </wp:positionV>
                <wp:extent cx="1033145" cy="1404620"/>
                <wp:effectExtent l="0" t="0" r="14605" b="19050"/>
                <wp:wrapSquare wrapText="bothSides"/>
                <wp:docPr id="217" name="Text Box 2"/>
                <wp:cNvGraphicFramePr/>
                <a:graphic xmlns:a="http://schemas.openxmlformats.org/drawingml/2006/main">
                  <a:graphicData uri="http://schemas.microsoft.com/office/word/2010/wordprocessingShape">
                    <wps:wsp>
                      <wps:cNvSpPr txBox="1">
                        <a:spLocks noChangeArrowheads="1"/>
                      </wps:cNvSpPr>
                      <wps:spPr bwMode="auto">
                        <a:xfrm>
                          <a:off x="0" y="0"/>
                          <a:ext cx="1033145" cy="1404620"/>
                        </a:xfrm>
                        <a:prstGeom prst="rect">
                          <a:avLst/>
                        </a:prstGeom>
                        <a:noFill/>
                        <a:ln w="9525">
                          <a:solidFill>
                            <a:srgbClr val="000000"/>
                          </a:solidFill>
                          <a:miter lim="800000"/>
                        </a:ln>
                      </wps:spPr>
                      <wps:txbx>
                        <w:txbxContent>
                          <w:p w14:paraId="10A3A953">
                            <w:r>
                              <w:t>DỰ THẢO</w:t>
                            </w:r>
                          </w:p>
                        </w:txbxContent>
                      </wps:txbx>
                      <wps:bodyPr rot="0" vert="horz" wrap="square" lIns="91440" tIns="45720" rIns="91440" bIns="45720" anchor="t" anchorCtr="0">
                        <a:spAutoFit/>
                      </wps:bodyPr>
                    </wps:wsp>
                  </a:graphicData>
                </a:graphic>
                <wp14:sizeRelH relativeFrom="page">
                  <wp14:pctWidth>0</wp14:pctWidth>
                </wp14:sizeRelH>
                <wp14:sizeRelV relativeFrom="margin">
                  <wp14:pctHeight>20000</wp14:pctHeight>
                </wp14:sizeRelV>
              </wp:anchor>
            </w:drawing>
          </mc:Choice>
          <mc:Fallback>
            <w:pict>
              <v:shape id="Text Box 2" o:spid="_x0000_s1026" o:spt="202" type="#_x0000_t202" style="position:absolute;left:0pt;margin-left:45.45pt;margin-top:5.85pt;height:110.6pt;width:81.35pt;mso-wrap-distance-bottom:3.6pt;mso-wrap-distance-left:9pt;mso-wrap-distance-right:9pt;mso-wrap-distance-top:3.6pt;z-index:251662336;mso-width-relative:page;mso-height-relative:margin;mso-height-percent:200;" filled="f" stroked="t" coordsize="21600,21600" o:gfxdata="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uwtSC2AAAAAkBAAAPAAAAAAAAAAEAIAAAACIAAABkcnMvZG93bnJldi54bWxQSwECFAAU&#10;AAAACACHTuJAf50FZioCAABUBAAADgAAAAAAAAABACAAAAAnAQAAZHJzL2Uyb0RvYy54bWxQSwUG&#10;AAAAAAYABgBZAQAAwwUAAAAA&#10;">
                <v:fill on="f" focussize="0,0"/>
                <v:stroke color="#000000" miterlimit="8" joinstyle="miter"/>
                <v:imagedata o:title=""/>
                <o:lock v:ext="edit" aspectratio="f"/>
                <v:textbox style="mso-fit-shape-to-text:t;">
                  <w:txbxContent>
                    <w:p w14:paraId="10A3A953">
                      <w:r>
                        <w:t>DỰ THẢO</w:t>
                      </w:r>
                    </w:p>
                  </w:txbxContent>
                </v:textbox>
                <w10:wrap type="square"/>
              </v:shape>
            </w:pict>
          </mc:Fallback>
        </mc:AlternateContent>
      </w:r>
    </w:p>
    <w:p w14:paraId="3DF7D1D0">
      <w:pPr>
        <w:jc w:val="center"/>
        <w:rPr>
          <w:b/>
          <w:bCs/>
        </w:rPr>
      </w:pPr>
    </w:p>
    <w:p w14:paraId="75B690C7">
      <w:pPr>
        <w:jc w:val="center"/>
        <w:rPr>
          <w:b/>
          <w:bCs/>
        </w:rPr>
      </w:pPr>
      <w:r>
        <w:rPr>
          <w:b/>
          <w:bCs/>
        </w:rPr>
        <w:t>TỜ TRÌNH</w:t>
      </w:r>
    </w:p>
    <w:p w14:paraId="41F6096E">
      <w:pPr>
        <w:shd w:val="clear" w:color="auto" w:fill="FFFFFF"/>
        <w:jc w:val="center"/>
        <w:rPr>
          <w:b/>
          <w:bCs/>
          <w:lang w:eastAsia="ko-KR"/>
        </w:rPr>
      </w:pPr>
      <w:r>
        <w:rPr>
          <w:b/>
          <w:bCs/>
          <w:lang w:eastAsia="ko-KR"/>
        </w:rPr>
        <w:t>Đề nghị ban hành Nghị quyết Quy định chính sách hỗ trợ cho hộ gia đình lắp đặt điện mặt trời mái nhà tự sản xuất, tự tiêu thụ và hệ thống lưu trữ điện trên địa bàn thành phố Hải Phòng</w:t>
      </w:r>
    </w:p>
    <w:p w14:paraId="18DC2970">
      <w:pPr>
        <w:pStyle w:val="15"/>
        <w:spacing w:after="0"/>
        <w:ind w:left="0"/>
        <w:jc w:val="center"/>
        <w:rPr>
          <w:b/>
          <w:bCs/>
          <w:spacing w:val="-6"/>
        </w:rPr>
      </w:pPr>
      <w:r>
        <w:rPr>
          <w:b/>
          <w:bCs/>
          <w:spacing w:val="-6"/>
        </w:rPr>
        <mc:AlternateContent>
          <mc:Choice Requires="wps">
            <w:drawing>
              <wp:anchor distT="0" distB="0" distL="114300" distR="114300" simplePos="0" relativeHeight="251661312" behindDoc="0" locked="0" layoutInCell="1" allowOverlap="1">
                <wp:simplePos x="0" y="0"/>
                <wp:positionH relativeFrom="column">
                  <wp:posOffset>2125345</wp:posOffset>
                </wp:positionH>
                <wp:positionV relativeFrom="paragraph">
                  <wp:posOffset>25400</wp:posOffset>
                </wp:positionV>
                <wp:extent cx="1662430" cy="0"/>
                <wp:effectExtent l="38100" t="38100" r="52070" b="95250"/>
                <wp:wrapNone/>
                <wp:docPr id="3" name="Straight Connector 3"/>
                <wp:cNvGraphicFramePr/>
                <a:graphic xmlns:a="http://schemas.openxmlformats.org/drawingml/2006/main">
                  <a:graphicData uri="http://schemas.microsoft.com/office/word/2010/wordprocessingShape">
                    <wps:wsp>
                      <wps:cNvCnPr/>
                      <wps:spPr>
                        <a:xfrm>
                          <a:off x="0" y="0"/>
                          <a:ext cx="1662546" cy="0"/>
                        </a:xfrm>
                        <a:prstGeom prst="line">
                          <a:avLst/>
                        </a:prstGeom>
                        <a:ln w="0">
                          <a:solidFill>
                            <a:schemeClr val="tx1"/>
                          </a:solidFill>
                          <a:beve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_x0000_s1026" o:spid="_x0000_s1026" o:spt="20" style="position:absolute;left:0pt;margin-left:167.35pt;margin-top:2pt;height:0pt;width:130.9pt;z-index:251661312;mso-width-relative:page;mso-height-relative:page;" filled="f" stroked="t" coordsize="21600,21600" o:gfxdata="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DFWuE9YAAAAHAQAADwAAAAAAAAAB&#10;ACAAAAAiAAAAZHJzL2Rvd25yZXYueG1sUEsBAhQAFAAAAAgAh07iQN6mPzISAgAAUAQAAA4AAAAA&#10;AAAAAQAgAAAAJQEAAGRycy9lMm9Eb2MueG1sUEsFBgAAAAAGAAYAWQEAAKkFAAAAAA==&#10;">
                <v:fill on="f" focussize="0,0"/>
                <v:stroke weight="0pt" color="#000000 [3213]" joinstyle="bevel"/>
                <v:imagedata o:title=""/>
                <o:lock v:ext="edit" aspectratio="f"/>
                <v:shadow on="t" color="#000000" opacity="24903f" offset="0pt,1.5748031496063pt" origin="0f,32768f" matrix="65536f,0f,0f,65536f"/>
              </v:line>
            </w:pict>
          </mc:Fallback>
        </mc:AlternateContent>
      </w:r>
    </w:p>
    <w:p w14:paraId="493B314E">
      <w:pPr>
        <w:jc w:val="center"/>
      </w:pPr>
      <w:r>
        <w:t>Kính gửi: Thường trực Hội đồng nhân dân thành phố.</w:t>
      </w:r>
    </w:p>
    <w:p w14:paraId="3DEA3F44">
      <w:pPr>
        <w:ind w:firstLine="709"/>
        <w:jc w:val="center"/>
      </w:pPr>
    </w:p>
    <w:p w14:paraId="17E321BF">
      <w:pPr>
        <w:ind w:firstLine="709"/>
        <w:jc w:val="both"/>
      </w:pPr>
      <w:r>
        <w:t xml:space="preserve">Thực hiện quy định của Luật Ban hành văn bản quy phạm pháp luật, Ủy ban nhân dân thành phố Hải Phòng kính trình Thường trực Hội đồng nhân dân thành phố dự thảo Nghị quyết Quy định chính sách hỗ trợ cho hộ gia đình lắp đặt điện mặt trời mái nhà tự sản xuất, tự tiêu thụ và hệ thống lưu trữ điện trên địa bàn thành phố Hải Phòng như sau:  </w:t>
      </w:r>
    </w:p>
    <w:p w14:paraId="152309A7">
      <w:pPr>
        <w:ind w:right="113" w:firstLine="691"/>
        <w:contextualSpacing/>
        <w:jc w:val="both"/>
        <w:rPr>
          <w:b/>
        </w:rPr>
      </w:pPr>
      <w:bookmarkStart w:id="0" w:name="_Hlk201822837"/>
      <w:r>
        <w:rPr>
          <w:b/>
        </w:rPr>
        <w:t>I. SỰ CẦN THIẾT BAN HÀNH VĂN BẢN</w:t>
      </w:r>
    </w:p>
    <w:p w14:paraId="7C3618C4">
      <w:pPr>
        <w:ind w:right="113" w:firstLine="691"/>
        <w:contextualSpacing/>
        <w:jc w:val="both"/>
        <w:rPr>
          <w:b/>
        </w:rPr>
      </w:pPr>
      <w:r>
        <w:rPr>
          <w:b/>
        </w:rPr>
        <w:t xml:space="preserve">1. Cơ sở chính trị, pháp lý: </w:t>
      </w:r>
    </w:p>
    <w:p w14:paraId="426113E2">
      <w:pPr>
        <w:ind w:right="113" w:firstLine="691"/>
        <w:contextualSpacing/>
        <w:jc w:val="both"/>
        <w:rPr>
          <w:b/>
        </w:rPr>
      </w:pPr>
      <w:r>
        <w:rPr>
          <w:lang w:eastAsia="vi-VN"/>
        </w:rPr>
        <w:t>Việc xây dựng chính sách hỗ trợ hộ gia đình lắp đặt điện mặt trời mái nhà tự sản xuất, tự tiêu thụ và hệ thống lưu trữ điện trên địa bàn thành phố Hải Phòng được thực hiện trên cơ sở các quy định, chủ trương sau:</w:t>
      </w:r>
    </w:p>
    <w:p w14:paraId="2144A889">
      <w:pPr>
        <w:ind w:right="113" w:firstLine="691"/>
        <w:contextualSpacing/>
        <w:jc w:val="both"/>
        <w:rPr>
          <w:b/>
        </w:rPr>
      </w:pPr>
      <w:r>
        <w:rPr>
          <w:b/>
        </w:rPr>
        <w:t xml:space="preserve">- </w:t>
      </w:r>
      <w:r>
        <w:rPr>
          <w:lang w:eastAsia="vi-VN"/>
        </w:rPr>
        <w:t xml:space="preserve">Luật Điện lực số 61/2024/QH15, trong đó khoản 2 Điều 22 giao </w:t>
      </w:r>
      <w:r>
        <w:rPr>
          <w:i/>
          <w:u w:val="single"/>
          <w:lang w:eastAsia="vi-VN"/>
        </w:rPr>
        <w:t>Hội đồng nhân dân cấp tỉnh ban hành</w:t>
      </w:r>
      <w:r>
        <w:rPr>
          <w:i/>
          <w:lang w:eastAsia="vi-VN"/>
        </w:rPr>
        <w:t xml:space="preserve"> chính sách hỗ trợ hộ gia đình lắp đặt điện tự sản xuất, tự tiêu thụ; Điểm d, Điểm e khoản 2 Điều 20 quy định ưu tiên khai thác, sử dụng hiệu quả năng lượng tái tạo, năng lượng mới và khuyến khích phát triển điện mặt trời mái nhà</w:t>
      </w:r>
      <w:r>
        <w:rPr>
          <w:lang w:eastAsia="vi-VN"/>
        </w:rPr>
        <w:t>;</w:t>
      </w:r>
    </w:p>
    <w:p w14:paraId="620244AB">
      <w:pPr>
        <w:ind w:right="113" w:firstLine="691"/>
        <w:contextualSpacing/>
        <w:jc w:val="both"/>
        <w:rPr>
          <w:lang w:eastAsia="vi-VN"/>
        </w:rPr>
      </w:pPr>
      <w:r>
        <w:rPr>
          <w:lang w:eastAsia="vi-VN"/>
        </w:rPr>
        <w:t>- Nghị quyết số 55-NQ/TW ngày 11/02/2020 và Nghị quyết số 70-NQ/TW ngày 20/8/2025 của Bộ Chính trị về phát triển năng lượng quốc gia, bảo đảm an ninh năng lượng và thúc đẩy phát triển các nguồn năng lượng tái tạo;</w:t>
      </w:r>
    </w:p>
    <w:p w14:paraId="0C11371B">
      <w:pPr>
        <w:ind w:right="113" w:firstLine="691"/>
        <w:contextualSpacing/>
        <w:jc w:val="both"/>
        <w:rPr>
          <w:lang w:eastAsia="vi-VN"/>
        </w:rPr>
      </w:pPr>
      <w:r>
        <w:rPr>
          <w:lang w:eastAsia="vi-VN"/>
        </w:rPr>
        <w:t xml:space="preserve">- Nghị định số 58/2025/NĐ-CP ngày 03/3/2025 của Chính phủ quy định chi tiết một số điều của Luật Điện lực về phát triển điện năng lượng tái tạo, điện năng lượng mới; </w:t>
      </w:r>
    </w:p>
    <w:p w14:paraId="0B7BB844">
      <w:pPr>
        <w:ind w:right="113" w:firstLine="691"/>
        <w:contextualSpacing/>
        <w:jc w:val="both"/>
        <w:rPr>
          <w:b/>
        </w:rPr>
      </w:pPr>
      <w:r>
        <w:rPr>
          <w:lang w:eastAsia="vi-VN"/>
        </w:rPr>
        <w:t>- Quyết định số 768/QĐ-TTg ngày 15/4/2025 của Thủ tướng Chính phủ phê duyệt Điều chỉnh Quy hoạch điện VIII, đặt mục tiêu đến năm 2030 có 50% tòa nhà công sở và 50% hộ gia đình sử dụng điện mặt trời mái nhà tự sản xuất, tự tiêu thụ;</w:t>
      </w:r>
    </w:p>
    <w:p w14:paraId="2458B7AF">
      <w:pPr>
        <w:ind w:right="113" w:firstLine="691"/>
        <w:contextualSpacing/>
        <w:jc w:val="both"/>
        <w:rPr>
          <w:lang w:eastAsia="vi-VN"/>
        </w:rPr>
      </w:pPr>
      <w:r>
        <w:rPr>
          <w:lang w:eastAsia="vi-VN"/>
        </w:rPr>
        <w:t xml:space="preserve">- Chỉ thị số 09/CT-TTg ngày 19/3/2026 và Chỉ thị số 10/CT-TTg ngày 30/3/2026 của Thủ tướng Chính phủ yêu cầu tăng cường tiết kiệm năng lượng, thúc đẩy phát triển điện mặt trời mái nhà và </w:t>
      </w:r>
      <w:r>
        <w:rPr>
          <w:i/>
          <w:u w:val="single"/>
          <w:lang w:eastAsia="vi-VN"/>
        </w:rPr>
        <w:t>giao UBND cấp tỉnh xây dựng, ban hành cơ chế, chính sách khuyến khích phát triển điện mặt trời mái nhà phù hợp với điều kiện thực tế của địa phương</w:t>
      </w:r>
      <w:r>
        <w:rPr>
          <w:lang w:eastAsia="vi-VN"/>
        </w:rPr>
        <w:t>;</w:t>
      </w:r>
    </w:p>
    <w:p w14:paraId="32B9C728">
      <w:pPr>
        <w:ind w:firstLine="720"/>
        <w:jc w:val="both"/>
        <w:rPr>
          <w:rFonts w:eastAsia="SimSun"/>
          <w:lang w:eastAsia="zh-CN"/>
        </w:rPr>
      </w:pPr>
      <w:r>
        <w:rPr>
          <w:rFonts w:eastAsia="SimSun"/>
          <w:lang w:eastAsia="zh-CN"/>
        </w:rPr>
        <w:t xml:space="preserve">- </w:t>
      </w:r>
      <w:r>
        <w:rPr>
          <w:rFonts w:eastAsia="SimSun"/>
        </w:rPr>
        <w:t>Kế hoạch số 186/KH-UBND ngày 21 tháng 5 năm 2026 của Ủy ban nhân dân thành phố về việc t</w:t>
      </w:r>
      <w:r>
        <w:rPr>
          <w:rFonts w:eastAsia="SimSun"/>
          <w:lang w:eastAsia="zh-CN"/>
        </w:rPr>
        <w:t>hực hiện tiết kiệm điện và phát triển điện mặt trời mái nhà trên địa bàn thành phố Hải Phòng.</w:t>
      </w:r>
    </w:p>
    <w:p w14:paraId="7A8B8A24">
      <w:pPr>
        <w:ind w:right="113" w:firstLine="691"/>
        <w:contextualSpacing/>
        <w:jc w:val="both"/>
        <w:rPr>
          <w:b/>
        </w:rPr>
      </w:pPr>
      <w:r>
        <w:rPr>
          <w:rFonts w:eastAsia="SimSun"/>
          <w:lang w:eastAsia="zh-CN"/>
        </w:rPr>
        <w:t xml:space="preserve">- Kế hoạch số 220/KH-UBND ngày 17 tháng 6 năm 2026 của Ủy ban nhân dân thành phố về việc thực hiện </w:t>
      </w:r>
      <w:r>
        <w:t xml:space="preserve">Chỉ thị số </w:t>
      </w:r>
      <w:bookmarkStart w:id="1" w:name="_Hlk226124180"/>
      <w:r>
        <w:t>09/CT-TTg ngày 19 tháng 3 năm 2026 của Thủ tướng Chính phủ về tăng cường thực hiện tiết kiệm năng lượng, thúc đẩy chuyển dịch năng lượng và phát triển phương tiện giao thông điện</w:t>
      </w:r>
      <w:bookmarkEnd w:id="1"/>
      <w:r>
        <w:t xml:space="preserve"> trên địa bàn thành phố</w:t>
      </w:r>
      <w:r>
        <w:rPr>
          <w:lang w:eastAsia="vi-VN"/>
        </w:rPr>
        <w:t>;</w:t>
      </w:r>
    </w:p>
    <w:p w14:paraId="563F718D">
      <w:pPr>
        <w:ind w:right="113" w:firstLine="691"/>
        <w:contextualSpacing/>
        <w:jc w:val="both"/>
        <w:rPr>
          <w:b/>
        </w:rPr>
      </w:pPr>
      <w:r>
        <w:rPr>
          <w:lang w:eastAsia="vi-VN"/>
        </w:rPr>
        <w:t>Các quy định, chủ trương nêu trên là cơ sở pháp lý và định hướng quan trọng để thành phố Hải Phòng xây dựng, ban hành chính sách hỗ trợ phát triển điện mặt trời mái nhà tự sản xuất, tự tiêu thụ và hệ thống lưu trữ điện, góp phần bảo đảm an ninh năng lượng, sử dụng năng lượng tiết kiệm, hiệu quả và phát triển bền vững.</w:t>
      </w:r>
    </w:p>
    <w:p w14:paraId="5AF40C68">
      <w:pPr>
        <w:ind w:right="113" w:firstLine="691"/>
        <w:contextualSpacing/>
        <w:jc w:val="both"/>
        <w:rPr>
          <w:b/>
        </w:rPr>
      </w:pPr>
      <w:r>
        <w:rPr>
          <w:b/>
        </w:rPr>
        <w:t>2. Cơ Sở thực tiễn:</w:t>
      </w:r>
    </w:p>
    <w:p w14:paraId="3B5C3031">
      <w:pPr>
        <w:ind w:right="113" w:firstLine="691"/>
        <w:contextualSpacing/>
        <w:jc w:val="both"/>
      </w:pPr>
      <w:r>
        <w:t>Phát triển nguồn điện tự sản xuất, tự tiêu thụ để tiếp tục phát huy những lợi thế, ưu điểm, nhất là nguồn ĐMTMN, góp phần bảo vệ môi trường, cung cấp nguồn năng lượng sạch tại chỗ phục vụ nhu cầu sử dụng điện cho sinh hoạt, đóng góp cho việc phát triển kinh tế - xã hội. Ngoài ra, việc phát triển nguồn điện tự sản xuất, tự tiêu thụ cung cấp nguồn điện tại chỗ giúp giảm tải cho lưới điện địa phương, hệ thống truyền tải quốc gia, từ đó giảm chi phí đầu tư cho ngành điện, giảm tổn thất điện năng.</w:t>
      </w:r>
    </w:p>
    <w:p w14:paraId="3C176C2C">
      <w:pPr>
        <w:ind w:right="113"/>
        <w:contextualSpacing/>
        <w:jc w:val="both"/>
      </w:pPr>
      <w:r>
        <w:tab/>
      </w:r>
      <w:r>
        <w:t>Thành phố Hải Phòng có cường độ bức xạ trung bình đạt 1.329 kWh/m2/năm, đủ điều kiện để phát triển điện mặt trời mái nhà hiệu quả, diện tích mái nhà tại các khu kinh tế, khu công nghiệp, cụm công nghiệp, nhà xưởng, tòa nhà công sở và nhà dân rất lớn, đây là nguồn tài nguyên tại chỗ để phát triển điện mặt trời mái nhà. Theo Quyết định số 768/QĐ-TTg ngày 15/4/2025 của Thủ tướng Chính phủ phê duyệt Điều chỉnh Quy hoạch phát triển điện lực quốc gia thời kỳ 2021-2030, tầm nhìn đến năm 2050 thì công suất điện mặt trời mái nhà tăng thêm giai đoạn 2025-2030 của thành phố Hải Phòng là 3.440 MW. Nguồn điện từ điện mặt trời mái nhà giúp tiết kiệm chi phí tiền điện cho hộ gia đình do hạn chế sử dụng điện lưới hoặc giảm chi phí tiền điện theo giá điện sinh hoạt bậc thang, chi phí vận hành và bảo trì thấp. Đáng chú ý, theo Kế hoạch thực hiện Quy hoạch điện VIII điều chỉnh, khu vực Hải Phòng - Quảng Ninh - Thái Bình được xác định là một trong hai trung tâm công nghiệp, dịch vụ năng lượng tái tạo liên vùng của cả nước. Đây vừa là cơ hội, vừa là trách nhiệm để Hải Phòng đi đầu phát triển năng lượng sạch, trong đó điện mặt trời mái nhà là giải pháp triển khai nhanh, ít tốn đất, giúp hộ gia đình tiết giảm chi phí, giảm áp lực lưới điện quốc gia, chủ động về nguồn điện và góp phần thực hiện cam kết phát thải ròng bằng “0” vào năm 2050 của Việt Nam.</w:t>
      </w:r>
    </w:p>
    <w:p w14:paraId="699DBA56">
      <w:pPr>
        <w:ind w:right="113" w:firstLine="691"/>
        <w:contextualSpacing/>
        <w:jc w:val="both"/>
      </w:pPr>
      <w:r>
        <w:t>Theo số liệu của Công ty Điện lực Hải Phòng, hiện nay thành phố có khoảng 1,</w:t>
      </w:r>
      <w:r>
        <w:rPr>
          <w:rFonts w:hint="default"/>
          <w:lang w:val="en-US"/>
        </w:rPr>
        <w:t>1</w:t>
      </w:r>
      <w:r>
        <w:t xml:space="preserve"> triệu hộ gia đình sử dụng điện nhưng mới có 2.050 hộ lắp đặt điện mặt trời mái nhà tự sản xuất, tự tiêu thụ, với tổng công suất khoảng 19 MW. Số hộ đã lắp đặt mới chiếm khoảng 0,19% tổng số hộ sử dụng điện, thấp hơn nhiều so với mục tiêu khoảng 50% hộ gia đình vào năm 2030. Ngoài ra, chi phí đầu tư ban đầu và chi phí hệ thống lưu trữ còn cao; người dân còn thiếu thông tin về hiệu quả kinh tế, vận hành, bảo trì, an toàn điện, khả năng chịu lực công trình, phòng cháy, chữa cháy và thủ tục phát triển nguồn điện. Do đó, cần có chính sách hỗ trợ tài chính và kỹ thuật ban đầu để khuyến khích hộ gia đình đầu tư, lắp đặt, vận hành hệ thống an toàn, hiệu quả, đúng mục đích tự sản xuất, tự tiêu thụ</w:t>
      </w:r>
    </w:p>
    <w:p w14:paraId="630253BA">
      <w:pPr>
        <w:ind w:right="113" w:firstLine="691"/>
        <w:contextualSpacing/>
        <w:jc w:val="both"/>
      </w:pPr>
      <w:r>
        <w:t>Trên cơ sở đó, thành phố Hải Phòng cần ban hành một Nghị quyết của Hội đồng nhân dân thành phố quy định chính sách hỗ trợ cho hộ gia đình lắp đặt điện mặt trời mái nhà tự sản xuất, tự tiêu thụ và hệ thống lưu trữ điện trên địa bàn thành phố nhằm cụ thể hóa thẩm quyền được giao tại khoản 2 Điều 22 của Luật Điện lực ngày 30/11/2024, đồng thời khuyến khích, đẩy mạnh việc lắp đặt điện mặt trời mái nhà tự sản xuất, tự tiêu thụ đối với các hộ gia đình trên địa bàn thành phố để đáp ứng nhu cầu sử dụng điện của hộ gia đình, giảm tải lên hệ thống lưới điện.</w:t>
      </w:r>
    </w:p>
    <w:p w14:paraId="4AED66C3">
      <w:pPr>
        <w:ind w:right="113" w:firstLine="691"/>
        <w:contextualSpacing/>
        <w:jc w:val="both"/>
        <w:rPr>
          <w:b/>
        </w:rPr>
      </w:pPr>
      <w:r>
        <w:rPr>
          <w:b/>
        </w:rPr>
        <w:t>II. MỤC ĐÍCH BAN HÀNH, QUAN ĐIỂM XÂY DỰNG DỰ THẢO VĂN BẢN</w:t>
      </w:r>
    </w:p>
    <w:p w14:paraId="108C1811">
      <w:pPr>
        <w:pStyle w:val="36"/>
        <w:numPr>
          <w:ilvl w:val="0"/>
          <w:numId w:val="1"/>
        </w:numPr>
        <w:tabs>
          <w:tab w:val="left" w:pos="993"/>
        </w:tabs>
        <w:ind w:left="0" w:right="113" w:firstLine="709"/>
        <w:jc w:val="both"/>
        <w:rPr>
          <w:b/>
        </w:rPr>
      </w:pPr>
      <w:r>
        <w:rPr>
          <w:b/>
        </w:rPr>
        <w:t>Mục đích ban hành văn bản</w:t>
      </w:r>
    </w:p>
    <w:p w14:paraId="6983F3C1">
      <w:pPr>
        <w:ind w:right="113" w:firstLine="691"/>
        <w:jc w:val="both"/>
      </w:pPr>
      <w:r>
        <w:t>- Việc xây dựng chính sách phát triển điện mặt trời mái nhà tự sản xuất, tự tiêu thụ và hệ thống lưu trữ điện là cần thiết, phù hợp với chủ trương của Đảng, chính sách, pháp luật của Nhà nước về phát triển năng lượng tái tạo, bảo đảm an ninh năng lượng và tăng trưởng xanh. Chính sách nhằm cụ thể hóa các quy định tại khoản 2 Điều 22 Luật Điện lực năm 2024;</w:t>
      </w:r>
    </w:p>
    <w:p w14:paraId="062B1A12">
      <w:pPr>
        <w:ind w:right="113" w:firstLine="691"/>
        <w:jc w:val="both"/>
      </w:pPr>
      <w:r>
        <w:t>- Thúc đẩy phát triển nguồn điện từ năng lượng tái tạo, góp phần chuyển dịch cơ cấu năng lượng theo hướng các-bon thấp, giảm phát thải khí nhà kính, bảo đảm phát triển hệ thống điện bền vững. Đồng thời, đây cũng là giải pháp để thực hiện các mục tiêu, định hướng tại Nghị quyết số 55-NQ/TW và Nghị quyết số 70-NQ/TW của Bộ Chính trị về ưu tiên phát triển, sử dụng hiệu quả các nguồn năng lượng tái tạo, trong đó có điện mặt trời mái nhà.</w:t>
      </w:r>
    </w:p>
    <w:p w14:paraId="3E93C7AE">
      <w:pPr>
        <w:ind w:right="113" w:firstLine="691"/>
        <w:jc w:val="both"/>
      </w:pPr>
      <w:r>
        <w:t>- Góp phần vào đáp ứng nhu cầu tiêu thụ điện ngày càng cao của thành phố Hải Phòng;</w:t>
      </w:r>
    </w:p>
    <w:p w14:paraId="46603F51">
      <w:pPr>
        <w:pStyle w:val="36"/>
        <w:numPr>
          <w:ilvl w:val="0"/>
          <w:numId w:val="1"/>
        </w:numPr>
        <w:tabs>
          <w:tab w:val="left" w:pos="993"/>
        </w:tabs>
        <w:ind w:left="0" w:right="113" w:firstLine="709"/>
        <w:jc w:val="both"/>
        <w:rPr>
          <w:b/>
        </w:rPr>
      </w:pPr>
      <w:r>
        <w:rPr>
          <w:b/>
        </w:rPr>
        <w:t>Quan điểm xây dựng dự thảo văn bản</w:t>
      </w:r>
    </w:p>
    <w:p w14:paraId="7569EFD9">
      <w:pPr>
        <w:ind w:right="113" w:firstLine="691"/>
        <w:contextualSpacing/>
        <w:jc w:val="both"/>
      </w:pPr>
      <w:r>
        <w:t>- Việc xây dựng dự thảo Nghị quyết phải bảo đảm phù hợp với chủ trương của Đảng, chính sách, pháp luật của Nhà nước; bảo đảm tính hợp hiến, hợp pháp, thống nhất của hệ thống pháp luật và phù hợp với điều kiện thực tiễn, khả năng cân đối nguồn lực của thành phố.</w:t>
      </w:r>
    </w:p>
    <w:p w14:paraId="7C234779">
      <w:pPr>
        <w:ind w:right="113" w:firstLine="691"/>
        <w:contextualSpacing/>
        <w:jc w:val="both"/>
      </w:pPr>
      <w:r>
        <w:t>- Nghị quyết được xây dựng đúng thẩm quyền, trình tự, thủ tục theo quy định của Luật Tổ chức chính quyền địa phương, Luật Ban hành văn bản quy phạm pháp luật và các văn bản hướng dẫn thi hành; đồng thời bám sát các quy định tại khoản 2 Điều 22 Luật Điện lực số 61/2024/QH15 về phát triển điện tự sản xuất, tự tiêu thụ từ nguồn năng lượng tái tạo, năng lượng mới.</w:t>
      </w:r>
    </w:p>
    <w:p w14:paraId="0099858B">
      <w:pPr>
        <w:ind w:right="113" w:firstLine="691"/>
        <w:contextualSpacing/>
        <w:jc w:val="both"/>
        <w:rPr>
          <w:b/>
        </w:rPr>
      </w:pPr>
      <w:r>
        <w:rPr>
          <w:b/>
        </w:rPr>
        <w:t>III. QUÁ TRÌNH XÂY DỰNG DỰ THẢO VĂN BẢN</w:t>
      </w:r>
    </w:p>
    <w:p w14:paraId="3D4E7AAC">
      <w:pPr>
        <w:shd w:val="clear" w:color="auto" w:fill="FFFFFF"/>
        <w:ind w:firstLine="691"/>
        <w:jc w:val="both"/>
      </w:pPr>
      <w:r>
        <w:t>Thực hiện khoản 2 Điều 22 Luật Điện lực số 61</w:t>
      </w:r>
      <w:r>
        <w:rPr>
          <w:highlight w:val="none"/>
        </w:rPr>
        <w:t>/2024/QH15, Sở Công Thương đã có Tờ trình số ……./TTr-SCT ngày….tháng….năm 2026 báo cáo Ủy ban nhân dân thành phố về việc đăng ký xây dựng Nghị quyết Quy định chính sách hỗ trợ cho hộ gia đình lắp đặt điện mặt trời mái nhà tự s</w:t>
      </w:r>
      <w:r>
        <w:t>ản xuất, tự tiêu thụ và hệ thống lưu trữ điện trên địa bàn thành phố Hải Phòng;</w:t>
      </w:r>
    </w:p>
    <w:p w14:paraId="70314B76">
      <w:pPr>
        <w:shd w:val="clear" w:color="auto" w:fill="FFFFFF"/>
        <w:ind w:firstLine="691"/>
        <w:jc w:val="both"/>
      </w:pPr>
      <w:r>
        <w:t>Ngày….tháng….năm 2026, Ủy ban nhân dân thành phố đã có Tờ trình số ……/TTr-UBND ngày….tháng….năm 2026 báo cáo Thường trực Hội đồng nhân dân thành phố về việc đăng ký xây dựng Nghị quyết Quy định chính sách hỗ trợ cho hộ gia đình lắp đặt điện mặt trời mái nhà tự sản xuất, tự tiêu thụ và hệ thống lưu trữ điện trên địa bàn thành phố Hải Phòng;</w:t>
      </w:r>
    </w:p>
    <w:p w14:paraId="3993F11C">
      <w:pPr>
        <w:shd w:val="clear" w:color="auto" w:fill="FFFFFF"/>
        <w:ind w:firstLine="691"/>
        <w:jc w:val="both"/>
      </w:pPr>
      <w:r>
        <w:t>Ngày ….tháng….năm 2026, Hội đồng nhân dân thành phố đã có Văn bản số ……..về việc chấp thuận đăng ký xây dựng Nghị quyết của Hội đồng nhân dân thành phố về việc xây dựng chính sách hỗ trợ cho hộ gia đình lắp đặt điện mặt trời mái nhà tự sản xuất, tự tiêu thụ và hệ thống lưu trữ điện trên địa bàn thành phố Hải Phòng theo khoản 2 Điều 22 Luật Điện lực số 61/2024/QH15;</w:t>
      </w:r>
    </w:p>
    <w:p w14:paraId="7E8B6BE6">
      <w:pPr>
        <w:shd w:val="clear" w:color="auto" w:fill="FFFFFF"/>
        <w:ind w:firstLine="691"/>
        <w:jc w:val="both"/>
      </w:pPr>
      <w:r>
        <w:t>Ủy ban nhân dân thành phố đã có văn bản số …… ngày ….tháng….năm 2026 về việc chấp thuận đăng ký xây dựng nghị quyết của HĐND thành phố, giao Sở Công Thương là cơ quan chủ trì xây dựng dự thảo Nghị quyết quy định chính sách hỗ trợ cho hộ gia đình lắp đặt điện mặt trời mái nhà tự sản xuất, tự tiêu thụ và hệ thống lưu trữ điện trên địa bàn thành phố Hải Phòng;</w:t>
      </w:r>
    </w:p>
    <w:p w14:paraId="4CC22994">
      <w:pPr>
        <w:shd w:val="clear" w:color="auto" w:fill="FFFFFF"/>
        <w:ind w:firstLine="691"/>
        <w:jc w:val="both"/>
      </w:pPr>
      <w:r>
        <w:t>Sở Công Thương đã triển khai xây dựng dự thảo Nghị quyết theo quy định của Luật Ban hành văn bản quy phạm pháp luật;</w:t>
      </w:r>
    </w:p>
    <w:p w14:paraId="02CF23BD">
      <w:pPr>
        <w:pStyle w:val="13"/>
        <w:ind w:firstLine="720"/>
        <w:jc w:val="both"/>
        <w:rPr>
          <w:b w:val="0"/>
          <w:sz w:val="28"/>
          <w:szCs w:val="28"/>
        </w:rPr>
      </w:pPr>
      <w:r>
        <w:rPr>
          <w:b w:val="0"/>
          <w:sz w:val="28"/>
          <w:szCs w:val="28"/>
        </w:rPr>
        <w:t>Đến nay, Ủy ban nhân dân thành phố đã hoàn thiện dự thảo Nghị quyết, văn bản tiếp thu các ý kiến góp ý và các văn bản khác theo quy định.</w:t>
      </w:r>
    </w:p>
    <w:p w14:paraId="7BA16862">
      <w:pPr>
        <w:ind w:right="113" w:firstLine="691"/>
        <w:contextualSpacing/>
        <w:jc w:val="both"/>
        <w:rPr>
          <w:b/>
        </w:rPr>
      </w:pPr>
      <w:r>
        <w:rPr>
          <w:b/>
        </w:rPr>
        <w:t>IV. BỐ CỤC VÀ NỘI DUNG CƠ BẢN CỦA DỰ THẢO VĂN BẢN</w:t>
      </w:r>
    </w:p>
    <w:p w14:paraId="601AC746">
      <w:pPr>
        <w:ind w:right="113" w:firstLine="691"/>
        <w:contextualSpacing/>
        <w:jc w:val="both"/>
        <w:rPr>
          <w:b/>
        </w:rPr>
      </w:pPr>
      <w:r>
        <w:rPr>
          <w:b/>
        </w:rPr>
        <w:t>1. Phạm vi điều chỉnh, đối tượng áp dụng</w:t>
      </w:r>
    </w:p>
    <w:p w14:paraId="253D5F81">
      <w:pPr>
        <w:pStyle w:val="2"/>
        <w:ind w:firstLine="720"/>
        <w:jc w:val="both"/>
        <w:rPr>
          <w:sz w:val="28"/>
          <w:szCs w:val="28"/>
        </w:rPr>
      </w:pPr>
      <w:r>
        <w:rPr>
          <w:sz w:val="28"/>
          <w:szCs w:val="28"/>
        </w:rPr>
        <w:t>a)</w:t>
      </w:r>
      <w:r>
        <w:rPr>
          <w:sz w:val="28"/>
          <w:szCs w:val="28"/>
          <w:lang w:val="vi-VN"/>
        </w:rPr>
        <w:t xml:space="preserve"> Phạm vi điều chỉnh</w:t>
      </w:r>
      <w:r>
        <w:rPr>
          <w:sz w:val="28"/>
          <w:szCs w:val="28"/>
        </w:rPr>
        <w:t xml:space="preserve"> </w:t>
      </w:r>
    </w:p>
    <w:p w14:paraId="3E85A471">
      <w:pPr>
        <w:ind w:firstLine="720"/>
        <w:jc w:val="both"/>
      </w:pPr>
      <w:r>
        <w:t>Nghị quyết này quy định chính sách hỗ trợ cho hộ gia đình lắp đặt điện mặt trời mái nhà tự sản xuất, tự tiêu thụ và hệ thống lưu trữ điện tại nhà ở riêng lẻ (sau đây gọi chung là hệ thống điện mặt trời hộ gia đình) trên địa bàn thành phố Hải Phòng giai đoạn 2027-2030.</w:t>
      </w:r>
    </w:p>
    <w:p w14:paraId="28024EF4">
      <w:pPr>
        <w:ind w:firstLine="720"/>
        <w:jc w:val="both"/>
      </w:pPr>
      <w:r>
        <w:rPr>
          <w:b/>
          <w:bCs/>
        </w:rPr>
        <w:t>b)</w:t>
      </w:r>
      <w:r>
        <w:t xml:space="preserve"> </w:t>
      </w:r>
      <w:r>
        <w:rPr>
          <w:b/>
          <w:bCs/>
        </w:rPr>
        <w:t>Đối tượng áp dụng</w:t>
      </w:r>
    </w:p>
    <w:p w14:paraId="7B9BC08D">
      <w:pPr>
        <w:shd w:val="clear" w:color="auto" w:fill="FFFFFF"/>
        <w:ind w:firstLine="720"/>
        <w:jc w:val="both"/>
      </w:pPr>
      <w:r>
        <w:t>- Hộ gia đình có nhà ở riêng lẻ trên địa bàn thành phố Hải Phòng lắp đặt hệ thống điện mặt trời mái nhà tự sản xuất, tự tiêu thụ đáp ứng điều kiện hỗ trợ theo Nghị quyết này; trường hợp lắp đặt đồng bộ hệ thống lưu trữ điện thì được xem xét hỗ trợ thêm theo quy định tại Nghị quyết này.</w:t>
      </w:r>
    </w:p>
    <w:p w14:paraId="2136E03A">
      <w:pPr>
        <w:shd w:val="clear" w:color="auto" w:fill="FFFFFF"/>
        <w:ind w:firstLine="720"/>
        <w:jc w:val="both"/>
      </w:pPr>
      <w:r>
        <w:t>- Cơ quan, tổ chức, cá nhân có liên quan đến việc quản lý, thực hiện chính sách hỗ trợ quy định tại Nghị quyết này trên địa bàn thành phố Hải Phòng.</w:t>
      </w:r>
    </w:p>
    <w:p w14:paraId="19E75CAE">
      <w:pPr>
        <w:ind w:right="113" w:firstLine="691"/>
        <w:contextualSpacing/>
        <w:jc w:val="both"/>
      </w:pPr>
      <w:r>
        <w:rPr>
          <w:b/>
        </w:rPr>
        <w:t xml:space="preserve">2. Bố cục của dự thảo văn bản </w:t>
      </w:r>
      <w:r>
        <w:t xml:space="preserve"> </w:t>
      </w:r>
    </w:p>
    <w:p w14:paraId="5BDB46D7">
      <w:pPr>
        <w:ind w:right="113" w:firstLine="691"/>
        <w:contextualSpacing/>
        <w:jc w:val="both"/>
      </w:pPr>
      <w:r>
        <w:t>Dự thảo Nghị quyết gồm 13 Điều:</w:t>
      </w:r>
    </w:p>
    <w:p w14:paraId="757524D2">
      <w:pPr>
        <w:ind w:firstLine="708" w:firstLineChars="252"/>
        <w:jc w:val="both"/>
        <w:rPr>
          <w:rFonts w:eastAsia="SimSun"/>
        </w:rPr>
      </w:pPr>
      <w:bookmarkStart w:id="2" w:name="dieu_1"/>
      <w:r>
        <w:rPr>
          <w:rFonts w:eastAsia="SimSun"/>
          <w:b/>
          <w:bCs/>
        </w:rPr>
        <w:t xml:space="preserve">Điều 1. </w:t>
      </w:r>
      <w:r>
        <w:rPr>
          <w:rFonts w:eastAsia="SimSun"/>
        </w:rPr>
        <w:t>Phạm vi điều chỉnh</w:t>
      </w:r>
      <w:bookmarkEnd w:id="2"/>
    </w:p>
    <w:p w14:paraId="2A12774A">
      <w:pPr>
        <w:ind w:firstLine="720"/>
        <w:jc w:val="both"/>
        <w:rPr>
          <w:rFonts w:eastAsia="SimSun"/>
          <w:b/>
          <w:bCs/>
          <w:lang w:eastAsia="zh-CN"/>
        </w:rPr>
      </w:pPr>
      <w:bookmarkStart w:id="3" w:name="dieu_2"/>
      <w:r>
        <w:rPr>
          <w:rFonts w:eastAsia="SimSun"/>
          <w:b/>
          <w:bCs/>
          <w:lang w:eastAsia="zh-CN"/>
        </w:rPr>
        <w:t xml:space="preserve">Điều 2. </w:t>
      </w:r>
      <w:r>
        <w:rPr>
          <w:rFonts w:eastAsia="SimSun"/>
          <w:lang w:eastAsia="zh-CN"/>
        </w:rPr>
        <w:t>Đối tượng áp dụng</w:t>
      </w:r>
      <w:bookmarkEnd w:id="3"/>
    </w:p>
    <w:p w14:paraId="2177140C">
      <w:pPr>
        <w:ind w:firstLine="720"/>
        <w:jc w:val="both"/>
        <w:rPr>
          <w:rFonts w:eastAsia="SimSun"/>
          <w:b/>
          <w:bCs/>
          <w:lang w:eastAsia="zh-CN"/>
        </w:rPr>
      </w:pPr>
      <w:bookmarkStart w:id="4" w:name="dieu_3"/>
      <w:r>
        <w:rPr>
          <w:rFonts w:eastAsia="SimSun"/>
          <w:b/>
          <w:bCs/>
          <w:lang w:eastAsia="zh-CN"/>
        </w:rPr>
        <w:t xml:space="preserve">Điều 3. </w:t>
      </w:r>
      <w:r>
        <w:rPr>
          <w:rFonts w:eastAsia="SimSun"/>
          <w:lang w:eastAsia="zh-CN"/>
        </w:rPr>
        <w:t>Nguồn kinh phí thực hiện</w:t>
      </w:r>
      <w:bookmarkEnd w:id="4"/>
    </w:p>
    <w:p w14:paraId="7048D2BE">
      <w:pPr>
        <w:ind w:firstLine="720"/>
        <w:jc w:val="both"/>
        <w:rPr>
          <w:rFonts w:eastAsia="SimSun"/>
          <w:b/>
          <w:bCs/>
          <w:lang w:eastAsia="zh-CN"/>
        </w:rPr>
      </w:pPr>
      <w:bookmarkStart w:id="5" w:name="dieu_4"/>
      <w:r>
        <w:rPr>
          <w:rFonts w:eastAsia="SimSun"/>
          <w:b/>
          <w:bCs/>
          <w:lang w:eastAsia="zh-CN"/>
        </w:rPr>
        <w:t xml:space="preserve">Điều 4. </w:t>
      </w:r>
      <w:r>
        <w:rPr>
          <w:rFonts w:eastAsia="SimSun"/>
          <w:lang w:eastAsia="zh-CN"/>
        </w:rPr>
        <w:t>Nguyên tắc hỗ trợ</w:t>
      </w:r>
      <w:bookmarkEnd w:id="5"/>
    </w:p>
    <w:p w14:paraId="34C9C0AE">
      <w:pPr>
        <w:ind w:firstLine="720"/>
        <w:jc w:val="both"/>
        <w:rPr>
          <w:rFonts w:eastAsia="SimSun"/>
          <w:lang w:eastAsia="zh-CN"/>
        </w:rPr>
      </w:pPr>
      <w:bookmarkStart w:id="6" w:name="dieu_5"/>
      <w:r>
        <w:rPr>
          <w:rFonts w:eastAsia="SimSun"/>
          <w:b/>
          <w:bCs/>
          <w:lang w:eastAsia="zh-CN"/>
        </w:rPr>
        <w:t xml:space="preserve">Điều 5. </w:t>
      </w:r>
      <w:r>
        <w:rPr>
          <w:rFonts w:eastAsia="SimSun"/>
          <w:lang w:eastAsia="zh-CN"/>
        </w:rPr>
        <w:t>Mức hỗ trợ kinh phí lắp đặt hệ thống điện mặt trời hộ gia đình</w:t>
      </w:r>
      <w:bookmarkEnd w:id="6"/>
    </w:p>
    <w:p w14:paraId="3AF19E37">
      <w:pPr>
        <w:ind w:firstLine="720"/>
        <w:jc w:val="both"/>
        <w:rPr>
          <w:rFonts w:eastAsia="SimSun"/>
          <w:b/>
          <w:bCs/>
          <w:lang w:eastAsia="zh-CN"/>
        </w:rPr>
      </w:pPr>
      <w:bookmarkStart w:id="7" w:name="dieu_6"/>
      <w:r>
        <w:rPr>
          <w:rFonts w:eastAsia="SimSun"/>
          <w:b/>
          <w:bCs/>
          <w:lang w:eastAsia="zh-CN"/>
        </w:rPr>
        <w:t xml:space="preserve">Điều 6. </w:t>
      </w:r>
      <w:r>
        <w:rPr>
          <w:rFonts w:eastAsia="SimSun"/>
          <w:lang w:eastAsia="zh-CN"/>
        </w:rPr>
        <w:t>Điều kiện để được hỗ trợ kinh phí lắp đặt hệ thống điện mặt trời hộ gia đình</w:t>
      </w:r>
      <w:bookmarkEnd w:id="7"/>
    </w:p>
    <w:p w14:paraId="624F7700">
      <w:pPr>
        <w:ind w:firstLine="720"/>
        <w:jc w:val="both"/>
        <w:rPr>
          <w:rFonts w:eastAsia="SimSun"/>
          <w:b/>
          <w:bCs/>
          <w:lang w:eastAsia="zh-CN"/>
        </w:rPr>
      </w:pPr>
      <w:bookmarkStart w:id="8" w:name="dieu_7"/>
      <w:r>
        <w:rPr>
          <w:rFonts w:eastAsia="SimSun"/>
          <w:b/>
          <w:bCs/>
          <w:lang w:eastAsia="zh-CN"/>
        </w:rPr>
        <w:t xml:space="preserve">Điều 7. </w:t>
      </w:r>
      <w:r>
        <w:rPr>
          <w:rFonts w:eastAsia="SimSun"/>
          <w:lang w:eastAsia="zh-CN"/>
        </w:rPr>
        <w:t>Hỗ trợ kỹ thuật</w:t>
      </w:r>
      <w:bookmarkEnd w:id="8"/>
    </w:p>
    <w:p w14:paraId="1D951EBB">
      <w:pPr>
        <w:ind w:firstLine="720"/>
        <w:jc w:val="both"/>
        <w:rPr>
          <w:rFonts w:eastAsia="SimSun"/>
          <w:b/>
          <w:bCs/>
          <w:lang w:eastAsia="zh-CN"/>
        </w:rPr>
      </w:pPr>
      <w:bookmarkStart w:id="9" w:name="dieu_8"/>
      <w:r>
        <w:rPr>
          <w:rFonts w:eastAsia="SimSun"/>
          <w:b/>
          <w:bCs/>
          <w:lang w:eastAsia="zh-CN"/>
        </w:rPr>
        <w:t xml:space="preserve">Điều 8. </w:t>
      </w:r>
      <w:r>
        <w:rPr>
          <w:rFonts w:eastAsia="SimSun"/>
          <w:lang w:eastAsia="zh-CN"/>
        </w:rPr>
        <w:t>Hồ sơ, cơ quan thực hiện thủ tục hành chính và cách thức thực hiện</w:t>
      </w:r>
      <w:bookmarkEnd w:id="9"/>
    </w:p>
    <w:p w14:paraId="7CC8BCB4">
      <w:pPr>
        <w:ind w:firstLine="720"/>
        <w:jc w:val="both"/>
        <w:rPr>
          <w:rFonts w:eastAsia="SimSun"/>
          <w:b/>
          <w:bCs/>
          <w:lang w:eastAsia="zh-CN"/>
        </w:rPr>
      </w:pPr>
      <w:bookmarkStart w:id="10" w:name="dieu_9"/>
      <w:r>
        <w:rPr>
          <w:rFonts w:eastAsia="SimSun"/>
          <w:b/>
          <w:bCs/>
          <w:lang w:eastAsia="zh-CN"/>
        </w:rPr>
        <w:t xml:space="preserve">Điều 9. </w:t>
      </w:r>
      <w:r>
        <w:rPr>
          <w:rFonts w:eastAsia="SimSun"/>
          <w:lang w:eastAsia="zh-CN"/>
        </w:rPr>
        <w:t>Trình tự, thời hạn giải quyết thủ tục và chuyển kinh phí hỗ trợ</w:t>
      </w:r>
      <w:bookmarkEnd w:id="10"/>
    </w:p>
    <w:p w14:paraId="3BFC3E40">
      <w:pPr>
        <w:ind w:firstLine="720"/>
        <w:jc w:val="both"/>
        <w:rPr>
          <w:rFonts w:eastAsia="SimSun"/>
          <w:lang w:eastAsia="zh-CN"/>
        </w:rPr>
      </w:pPr>
      <w:bookmarkStart w:id="11" w:name="dieu_10"/>
      <w:r>
        <w:rPr>
          <w:rFonts w:eastAsia="SimSun"/>
          <w:b/>
          <w:bCs/>
          <w:lang w:eastAsia="zh-CN"/>
        </w:rPr>
        <w:t xml:space="preserve">Điều 10. </w:t>
      </w:r>
      <w:r>
        <w:rPr>
          <w:rFonts w:eastAsia="SimSun"/>
          <w:lang w:eastAsia="zh-CN"/>
        </w:rPr>
        <w:t>Thu hồi kinh phí hỗ trợ</w:t>
      </w:r>
      <w:bookmarkEnd w:id="11"/>
    </w:p>
    <w:p w14:paraId="56ECF6A3">
      <w:pPr>
        <w:ind w:firstLine="720"/>
        <w:jc w:val="both"/>
        <w:rPr>
          <w:rFonts w:eastAsia="SimSun"/>
          <w:b/>
          <w:bCs/>
          <w:lang w:eastAsia="zh-CN"/>
        </w:rPr>
      </w:pPr>
      <w:bookmarkStart w:id="12" w:name="dieu_11"/>
      <w:r>
        <w:rPr>
          <w:rFonts w:eastAsia="SimSun"/>
          <w:b/>
          <w:bCs/>
          <w:lang w:eastAsia="zh-CN"/>
        </w:rPr>
        <w:t xml:space="preserve">Điều 11. </w:t>
      </w:r>
      <w:r>
        <w:rPr>
          <w:rFonts w:eastAsia="SimSun"/>
          <w:lang w:eastAsia="zh-CN"/>
        </w:rPr>
        <w:t>Trách nhiệm của Chủ hộ</w:t>
      </w:r>
      <w:bookmarkEnd w:id="12"/>
    </w:p>
    <w:p w14:paraId="5BBEBFCD">
      <w:pPr>
        <w:ind w:firstLine="720"/>
        <w:jc w:val="both"/>
        <w:rPr>
          <w:rFonts w:eastAsia="SimSun"/>
          <w:b/>
          <w:bCs/>
          <w:lang w:eastAsia="zh-CN"/>
        </w:rPr>
      </w:pPr>
      <w:bookmarkStart w:id="13" w:name="dieu_12"/>
      <w:r>
        <w:rPr>
          <w:rFonts w:eastAsia="SimSun"/>
          <w:b/>
          <w:bCs/>
          <w:lang w:eastAsia="zh-CN"/>
        </w:rPr>
        <w:t xml:space="preserve">Điều 12. </w:t>
      </w:r>
      <w:r>
        <w:rPr>
          <w:rFonts w:eastAsia="SimSun"/>
          <w:lang w:eastAsia="zh-CN"/>
        </w:rPr>
        <w:t>Tổ chức thực hiện</w:t>
      </w:r>
      <w:bookmarkEnd w:id="13"/>
    </w:p>
    <w:p w14:paraId="7DFABADB">
      <w:pPr>
        <w:ind w:firstLine="720"/>
        <w:jc w:val="both"/>
      </w:pPr>
      <w:r>
        <w:rPr>
          <w:rFonts w:eastAsia="SimSun"/>
          <w:b/>
          <w:bCs/>
          <w:lang w:eastAsia="zh-CN"/>
        </w:rPr>
        <w:t>Điều 13.</w:t>
      </w:r>
      <w:r>
        <w:rPr>
          <w:rFonts w:eastAsia="SimSun"/>
          <w:lang w:eastAsia="zh-CN"/>
        </w:rPr>
        <w:t xml:space="preserve"> Điều khoản thi hành</w:t>
      </w:r>
    </w:p>
    <w:p w14:paraId="2A5B076F">
      <w:pPr>
        <w:pStyle w:val="36"/>
        <w:numPr>
          <w:ilvl w:val="0"/>
          <w:numId w:val="1"/>
        </w:numPr>
        <w:tabs>
          <w:tab w:val="left" w:pos="993"/>
        </w:tabs>
        <w:ind w:left="0" w:right="113" w:firstLine="665"/>
        <w:jc w:val="both"/>
        <w:rPr>
          <w:b/>
        </w:rPr>
      </w:pPr>
      <w:r>
        <w:rPr>
          <w:b/>
        </w:rPr>
        <w:t>Nội dung cơ bản</w:t>
      </w:r>
    </w:p>
    <w:p w14:paraId="254B285F">
      <w:pPr>
        <w:ind w:firstLine="665"/>
        <w:jc w:val="both"/>
        <w:rPr>
          <w:lang w:val="vi-VN"/>
        </w:rPr>
      </w:pPr>
      <w:r>
        <w:rPr>
          <w:lang w:val="vi-VN"/>
        </w:rPr>
        <w:t xml:space="preserve">Dự thảo </w:t>
      </w:r>
      <w:r>
        <w:t>Nghị quyết</w:t>
      </w:r>
      <w:r>
        <w:rPr>
          <w:lang w:val="vi-VN"/>
        </w:rPr>
        <w:t xml:space="preserve"> bao gồm 1</w:t>
      </w:r>
      <w:r>
        <w:t>3</w:t>
      </w:r>
      <w:r>
        <w:rPr>
          <w:lang w:val="vi-VN"/>
        </w:rPr>
        <w:t xml:space="preserve"> Điều, trong đó: </w:t>
      </w:r>
    </w:p>
    <w:p w14:paraId="20176358">
      <w:pPr>
        <w:pStyle w:val="2"/>
        <w:ind w:firstLine="720"/>
        <w:jc w:val="both"/>
        <w:rPr>
          <w:sz w:val="28"/>
          <w:szCs w:val="28"/>
        </w:rPr>
      </w:pPr>
      <w:r>
        <w:rPr>
          <w:sz w:val="28"/>
          <w:szCs w:val="28"/>
        </w:rPr>
        <w:t>3.</w:t>
      </w:r>
      <w:r>
        <w:rPr>
          <w:sz w:val="28"/>
          <w:szCs w:val="28"/>
          <w:lang w:val="vi-VN"/>
        </w:rPr>
        <w:t>1. Phạm vi điều chỉnh</w:t>
      </w:r>
      <w:r>
        <w:rPr>
          <w:sz w:val="28"/>
          <w:szCs w:val="28"/>
        </w:rPr>
        <w:t xml:space="preserve"> (Điều 1)</w:t>
      </w:r>
    </w:p>
    <w:p w14:paraId="2BEEC8B7">
      <w:pPr>
        <w:ind w:firstLine="560" w:firstLineChars="200"/>
        <w:jc w:val="both"/>
        <w:rPr>
          <w:rFonts w:eastAsia="SimSun"/>
        </w:rPr>
      </w:pPr>
      <w:r>
        <w:rPr>
          <w:rFonts w:eastAsia="SimSun"/>
        </w:rPr>
        <w:t>Nghị quyết này quy định chính sách hỗ trợ cho hộ gia đình lắp đặt điện mặt trời mái nhà tự sản xuất, tự tiêu thụ và hệ thống lưu trữ điện tại nhà ở riêng lẻ trên địa bàn thành phố Hải Phòng, giai đoạn 2027-2030 (sau đây gọi chung là hệ thống điện mặt trời hộ gia đình).</w:t>
      </w:r>
    </w:p>
    <w:p w14:paraId="215CFA0D">
      <w:pPr>
        <w:ind w:firstLine="720"/>
        <w:jc w:val="both"/>
      </w:pPr>
      <w:r>
        <w:rPr>
          <w:b/>
          <w:bCs/>
        </w:rPr>
        <w:t>3.2.</w:t>
      </w:r>
      <w:r>
        <w:t xml:space="preserve"> </w:t>
      </w:r>
      <w:r>
        <w:rPr>
          <w:b/>
          <w:bCs/>
        </w:rPr>
        <w:t>Đối tượng áp dụng (Điều 2)</w:t>
      </w:r>
    </w:p>
    <w:p w14:paraId="79CDC07D">
      <w:pPr>
        <w:ind w:firstLine="720"/>
        <w:jc w:val="both"/>
      </w:pPr>
      <w:r>
        <w:t xml:space="preserve">Nghị quyết này áp dụng đối với: </w:t>
      </w:r>
      <w:r>
        <w:rPr>
          <w:rFonts w:eastAsia="SimSun"/>
          <w:lang w:eastAsia="zh-CN"/>
        </w:rPr>
        <w:t xml:space="preserve">Hộ gia đình có nhà ở riêng lẻ trên địa bàn </w:t>
      </w:r>
      <w:r>
        <w:rPr>
          <w:rFonts w:eastAsia="SimSun"/>
        </w:rPr>
        <w:t>thành phố Hải Phòng</w:t>
      </w:r>
      <w:r>
        <w:rPr>
          <w:rFonts w:eastAsia="SimSun"/>
          <w:lang w:eastAsia="zh-CN"/>
        </w:rPr>
        <w:t xml:space="preserve"> lắp đặt hệ thống điện mặt trời mái nhà tự sản xuất, tự tiêu thụ đáp ứng điều kiện hỗ trợ theo Nghị quyết này; trường hợp lắp đặt đồng bộ hệ thống lưu trữ điện thì được xem xét hỗ trợ thêm theo quy định tại Nghị quyết này; Cơ quan, tổ chức, cá nhân có liên quan đến việc quản lý, thực hiện chính sách hỗ trợ quy định tại Nghị quyết này trên địa bàn </w:t>
      </w:r>
      <w:r>
        <w:rPr>
          <w:rFonts w:eastAsia="SimSun"/>
        </w:rPr>
        <w:t>thành phố Hải Phòng</w:t>
      </w:r>
      <w:r>
        <w:t>.</w:t>
      </w:r>
    </w:p>
    <w:p w14:paraId="655E6C53">
      <w:pPr>
        <w:ind w:firstLine="720"/>
        <w:jc w:val="both"/>
        <w:rPr>
          <w:b/>
        </w:rPr>
      </w:pPr>
      <w:r>
        <w:rPr>
          <w:b/>
        </w:rPr>
        <w:t>3.3. Nguồn kinh phí thực hiện (Điều 3)</w:t>
      </w:r>
    </w:p>
    <w:p w14:paraId="7A4A7487">
      <w:pPr>
        <w:ind w:firstLine="720"/>
        <w:jc w:val="both"/>
        <w:rPr>
          <w:b/>
          <w:bCs/>
        </w:rPr>
      </w:pPr>
      <w:r>
        <w:t xml:space="preserve">Nghị quyết quy định </w:t>
      </w:r>
      <w:r>
        <w:rPr>
          <w:rFonts w:eastAsia="SimSun"/>
          <w:lang w:eastAsia="zh-CN"/>
        </w:rPr>
        <w:t xml:space="preserve">nguồn kinh phí hỗ trợ thực hiện Nghị quyết được bố trí từ nguồn </w:t>
      </w:r>
      <w:r>
        <w:rPr>
          <w:rFonts w:hint="default" w:eastAsia="SimSun"/>
          <w:lang w:val="en-US" w:eastAsia="zh-CN"/>
        </w:rPr>
        <w:t>n</w:t>
      </w:r>
      <w:r>
        <w:rPr>
          <w:rFonts w:ascii="Times New Roman" w:hAnsi="Times New Roman" w:eastAsia="SimSun"/>
          <w:szCs w:val="28"/>
          <w:lang w:eastAsia="zh-CN"/>
        </w:rPr>
        <w:t>gân sách nhà nước hỗ trợ theo quy định về phân cấp ngân sách hiện hành và các nguồn kinh phí hợp pháp khác theo quy định (nếu có)</w:t>
      </w:r>
    </w:p>
    <w:p w14:paraId="19500252">
      <w:pPr>
        <w:ind w:firstLine="720"/>
        <w:jc w:val="both"/>
        <w:rPr>
          <w:b/>
          <w:bCs/>
        </w:rPr>
      </w:pPr>
      <w:r>
        <w:rPr>
          <w:b/>
          <w:bCs/>
        </w:rPr>
        <w:t>3.4. Nguyên tắc hỗ trợ (Điều 4)</w:t>
      </w:r>
    </w:p>
    <w:p w14:paraId="2C020B97">
      <w:pPr>
        <w:shd w:val="clear" w:color="auto" w:fill="FFFFFF"/>
        <w:ind w:firstLine="720"/>
        <w:jc w:val="both"/>
      </w:pPr>
      <w:r>
        <w:t>Tại Điều 4 dự thảo Nghị quyết nêu bảo đảm công khai, minh bạch, đúng đối tượng, đúng mục đích, tránh trục lợi chính sách; bảo đảm công bằng giữa các đối tượng được hỗ trợ; thúc đẩy việc sử dụng công nghệ tiên tiến, an toàn và thân thiện với môi trường; Việc hỗ trợ kinh phí được thực hiện thông qua Chủ hộ. Chủ hộ là người đại diện hộ gia đình theo quy định của pháp luật về cư trú, đứng tên trong Đơn nghị hỗ trợ, thực hiện thủ tục đề nghị hỗ trợ, nhận kinh phí hỗ trợ và chịu trách nhiệm về các nội dung kê khai, cam kết theo quy định của Nghị quyết này. Nhà ở riêng lẻ nơi lắp đặt hệ thống điện mặt trời hộ gia đình phải là chỗ ở hợp pháp của hộ gia đình. Trường hợp Chủ hộ không đồng thời là chủ sở hữu nhà ở riêng lẻ hoặc nhà ở riêng lẻ thuộc sở hữu chung của nhiều người thì phải có văn bản ủy quyền hoặc văn bản thống nhất cử một người đại diện thực hiện thủ tục đề nghị hỗ trợ; Mỗi nhà ở riêng lẻ có địa chỉ ghi trên Giấy chứng nhận quyền sử dụng đất, quyền sở hữu tài sản gắn liền với đất chỉ được hỗ trợ kinh phí 01 lần trong thời gian Nghị quyết này có hiệu lực thi hành.</w:t>
      </w:r>
    </w:p>
    <w:p w14:paraId="65836E61">
      <w:pPr>
        <w:widowControl w:val="0"/>
        <w:ind w:firstLine="720"/>
        <w:jc w:val="both"/>
        <w:rPr>
          <w:b/>
          <w:bCs/>
        </w:rPr>
      </w:pPr>
      <w:r>
        <w:rPr>
          <w:b/>
          <w:bCs/>
        </w:rPr>
        <w:t>3.5. Mức hỗ trợ kinh phí lắp đặt hệ thống điện mặt trời hộ gia đình (Điều 5)</w:t>
      </w:r>
    </w:p>
    <w:p w14:paraId="3C845D9C">
      <w:pPr>
        <w:widowControl w:val="0"/>
        <w:ind w:firstLine="720"/>
        <w:jc w:val="both"/>
      </w:pPr>
      <w:r>
        <w:t xml:space="preserve">Dự thảo Nghị quyết đề xuất mức hỗ trợ cho hộ gia đình đáp ứng điều kiện hỗ trợ quy định tại Điều 6 của Nghị quyết này được hỗ trợ kinh phí lắp đặt hệ thống điện mặt trời hộ gia đình như sau: Trường hợp điện mặt trời hộ gia đình không lắp đặt hệ thống lưu trữ điện: Mức hỗ trợ kinh phí lắp đặt là 1.000.000 đồng (một triệu đồng) cho 01 kWp tổng công suất định mức của các tấm quang điện lắp đặt trong hệ thống, nhưng không vượt quá </w:t>
      </w:r>
      <w:r>
        <w:rPr>
          <w:rFonts w:hint="default"/>
          <w:lang w:val="en-US"/>
        </w:rPr>
        <w:t>2</w:t>
      </w:r>
      <w:r>
        <w:t>.000.000 đồng (</w:t>
      </w:r>
      <w:r>
        <w:rPr>
          <w:rFonts w:hint="default"/>
          <w:lang w:val="en-US"/>
        </w:rPr>
        <w:t>hai</w:t>
      </w:r>
      <w:r>
        <w:t xml:space="preserve"> triệu đồng); Trường hợp hệ thống lưu trữ điện được lắp đặt đồng bộ với điện mặt trời hộ gia đình: Ngoài khoản hỗ trợ theo quy định tại Khoản 1 Điều này, được hỗ trợ thêm 1.000.000 đồng (một triệu đồng) cho 01 kWh tổng dung lượng của hệ thống lưu trữ điện, nhưng không vượt quá </w:t>
      </w:r>
      <w:r>
        <w:rPr>
          <w:rFonts w:hint="default"/>
          <w:lang w:val="en-US"/>
        </w:rPr>
        <w:t>2</w:t>
      </w:r>
      <w:r>
        <w:t>.000.000 đồng (</w:t>
      </w:r>
      <w:r>
        <w:rPr>
          <w:rFonts w:hint="default"/>
          <w:lang w:val="en-US"/>
        </w:rPr>
        <w:t>hai</w:t>
      </w:r>
      <w:r>
        <w:t xml:space="preserve"> triệu đồng).</w:t>
      </w:r>
    </w:p>
    <w:p w14:paraId="2F3AE67E">
      <w:pPr>
        <w:widowControl w:val="0"/>
        <w:ind w:firstLine="720"/>
        <w:jc w:val="both"/>
        <w:rPr>
          <w:b/>
          <w:bCs/>
        </w:rPr>
      </w:pPr>
      <w:r>
        <w:rPr>
          <w:b/>
          <w:bCs/>
        </w:rPr>
        <w:t>* Cơ sở của việc đề xuất mức hỗ trợ nêu trên:</w:t>
      </w:r>
    </w:p>
    <w:p w14:paraId="41085996">
      <w:pPr>
        <w:pStyle w:val="36"/>
        <w:widowControl w:val="0"/>
        <w:ind w:left="0" w:firstLine="709"/>
        <w:jc w:val="both"/>
        <w:rPr>
          <w:rFonts w:eastAsia="Calibri"/>
          <w:kern w:val="2"/>
        </w:rPr>
      </w:pPr>
      <w:r>
        <w:t xml:space="preserve">Căn cứ </w:t>
      </w:r>
      <w:r>
        <w:rPr>
          <w:rFonts w:eastAsia="Calibri"/>
          <w:kern w:val="2"/>
        </w:rPr>
        <w:t>khoản 2 Điều 22 Luật Điện lực số 61/2024/QH15, theo đó Thủ tướng Chính phủ, Hội đồng nhân dân cấp tỉnh căn cứ vào tình hình thực tế về khả năng kỹ thuật, điều kiện kinh tế và khả năng ngân sách nhà nước trong từng thời kỳ ban hành chính sách hỗ trợ cho hộ gia đình lắp đặt điện tự sản xuất, tự tiêu thụ.</w:t>
      </w:r>
    </w:p>
    <w:p w14:paraId="7861B8EA">
      <w:pPr>
        <w:pStyle w:val="36"/>
        <w:widowControl w:val="0"/>
        <w:ind w:left="0" w:firstLine="709"/>
        <w:jc w:val="both"/>
        <w:rPr>
          <w:rFonts w:eastAsia="Calibri"/>
          <w:kern w:val="2"/>
        </w:rPr>
      </w:pPr>
      <w:r>
        <w:t xml:space="preserve">Qua khảo sát thực tế 9 tháng đầu năm 2026 cho thấy, giá thành đầu tư cho 01kWp điện mặt trời mái nhà cho các hộ gia đình (không có hệ thống lưu trữ điện) khoảng </w:t>
      </w:r>
      <w:r>
        <w:rPr>
          <w:highlight w:val="yellow"/>
        </w:rPr>
        <w:t>10</w:t>
      </w:r>
      <w:r>
        <w:t xml:space="preserve"> triệu đồng; giá thành đầu tư cho 01kWp điện mặt trời mái nhà cho các hộ gia đình (có hệ thống lưu trữ điện) khoảng </w:t>
      </w:r>
      <w:r>
        <w:rPr>
          <w:highlight w:val="yellow"/>
        </w:rPr>
        <w:t>1</w:t>
      </w:r>
      <w:r>
        <w:t xml:space="preserve">6 triệu đồng. Thời gian hoàn vốn đầu tư của các hộ gia đình tự đầu tư 100% vốn dự kiến khoảng </w:t>
      </w:r>
      <w:r>
        <w:rPr>
          <w:highlight w:val="yellow"/>
        </w:rPr>
        <w:t>5 năm</w:t>
      </w:r>
      <w:r>
        <w:t xml:space="preserve"> đối với các hệ thống có công suất lắp đặt khoảng 5÷10 kWp</w:t>
      </w:r>
      <w:r>
        <w:rPr>
          <w:rFonts w:eastAsia="Calibri"/>
          <w:kern w:val="2"/>
        </w:rPr>
        <w:t xml:space="preserve">. Với giá điện sinh hoạt hiện đang áp dụng tại Quyết định số 1279/QĐ-BCT ngày 09/5/2025 và Thông tư số 60/2025/TT-BCT ngày 02/12/2025 của Bộ Công Thương quy định về thực hiện giá bán điện, thời gian hoàn vốn đầu tư của các hộ gia đình tự đầu tư 100% vốn dự kiến khoảng 5 năm đối với các hệ thống có công suất lắp đặt khoảng 5÷10 kWp và có sản lượng điện sử dụng trung bình từ trên </w:t>
      </w:r>
      <w:r>
        <w:rPr>
          <w:rFonts w:hint="default" w:eastAsia="Calibri"/>
          <w:kern w:val="2"/>
          <w:lang w:val="en-US"/>
        </w:rPr>
        <w:t>6</w:t>
      </w:r>
      <w:r>
        <w:rPr>
          <w:rFonts w:eastAsia="Calibri"/>
          <w:kern w:val="2"/>
        </w:rPr>
        <w:t>00kWh/tháng.</w:t>
      </w:r>
    </w:p>
    <w:p w14:paraId="57FFD8A6">
      <w:pPr>
        <w:pStyle w:val="36"/>
        <w:widowControl w:val="0"/>
        <w:ind w:left="0" w:firstLine="709"/>
        <w:jc w:val="both"/>
        <w:rPr>
          <w:rFonts w:eastAsia="MS Mincho"/>
          <w:lang w:eastAsia="vi-VN"/>
        </w:rPr>
      </w:pPr>
      <w:r>
        <w:rPr>
          <w:rFonts w:eastAsia="MS Mincho"/>
          <w:lang w:eastAsia="vi-VN"/>
        </w:rPr>
        <w:t>Từ các căn cứ nêu trên, Sở Công Thương đề xuất hỗ trợ theo hai trường hợp:</w:t>
      </w:r>
    </w:p>
    <w:p w14:paraId="0D274B06">
      <w:pPr>
        <w:pStyle w:val="36"/>
        <w:widowControl w:val="0"/>
        <w:ind w:left="0" w:firstLine="709"/>
        <w:jc w:val="both"/>
      </w:pPr>
      <w:r>
        <w:t xml:space="preserve">- Trường hợp điện mặt trời hộ gia đình không lắp đặt hệ thống lưu trữ điện: Mức hỗ trợ kinh phí lắp đặt là 1.000.000 đồng cho 01 kWp tổng công suất định mức của các tấm quang điện lắp đặt trong hệ thống, nhưng không vượt quá </w:t>
      </w:r>
      <w:r>
        <w:rPr>
          <w:rFonts w:hint="default"/>
          <w:lang w:val="en-US"/>
        </w:rPr>
        <w:t>2</w:t>
      </w:r>
      <w:r>
        <w:t>.000.000 đồng.</w:t>
      </w:r>
    </w:p>
    <w:p w14:paraId="3775DC2E">
      <w:pPr>
        <w:pStyle w:val="36"/>
        <w:widowControl w:val="0"/>
        <w:ind w:left="0" w:firstLine="709"/>
        <w:jc w:val="both"/>
      </w:pPr>
      <w:r>
        <w:t xml:space="preserve">- Trường hợp hệ thống lưu trữ điện được lắp đặt đồng bộ với điện mặt trời hộ gia đình: Ngoài khoản hỗ trợ theo quy định tại khoản 1 Điều này, được hỗ trợ thêm 1.000.000 đồng cho 01 kWh tổng công suất định mức của hệ thống lưu trữ điện, nhưng không vượt quá </w:t>
      </w:r>
      <w:r>
        <w:rPr>
          <w:rFonts w:hint="default"/>
          <w:lang w:val="en-US"/>
        </w:rPr>
        <w:t>2</w:t>
      </w:r>
      <w:r>
        <w:t>.000.000 đồng.</w:t>
      </w:r>
    </w:p>
    <w:p w14:paraId="3F8C90A0">
      <w:pPr>
        <w:pStyle w:val="36"/>
        <w:widowControl w:val="0"/>
        <w:ind w:left="0" w:firstLine="709"/>
        <w:jc w:val="both"/>
      </w:pPr>
      <w:r>
        <w:t>Mức hỗ trợ trên tương đương khoảng 5% mức đầu tư cho hệ thống điện mặt trời mái nhà tự sản xuất tự tiêu thụ kết hợp hệ thống lưu trữ điện với công suất khoảng 5kWp phù hợp nhu cầu sử dụng của hộ gia đình hiện nay.</w:t>
      </w:r>
    </w:p>
    <w:p w14:paraId="0E9521A5">
      <w:pPr>
        <w:pStyle w:val="36"/>
        <w:widowControl w:val="0"/>
        <w:ind w:left="0" w:firstLine="709"/>
        <w:jc w:val="both"/>
      </w:pPr>
      <w:r>
        <w:t xml:space="preserve">Với mức hỗ trợ đề xuất tối đa </w:t>
      </w:r>
      <w:r>
        <w:rPr>
          <w:rFonts w:hint="default"/>
          <w:lang w:val="en-US"/>
        </w:rPr>
        <w:t>4</w:t>
      </w:r>
      <w:r>
        <w:t xml:space="preserve">.000.000 đồng/hộ (khi lắp đặt đồng bộ cả điện mặt trời và pin lưu trữ), nguồn kinh phí </w:t>
      </w:r>
      <w:r>
        <w:rPr>
          <w:rFonts w:hint="default"/>
          <w:lang w:val="en-US"/>
        </w:rPr>
        <w:t>72</w:t>
      </w:r>
      <w:r>
        <w:t xml:space="preserve"> tỷ đồng phân bổ cho giai đoạn 2027-2030 dự kiến sẽ hỗ trợ được khoảng </w:t>
      </w:r>
      <w:r>
        <w:rPr>
          <w:rFonts w:hint="default"/>
          <w:lang w:val="en-US"/>
        </w:rPr>
        <w:t>18</w:t>
      </w:r>
      <w:r>
        <w:t xml:space="preserve">.000 hộ gia đình. Trong trường hợp các hộ chỉ lắp đặt điện mặt trời mái nhà (mức hỗ trợ tối đa </w:t>
      </w:r>
      <w:r>
        <w:rPr>
          <w:rFonts w:hint="default"/>
          <w:lang w:val="en-US"/>
        </w:rPr>
        <w:t>2</w:t>
      </w:r>
      <w:r>
        <w:t xml:space="preserve">.000.000 đồng/hộ), số lượng hộ được hỗ trợ có thể lên tới </w:t>
      </w:r>
      <w:r>
        <w:rPr>
          <w:rFonts w:hint="default"/>
          <w:lang w:val="en-US"/>
        </w:rPr>
        <w:t>36</w:t>
      </w:r>
      <w:r>
        <w:t>.000 hộ. Lộ trình này bám sát và đảm bảo tính khả thi cao đối với mục tiêu đến năm 2030 phấn đấu có 50% nhà dân sử dụng điện mặt trời mái nhà tự sản xuất, tự tiêu thụ.</w:t>
      </w:r>
    </w:p>
    <w:p w14:paraId="0A38706A">
      <w:pPr>
        <w:pStyle w:val="36"/>
        <w:ind w:left="0" w:right="113" w:firstLine="709"/>
        <w:jc w:val="both"/>
        <w:rPr>
          <w:rFonts w:eastAsia="MS Mincho"/>
          <w:lang w:eastAsia="vi-VN"/>
        </w:rPr>
      </w:pPr>
      <w:r>
        <w:rPr>
          <w:rFonts w:eastAsia="MS Mincho"/>
          <w:lang w:eastAsia="vi-VN"/>
        </w:rPr>
        <w:t>Đây là yếu tố tích cực từ nhà nước để các hộ gia đình nhận thấy việc nhà nước quan tâm đến phát triển nguồn điện mặt trời tự sản xuất, tự tiêu thụ và hệ thống lưu trữ để giảm tải cho lưới điện địa phương và hệ thống truyền tải điện quốc gia. Đồng thời mang lại lợi ích cho hộ gia đình có nhu cầu lắp đặt nguồn điện, giúp tiết kiệm chi phí tiền điện do không sử dụng điện lưới, hoặc giảm chi phí tiền điện theo giá điện sinh hoạt bậc thang như hiện nay.</w:t>
      </w:r>
    </w:p>
    <w:p w14:paraId="2DDDA78D">
      <w:pPr>
        <w:spacing w:before="120" w:after="120" w:line="240" w:lineRule="atLeast"/>
        <w:ind w:firstLine="709"/>
        <w:jc w:val="both"/>
        <w:rPr>
          <w:spacing w:val="-6"/>
        </w:rPr>
      </w:pPr>
      <w:r>
        <w:rPr>
          <w:spacing w:val="-6"/>
        </w:rPr>
        <w:t xml:space="preserve">Mặt khác, cơ quan soạn thảo đã nghiên cứu, tham khảo Dự thảo Quyết định của Thủ tướng Chính phủ quy định chính sách hỗ trợ cho hộ gia đình lắp đặt điện mặt trời mái nhà tự sản xuất, tự tiêu thụ và hệ thống lưu trữ điện do Bộ Công Thương là cơ quan chủ trì soạn thảo (đã xin ý kiến các địa phương và thẩm định tại Bộ Tư pháp), trong đó mức hỗ trợ tối đa tại dự thảo Nghị quyết của thành phố cao hơn 02 lần so với mức hỗ trợ tại Dự thảo lần 3 do Bộ Công Thương xây dựng. Mức hỗ trợ nêu trên đã được rà soát, đánh giá trên cơ sở khả năng cân đối ngân sách của thành phố, bảo đảm tính chất hỗ trợ một phần, hỗ trợ </w:t>
      </w:r>
      <w:r>
        <w:rPr>
          <w:rFonts w:hint="default"/>
          <w:spacing w:val="-6"/>
          <w:lang w:val="en-US"/>
        </w:rPr>
        <w:t>khuyến khích</w:t>
      </w:r>
      <w:r>
        <w:rPr>
          <w:spacing w:val="-6"/>
        </w:rPr>
        <w:t xml:space="preserve">, không thay thế trách nhiệm đầu tư của hộ gia đình. </w:t>
      </w:r>
      <w:r>
        <w:rPr>
          <w:rFonts w:hint="default"/>
          <w:spacing w:val="-6"/>
          <w:lang w:val="en-US"/>
        </w:rPr>
        <w:t>V</w:t>
      </w:r>
      <w:r>
        <w:rPr>
          <w:spacing w:val="-6"/>
        </w:rPr>
        <w:t xml:space="preserve">ới tổng kinh phí dự kiến </w:t>
      </w:r>
      <w:r>
        <w:rPr>
          <w:rFonts w:hint="default"/>
          <w:lang w:val="en-US"/>
        </w:rPr>
        <w:t>72</w:t>
      </w:r>
      <w:r>
        <w:rPr>
          <w:spacing w:val="-6"/>
        </w:rPr>
        <w:t xml:space="preserve"> tỷ đồng cho cả giai đoạn 2027-2030, trường hợp tính theo mức hỗ trợ tối đa </w:t>
      </w:r>
      <w:r>
        <w:rPr>
          <w:rFonts w:hint="default"/>
          <w:spacing w:val="-6"/>
          <w:lang w:val="en-US"/>
        </w:rPr>
        <w:t>4</w:t>
      </w:r>
      <w:r>
        <w:rPr>
          <w:spacing w:val="-6"/>
        </w:rPr>
        <w:t xml:space="preserve">.000.000 đồng/hộ thì có thể hỗ trợ khoảng </w:t>
      </w:r>
      <w:r>
        <w:rPr>
          <w:rFonts w:hint="default"/>
          <w:lang w:val="en-US"/>
        </w:rPr>
        <w:t>18</w:t>
      </w:r>
      <w:r>
        <w:t>.000 hộ gia đình</w:t>
      </w:r>
      <w:r>
        <w:rPr>
          <w:spacing w:val="-6"/>
        </w:rPr>
        <w:t>. Việc tăng mức hỗ trợ cao hơn sẽ làm tăng nhu cầu ngân sách hoặc giảm số lượng hộ gia đình được hỗ trợ trong phạm vi tổng kinh phí dự kiến.</w:t>
      </w:r>
    </w:p>
    <w:p w14:paraId="3D07FE0B">
      <w:pPr>
        <w:widowControl w:val="0"/>
        <w:ind w:firstLine="720"/>
        <w:jc w:val="both"/>
        <w:rPr>
          <w:b/>
        </w:rPr>
      </w:pPr>
      <w:r>
        <w:rPr>
          <w:b/>
          <w:bCs/>
        </w:rPr>
        <w:t xml:space="preserve">3.6. Điều kiện hỗ trợ kinh phí lắp đặt </w:t>
      </w:r>
      <w:r>
        <w:rPr>
          <w:b/>
        </w:rPr>
        <w:t>hệ thống điện mặt trời hộ gia đình (Điều 6)</w:t>
      </w:r>
    </w:p>
    <w:p w14:paraId="413C551D">
      <w:pPr>
        <w:widowControl w:val="0"/>
        <w:ind w:firstLine="720"/>
        <w:jc w:val="both"/>
      </w:pPr>
      <w:r>
        <w:t xml:space="preserve">Dự thảo Nghị quyết đề xuất điều kiện </w:t>
      </w:r>
      <w:r>
        <w:rPr>
          <w:b/>
          <w:bCs/>
        </w:rPr>
        <w:t xml:space="preserve">hỗ trợ kinh phí lắp đặt </w:t>
      </w:r>
      <w:r>
        <w:rPr>
          <w:b/>
        </w:rPr>
        <w:t xml:space="preserve">hệ thống điện mặt trời hộ gia đình: </w:t>
      </w:r>
      <w:r>
        <w:t>Đối với điện mặt trời hộ gia đình (chưa bao gồm hệ thống lưu trữ điện): Tổng công suất định mức của các tấm quang điện được lắp đặt phải đạt từ 01 kWp trở lên; Đối với hệ thống lưu trữ điện lắp đặt đồng bộ với điện mặt trời hộ gia đình: Tổng dung lượng của hệ thống lưu trữ điện được lắp đặt phải đạt từ 02 kWh trở lên; Đã hoàn thành việc thực hiện Thông báo phát triển nguồn điện hoặc có Giấy chứng nhận đăng ký phát triển nguồn điện mặt trời mái nhà tự sản xuất, tự tiêu thụ theo quy định tại Nghị định số 58/2025/NĐ-CP ngày 03/3/2025 của Chính phủ được sửa đổi, bổ sung bởi Nghị định số 243/2026/NÐCP ngày 26/6/2026 của Chính phủ và các văn bản sửa đổi, bố sung hoặc thay thể sau này đối với trường hợp pháp luật quy định phải thông báo hoặc đăng ký phát triển nguồn điện; Có cam kết khai thác, sử dụng hệ thống điện mặt trời hộ gia đình đúng mục đích trong thời gian tối thiểu 03 năm kể từ ngày nhận kinh phí hỗ trợ; cam kết chịu trách nhiệm về an toàn điện, phòng cháy, chữa cháy, an toàn chịu lực công trình, bảo vệ môi trường và việc quản lý, xử lý thiết bị sau sử dụng theo quy định của pháp luật; Hệ thống điện mặt trời hộ gia đình hoàn thành lắp đặt theo quy định và đưa vào vận hành sau ngày Nghị quyết này có hiệu lực thi hành.</w:t>
      </w:r>
    </w:p>
    <w:p w14:paraId="429A04C3">
      <w:pPr>
        <w:pStyle w:val="2"/>
        <w:widowControl w:val="0"/>
        <w:ind w:firstLine="720"/>
        <w:jc w:val="both"/>
        <w:rPr>
          <w:bCs/>
          <w:sz w:val="28"/>
          <w:szCs w:val="28"/>
          <w:lang w:val="it-IT"/>
        </w:rPr>
      </w:pPr>
      <w:r>
        <w:rPr>
          <w:sz w:val="28"/>
          <w:szCs w:val="28"/>
          <w:lang w:val="it-IT"/>
        </w:rPr>
        <w:t>3.7. Hỗ trợ kỹ thuật (Điều 7)</w:t>
      </w:r>
    </w:p>
    <w:p w14:paraId="775184EF">
      <w:pPr>
        <w:widowControl w:val="0"/>
        <w:ind w:firstLine="720"/>
        <w:jc w:val="both"/>
      </w:pPr>
      <w:r>
        <w:t xml:space="preserve">Dự thảo Nghị quyết đề xuất nội dung hệ thống điện mặt trời hộ gia đình được hỗ trợ về kỹ thuật trong quá trình đầu tư, lắp đặt, vận hành, khai thác khi Chủ hộ có đề nghị, cụ thể như sau: Trong thời hạn 05 ngày làm việc kể từ ngày nhận được Thông báo phát triển nguồn điện hoặc Giấy chứng nhận đăng ký phát triển nguồn điện của Chủ hộ hoặc kể từ ngày nhận được đề nghị hướng dẫn của Chủ hộ đối với trường hợр không thuộc diện phải thông báo, đăng ký theo quy định, đơn vị điện lực quản lý lưới điện khu vực có trách nhiệm hướng dẫn công tác lắp đặt, đấu nổi kỹ thuật điện nhằm bảo đảm an toàn điện trong quá trình vận hành; Ủy ban nhân dân cấp xã hướng dẫn hộ gia đình thuộc địa bàn quản lý thực hiện quy định pháp luật có liên quan về thiết kế, an toàn chịu lực công trình và phòng cháy, chữa cháy phù hợp với điều kiện nhà ở của hộ gia đình. </w:t>
      </w:r>
    </w:p>
    <w:p w14:paraId="4079EF4D">
      <w:pPr>
        <w:pStyle w:val="2"/>
        <w:widowControl w:val="0"/>
        <w:ind w:firstLine="720"/>
        <w:jc w:val="both"/>
        <w:rPr>
          <w:sz w:val="28"/>
          <w:szCs w:val="28"/>
        </w:rPr>
      </w:pPr>
      <w:r>
        <w:rPr>
          <w:sz w:val="28"/>
          <w:szCs w:val="28"/>
        </w:rPr>
        <w:t xml:space="preserve">3.8. </w:t>
      </w:r>
      <w:r>
        <w:rPr>
          <w:rFonts w:eastAsia="SimSun"/>
          <w:szCs w:val="28"/>
          <w:lang w:eastAsia="zh-CN"/>
        </w:rPr>
        <w:t>Hồ sơ, cơ quan thực hiện thủ tục hành chính và cách thức thực hiện</w:t>
      </w:r>
      <w:r>
        <w:rPr>
          <w:sz w:val="28"/>
          <w:szCs w:val="28"/>
        </w:rPr>
        <w:t xml:space="preserve"> (Điều 8)</w:t>
      </w:r>
    </w:p>
    <w:p w14:paraId="20DE329E">
      <w:pPr>
        <w:widowControl w:val="0"/>
        <w:ind w:firstLine="720"/>
        <w:jc w:val="both"/>
        <w:rPr>
          <w:iCs/>
        </w:rPr>
      </w:pPr>
      <w:r>
        <w:rPr>
          <w:iCs/>
        </w:rPr>
        <w:t>Dự thảo Nghị quyết đề xuất nội dung về thành phần hồ sơ, Cơ quan giải quyết hồ sơ và người có thẩm quyền quyết định, Hình thức nộp hồ sơ và số lượng hồ sơ, cụ thể:</w:t>
      </w:r>
    </w:p>
    <w:p w14:paraId="3656D0CF">
      <w:pPr>
        <w:widowControl w:val="0"/>
        <w:ind w:firstLine="720"/>
        <w:jc w:val="both"/>
      </w:pPr>
      <w:r>
        <w:rPr>
          <w:iCs/>
        </w:rPr>
        <w:t xml:space="preserve">- Thành phần hồ sơ: Đơn đề nghị hỗ trợ kinh phí lắp đặt (theo Mẫu số 01 ban hành kèm theo Nghị quyết này); Bản sao (không cần chứng thực) Thông báo phát triển nguồn điện hoặc Giấy đăng ký phát triển nguồn điện mặt trời mái nhà tự sản xuất, tự tiêu thụ theo quy định tại </w:t>
      </w:r>
      <w:r>
        <w:t>Nghị định số 58/2025/NĐ-CP ngày 03/3/2025 của Chính phủ được sửa đổi, bổ sung bởi Nghị định số 243/2026/NÐCP ngày 26/6/2026 của Chính phủ</w:t>
      </w:r>
      <w:r>
        <w:rPr>
          <w:iCs/>
        </w:rPr>
        <w:t xml:space="preserve"> </w:t>
      </w:r>
      <w:r>
        <w:t>và các văn bản sửa đổi, bố sung hoặc thay thể sau này đối với trường hợp pháp luật quy định phải thông báo hoặc đăng ký phát triển nguồn điện;</w:t>
      </w:r>
      <w:r>
        <w:rPr>
          <w:iCs/>
        </w:rPr>
        <w:t xml:space="preserve"> </w:t>
      </w:r>
      <w:r>
        <w:t>Bản chính hoặc bản sao văn bản ủy quyền hoặc văn bản thống nhất cử một người đại diện thực hiện thủ tục đề nghị hỗ trợ trong trường hợp Chủ hộ không đồng thời là chủ sở hữu nhà ở riêng lẻ nơi lắp đặt hệ thống điện mặt trời hộ gia đình hoặc nhà ở riêng lẻ thuộc sở hữu chung của nhiều người. Trường hợp nộp trực tuyến thì sử dụng bản điện tử hoặc bản chụp theo quy định về thực hiện thủ tục hành chính trên môi trường điện tử; Tài liệu phục vụ kiểm tra, đối chiếu việc hệ thống điện mặt trời hộ gia đình đã hoàn thành lắp đặt, đưa vào vận hành sau ngày Nghị quyết này có hiệu lực thi hành, gồm một trong các tài liệu phù hợp như: Biên bản nghiệm thu, hồ sơ bàn giao lắp đặt, xác nhận hoàn thành lắp đặt của đơn vị lắp đặt trong trường hợp thuê đơn vị lắp đặt; hóa đơn, chứng từ mua thiết bị, tài liệu kỹ thuật của thiết bị chính trong hệ thống như tấm quang điện, bộ chuyển đổi nghịch lưu inverter, hệ thống lưu trữ điện (nếu có); hoặc tài liệu khác có liên quan. Trường hợp hộ gia đình tự lắp đặt thì Chủ hộ kê khai, cam kết trong Đơn đề nghị hỗ trợ về việc hệ thống điện mặt trời hộ gia đình đã hoàn thành lắp đặt, đưa vào vận hành tại đúng địa chỉ để nghị hỗ trợ sau ngày Nghị quyết này có hiệu lực thi hành và chịu trách nhiệm trước pháp luật về nội dung kê khai, cam kết. Trường hợp nộp trực tuyến thì sử dụng bản điện tử hoặc bản chụp theo quy định; Trường hợp thông tin, giấy tờ trong thành phần hồ sơ đã có trên Cổng dịch vụ công quốc gia, Hệ thống thông tin giải quyết thủ tục hành chính của Thành phố, cơ sở dữ liệu quốc gia, cơ sở dữ liệu chuyên ngành được chia sẻ, khai thác theo quy định hoặc là kết quả do cơ quan thực hiện thủ tục hành chính đang quản lý thì không yêu cầu Chủ hộ cung cấp lại.</w:t>
      </w:r>
    </w:p>
    <w:p w14:paraId="3B9559E9">
      <w:pPr>
        <w:widowControl w:val="0"/>
        <w:ind w:firstLine="720"/>
        <w:jc w:val="both"/>
        <w:rPr>
          <w:iCs/>
        </w:rPr>
      </w:pPr>
      <w:r>
        <w:rPr>
          <w:iCs/>
        </w:rPr>
        <w:t>- Cơ quan giải quyết hồ sơ và người có thẩm quyền quyết định:</w:t>
      </w:r>
    </w:p>
    <w:p w14:paraId="6BA708C6">
      <w:pPr>
        <w:shd w:val="clear" w:color="auto" w:fill="FFFFFF"/>
        <w:ind w:firstLine="720"/>
        <w:jc w:val="both"/>
      </w:pPr>
      <w:r>
        <w:t xml:space="preserve">+ Cơ quan tiếp nhận hồ sơ đề nghị hỗ trợ </w:t>
      </w:r>
      <w:r>
        <w:rPr>
          <w:iCs/>
        </w:rPr>
        <w:t xml:space="preserve">kinh phí lắp đặt </w:t>
      </w:r>
      <w:r>
        <w:t>hệ thống điện mặt trời hộ gia đình: Ủy ban nhân dân cấp xã nơi Chủ hộ lắp đặt hệ thống điện mặt trời hộ gia đình;</w:t>
      </w:r>
    </w:p>
    <w:p w14:paraId="02087890">
      <w:pPr>
        <w:shd w:val="clear" w:color="auto" w:fill="FFFFFF"/>
        <w:ind w:firstLine="720"/>
        <w:jc w:val="both"/>
      </w:pPr>
      <w:r>
        <w:t xml:space="preserve">+ Người có thẩm quyền quyết định phê duyệt và thu hồi </w:t>
      </w:r>
      <w:r>
        <w:rPr>
          <w:iCs/>
        </w:rPr>
        <w:t xml:space="preserve">kinh phí lắp đặt </w:t>
      </w:r>
      <w:r>
        <w:t>hệ thống điện mặt trời hộ gia đình: Chủ tịch Ủy ban nhân dân cấp xã.</w:t>
      </w:r>
    </w:p>
    <w:p w14:paraId="1A05DDB1">
      <w:pPr>
        <w:widowControl w:val="0"/>
        <w:ind w:firstLine="720"/>
        <w:jc w:val="both"/>
        <w:rPr>
          <w:iCs/>
        </w:rPr>
      </w:pPr>
      <w:r>
        <w:rPr>
          <w:iCs/>
        </w:rPr>
        <w:t>- Hình thức nộp hồ sơ:</w:t>
      </w:r>
    </w:p>
    <w:p w14:paraId="01B81D2B">
      <w:pPr>
        <w:widowControl w:val="0"/>
        <w:ind w:firstLine="720"/>
        <w:jc w:val="both"/>
        <w:rPr>
          <w:iCs/>
          <w:strike/>
        </w:rPr>
      </w:pPr>
      <w:r>
        <w:rPr>
          <w:iCs/>
        </w:rPr>
        <w:t xml:space="preserve">Hồ sơ được nộp theo một trong các hình thức sau: Nộp trực tiếp tại cơ quan tiếp nhận hồ sơ quy định tại khoản 2 Điều này; Nộp thông qua dịch vụ bưu chính; </w:t>
      </w:r>
    </w:p>
    <w:p w14:paraId="0F43B6CB">
      <w:pPr>
        <w:widowControl w:val="0"/>
        <w:ind w:firstLine="720"/>
        <w:jc w:val="both"/>
        <w:rPr>
          <w:iCs/>
        </w:rPr>
      </w:pPr>
      <w:r>
        <w:rPr>
          <w:iCs/>
        </w:rPr>
        <w:t>- Số lượng hồ sơ: 01 bộ.</w:t>
      </w:r>
    </w:p>
    <w:p w14:paraId="33C837C1">
      <w:pPr>
        <w:widowControl w:val="0"/>
        <w:ind w:firstLine="720"/>
        <w:jc w:val="both"/>
        <w:rPr>
          <w:bCs/>
          <w:spacing w:val="-8"/>
        </w:rPr>
      </w:pPr>
      <w:r>
        <w:rPr>
          <w:b/>
          <w:spacing w:val="-8"/>
          <w:lang w:val="it-IT"/>
        </w:rPr>
        <w:t xml:space="preserve">3.9. </w:t>
      </w:r>
      <w:r>
        <w:rPr>
          <w:rFonts w:eastAsia="SimSun"/>
          <w:b/>
          <w:bCs/>
          <w:lang w:eastAsia="zh-CN"/>
        </w:rPr>
        <w:t>Trình tự, thời hạn giải quyết thủ tục và chuyển kinh phí hỗ trợ</w:t>
      </w:r>
      <w:r>
        <w:rPr>
          <w:b/>
          <w:spacing w:val="-8"/>
          <w:lang w:val="it-IT"/>
        </w:rPr>
        <w:t xml:space="preserve"> (Điều 9)</w:t>
      </w:r>
    </w:p>
    <w:p w14:paraId="230FC5D3">
      <w:pPr>
        <w:widowControl w:val="0"/>
        <w:ind w:firstLine="720"/>
        <w:jc w:val="both"/>
        <w:rPr>
          <w:bCs/>
        </w:rPr>
      </w:pPr>
      <w:r>
        <w:rPr>
          <w:iCs/>
        </w:rPr>
        <w:t>Dự thảo Nghị quyết đề xuất nội dung về t</w:t>
      </w:r>
      <w:r>
        <w:t>rình tự, thời hạn giải quyết thủ tục và chuyển kinh phí hỗ trợ, cụ thể:</w:t>
      </w:r>
    </w:p>
    <w:p w14:paraId="23B6FD8C">
      <w:pPr>
        <w:widowControl w:val="0"/>
        <w:ind w:firstLine="720"/>
        <w:jc w:val="both"/>
      </w:pPr>
      <w:r>
        <w:rPr>
          <w:bCs/>
        </w:rPr>
        <w:t xml:space="preserve">- Sau khi nhận được hồ sơ đề nghị của Chủ hộ, Uỷ ban nhân dân cấp xã kiểm tra thành phần hồ sơ theo quy định tại khoản 1 Điều 8 của Nghị quyết này. Trường hợp hồ sơ chưa đầy đủ, chưa hợp lệ, trong thời hạn 03 ngày làm việc kể từ ngày nhận được hồ sơ, Ủy ban nhân dân cấp xã thông báo bằng văn bản gửi Chủ hộ, trong đó nêu rõ </w:t>
      </w:r>
      <w:r>
        <w:t>nội dung cần bổ sung, hoàn thiện hoặc lý do trả lại hồ sơ. Trường hợp hồ sơ đầy đủ, hợp lệ, Ủy ban nhân dân cấp xã thực hiện kiểm tra điều kiện hỗ trợ kinh phí lắp đặt theo quy định tại Điều 6 của Nghị quyết này. Ủy ban nhân dân cấp xã kiểm tra, đối chiếu thực tế hệ thống điện mặt trời hộ gia đình tại địa chỉ đề nghị hỗ trợ khi cần thiết.</w:t>
      </w:r>
    </w:p>
    <w:p w14:paraId="3E29B0E3">
      <w:pPr>
        <w:widowControl w:val="0"/>
        <w:ind w:firstLine="720"/>
        <w:jc w:val="both"/>
        <w:rPr>
          <w:bCs/>
        </w:rPr>
      </w:pPr>
      <w:r>
        <w:rPr>
          <w:bCs/>
        </w:rPr>
        <w:t>- Sau khi kiểm tra điều kiện hỗ trợ kinh phí lắp đặt theo quy định tại khoản 1 Điều này, trong thời hạn 15 ngày kể từ khi nhận được hồ sơ, Ủy ban nhân dân cấp xã phê duyệt và chuyển kinh phí hỗ trợ cho Chủ hộ (theo hình thức đã đăng ký trong Đơn đề nghị hỗ trợ kinh phí lắp đặt) nếu đáp ứng yêu cầu hoặc ban hành thông báo gửi Chủ hộ nếu không đáp ứng yêu cầu, trong đó nêu rõ lý do không hỗ trợ kinh phí lắp đặt.</w:t>
      </w:r>
    </w:p>
    <w:p w14:paraId="6073C3D0">
      <w:pPr>
        <w:shd w:val="clear" w:color="auto" w:fill="FFFFFF"/>
        <w:ind w:firstLine="720"/>
        <w:jc w:val="both"/>
      </w:pPr>
      <w:r>
        <w:t xml:space="preserve">Trong thời hạn không quá 10 ngày làm việc kể từ ngày nhận đủ hỗ sơ hợp lệ, căn cứ kết quả kiểm tra điều kiện hỗ trợ, Chủ tịch Ủy ban nhân dân cấp xã ban hành quyết định phê duyệt kinh phí hỗ trợ (theo Mẫu số 02 ban hành kèm theo Nghị quyết này) đối với trường hợp đủ điều kiện hỗ trợ hoặc thông báo không hỗ trợ kinh phí bằng văn bản cho Chủ hộ, trong đó nêu rõ lý do không hỗ trợ kinh phí lắp đặt đối với trường hợp không đủ điều kiện hỗ trợ. </w:t>
      </w:r>
    </w:p>
    <w:p w14:paraId="542BEA1D">
      <w:pPr>
        <w:shd w:val="clear" w:color="auto" w:fill="FFFFFF"/>
        <w:ind w:firstLine="720"/>
        <w:jc w:val="both"/>
      </w:pPr>
      <w:r>
        <w:t>- Việc chuyển kinh phí hỗ trợ cho Chủ hộ được thực hiện theo thông tin tài khoản đã đăng ký trong Đơn đề nghị hỗ trợ kinh phí lắp đặt trong thời hạn không quá 05 ngày làm việc kể từ ngày ban hành quyểt định phê duyệt kinh phí hỗ trợ.</w:t>
      </w:r>
    </w:p>
    <w:p w14:paraId="33C1356D">
      <w:pPr>
        <w:shd w:val="clear" w:color="auto" w:fill="FFFFFF"/>
        <w:ind w:firstLine="720"/>
        <w:jc w:val="both"/>
      </w:pPr>
      <w:r>
        <w:t xml:space="preserve">- Tổng thời gian tiếp nhận, giải quyết hồ sơ và chuyển kinh phí hỗ trợ không quá 15 ngày làm việc kể từ ngày nhận đủ hồ sơ hợp lệ. </w:t>
      </w:r>
    </w:p>
    <w:p w14:paraId="162B56BD">
      <w:pPr>
        <w:shd w:val="clear" w:color="auto" w:fill="FFFFFF"/>
        <w:ind w:firstLine="720"/>
        <w:jc w:val="both"/>
      </w:pPr>
      <w:r>
        <w:t>- Ủy ban nhân dân cấp xã có trách nhiệm lưu trữ hồ sơ, cập nhật thông tin về quá trình tiếp nhận, xử lý hồ sơ và kết quả giải quyết theo quy định.</w:t>
      </w:r>
    </w:p>
    <w:p w14:paraId="17AB56B9">
      <w:pPr>
        <w:widowControl w:val="0"/>
        <w:ind w:firstLine="720"/>
        <w:jc w:val="both"/>
        <w:rPr>
          <w:b/>
          <w:bCs/>
        </w:rPr>
      </w:pPr>
      <w:r>
        <w:rPr>
          <w:b/>
          <w:bCs/>
        </w:rPr>
        <w:t>3.10. Thu hồi kinh phí hỗ trợ (Điều 10)</w:t>
      </w:r>
    </w:p>
    <w:p w14:paraId="7F9DC0C9">
      <w:pPr>
        <w:widowControl w:val="0"/>
        <w:ind w:firstLine="720"/>
        <w:jc w:val="both"/>
        <w:rPr>
          <w:b/>
          <w:bCs/>
        </w:rPr>
      </w:pPr>
      <w:r>
        <w:rPr>
          <w:iCs/>
        </w:rPr>
        <w:t xml:space="preserve">Dự thảo Nghị quyết đề xuất nội dung về </w:t>
      </w:r>
      <w:r>
        <w:t>thu hồi kinh phí hỗ trợ, cụ thể:</w:t>
      </w:r>
    </w:p>
    <w:p w14:paraId="2541A7C9">
      <w:pPr>
        <w:shd w:val="clear" w:color="auto" w:fill="FFFFFF"/>
        <w:ind w:firstLine="720"/>
        <w:jc w:val="both"/>
      </w:pPr>
      <w:r>
        <w:t>- Thu hồi toàn bộ kinh phí hỗ trợ đã chỉ trả đối với các trường hợp sau: Hộ gia đình tự ý tháo dỡ toàn bộ hoặc một phần hệ thống điện mặt trời hộ gia đình đã được hỗ trợ trước thời hạn cam kết 03 năm kể từ ngày nhận kinh phí hỗ trợ, trừ trường hợp bất khả kháng hoặc trường hợp được cơ quan có thẩm quyền chấp thuận theo quy định; Cung cấp thông tin, hồ sơ giả mạo, sai sự thật đề trục lợi từ chính sách hỗ trợ của Nhà nước; Sử dụng hệ thống điện mặt trời hộ gia đình sai mục đích, vi phạm tiêu chuẩn, quy chuẩn kỹ thuật về an toàn phòng cháy, chữa cháy, an toàn điện hoặc quy định về bảo vệ môi trường đến mức phải thu hồi kinh phí hỗ trợ theo kết luận, quyết định của cơ quan có thẩm quyền.</w:t>
      </w:r>
    </w:p>
    <w:p w14:paraId="62CE8E34">
      <w:pPr>
        <w:shd w:val="clear" w:color="auto" w:fill="FFFFFF"/>
        <w:ind w:firstLine="720"/>
        <w:jc w:val="both"/>
      </w:pPr>
      <w:r>
        <w:t>- Khi phát hiện trường hợp theo quy định tại Khoản 1 Điều này, Ủy ban nhân dân câp xã thực hiện kiểm tra, lập biên bản hoặc căn cứ tài liệu xác định trường hợp phải thu hồi toàn bộ kinh phí hỗ trợ; thông báo để Chủ hộ biết và giải trình trong thời hạn 05 ngày làm việc kể từ ngày nhận được thông báo. Trên cơ sở kết quả kiểm tra, tài liệu xác minh và ý kiến giải trình của Chủ hộ, Chủ tịch Ủy ban nhân dân cấp xã ban hành quyết định thu hồi kinh phí hỗ trợ, trong đó nêu rõ lý do thu hồi, số tiền thu hồi, thời hạn nộp lại và trách nhiệm thực hiện.</w:t>
      </w:r>
    </w:p>
    <w:p w14:paraId="293245F8">
      <w:pPr>
        <w:shd w:val="clear" w:color="auto" w:fill="FFFFFF"/>
        <w:ind w:firstLine="720"/>
        <w:jc w:val="both"/>
        <w:rPr>
          <w:bCs/>
        </w:rPr>
      </w:pPr>
      <w:r>
        <w:t xml:space="preserve">- Số tiền thu hồi được nộp vào ngân sách nhà nước theo quy định của pháp luật về ngân sách nhà nước và pháp luật có liên quan. </w:t>
      </w:r>
    </w:p>
    <w:p w14:paraId="08B31636">
      <w:pPr>
        <w:widowControl w:val="0"/>
        <w:ind w:firstLine="720"/>
        <w:jc w:val="both"/>
        <w:rPr>
          <w:b/>
          <w:lang w:val="it-IT"/>
        </w:rPr>
      </w:pPr>
      <w:r>
        <w:rPr>
          <w:b/>
          <w:lang w:val="it-IT"/>
        </w:rPr>
        <w:t>3.11. Trách nhiệm của Chủ hộ (Điều 11)</w:t>
      </w:r>
    </w:p>
    <w:p w14:paraId="53D93A7F">
      <w:pPr>
        <w:shd w:val="clear" w:color="auto" w:fill="FFFFFF"/>
        <w:ind w:firstLine="720"/>
        <w:jc w:val="both"/>
      </w:pPr>
      <w:r>
        <w:rPr>
          <w:iCs/>
        </w:rPr>
        <w:t xml:space="preserve">Dự thảo Nghị quyết đề xuất nội dung về </w:t>
      </w:r>
      <w:r>
        <w:rPr>
          <w:bCs/>
          <w:lang w:val="it-IT"/>
        </w:rPr>
        <w:t>trách nhiệm của Chủ hộ:</w:t>
      </w:r>
    </w:p>
    <w:p w14:paraId="5967C44C">
      <w:pPr>
        <w:shd w:val="clear" w:color="auto" w:fill="FFFFFF"/>
        <w:ind w:firstLine="720"/>
        <w:jc w:val="both"/>
      </w:pPr>
      <w:r>
        <w:t>- Chịu trách nhiệm trước pháp luật về tính chính xác, trung thực, đầy đủ của hồ sơ đề nghị hỗ trợ và các thông tin về hệ thống điện mặt trời mái nhà tự sản xuất, tự tiêu thụ, hệ thống lưu trữ điện; thực hiện đúng các cam kết trong Đơn đề nghị hỗ trợ kinh phí lắp đặt.</w:t>
      </w:r>
    </w:p>
    <w:p w14:paraId="7CE277AA">
      <w:pPr>
        <w:shd w:val="clear" w:color="auto" w:fill="FFFFFF"/>
        <w:ind w:firstLine="720"/>
        <w:jc w:val="both"/>
      </w:pPr>
      <w:r>
        <w:t>- Chịu trách nhiệm về chất lượng thiết bị, vật tư, dây dẫn, phụ kiện sử dụng trong hệ thống điện mặt trời hộ gia đình; bảo đảm thiết bị, vật tư có nguồn gốc, xuật xứ rõ ràng, phù hợp tiêu chuẩn, quy chuẩn kỹ thuật áp dụng theo quy định.</w:t>
      </w:r>
    </w:p>
    <w:p w14:paraId="1715AFB8">
      <w:pPr>
        <w:shd w:val="clear" w:color="auto" w:fill="FFFFFF"/>
        <w:ind w:firstLine="720"/>
        <w:jc w:val="both"/>
      </w:pPr>
      <w:r>
        <w:t>- Tuân thủ các quy định pháp luật về phòng cháy, chữa cháy, an toàn điện, bảo vệ môi trường, quy định có liên quan trong quá trình vận hành nguồn điện mặt trời mái nhà tự sản xuất, tự tiêu thụ và hệ thông lưu trữ điện và các quy định tại Nghị quyết này.</w:t>
      </w:r>
    </w:p>
    <w:p w14:paraId="0C680E40">
      <w:pPr>
        <w:widowControl w:val="0"/>
        <w:ind w:firstLine="720"/>
        <w:jc w:val="both"/>
        <w:rPr>
          <w:b/>
          <w:lang w:val="it-IT"/>
        </w:rPr>
      </w:pPr>
      <w:r>
        <w:rPr>
          <w:b/>
          <w:lang w:val="it-IT"/>
        </w:rPr>
        <w:t>3.12. Tổ chức thực hiện (Điều 12)</w:t>
      </w:r>
    </w:p>
    <w:p w14:paraId="0EF7727D">
      <w:pPr>
        <w:widowControl w:val="0"/>
        <w:ind w:firstLine="720"/>
        <w:jc w:val="both"/>
        <w:rPr>
          <w:bCs/>
        </w:rPr>
      </w:pPr>
      <w:r>
        <w:rPr>
          <w:iCs/>
        </w:rPr>
        <w:t>Dự thảo Nghị quyết đề xuất nội dung về t</w:t>
      </w:r>
      <w:r>
        <w:rPr>
          <w:bCs/>
        </w:rPr>
        <w:t>rách nhiệm tổ chức thực hiện chính sách của Ủy ban nhân dân Thành phố.</w:t>
      </w:r>
    </w:p>
    <w:p w14:paraId="2E514C2B">
      <w:pPr>
        <w:ind w:firstLine="720"/>
        <w:jc w:val="both"/>
        <w:rPr>
          <w:b/>
        </w:rPr>
      </w:pPr>
      <w:r>
        <w:rPr>
          <w:b/>
        </w:rPr>
        <w:t>3.13. Điều khoản thi hành (Điều 13)</w:t>
      </w:r>
    </w:p>
    <w:p w14:paraId="7FE3EB94">
      <w:pPr>
        <w:shd w:val="clear" w:color="auto" w:fill="FFFFFF"/>
        <w:ind w:firstLine="720"/>
        <w:jc w:val="both"/>
      </w:pPr>
      <w:r>
        <w:rPr>
          <w:iCs/>
        </w:rPr>
        <w:t>Dự thảo Nghị quyết đề xuất nội dung về hiệu lực kể từ ngày</w:t>
      </w:r>
      <w:r>
        <w:rPr>
          <w:rFonts w:hint="default"/>
          <w:iCs/>
          <w:lang w:val="en-US"/>
        </w:rPr>
        <w:t xml:space="preserve">…    </w:t>
      </w:r>
      <w:r>
        <w:rPr>
          <w:iCs/>
        </w:rPr>
        <w:t xml:space="preserve"> tháng </w:t>
      </w:r>
      <w:r>
        <w:rPr>
          <w:rFonts w:hint="default"/>
          <w:iCs/>
          <w:lang w:val="en-US"/>
        </w:rPr>
        <w:t>…</w:t>
      </w:r>
      <w:r>
        <w:rPr>
          <w:iCs/>
        </w:rPr>
        <w:t xml:space="preserve">năm 2026 </w:t>
      </w:r>
      <w:r>
        <w:t>và được thực hiện đến hết ngày 31 tháng 12 năm 2030.</w:t>
      </w:r>
    </w:p>
    <w:p w14:paraId="703F7BA1">
      <w:pPr>
        <w:ind w:right="113" w:firstLine="691"/>
        <w:contextualSpacing/>
        <w:jc w:val="both"/>
        <w:rPr>
          <w:b/>
        </w:rPr>
      </w:pPr>
      <w:r>
        <w:rPr>
          <w:b/>
        </w:rPr>
        <w:t xml:space="preserve">V. DỰ KIẾN NGUỒN LỰC, ĐIỀU KIỆN ĐẢM BẢO CHO VIỆC THI HÀNH VĂN BẢN VÀ THỜI GIAN THÔNG QUA/BAN HÀNH </w:t>
      </w:r>
    </w:p>
    <w:p w14:paraId="4E76BA90">
      <w:pPr>
        <w:ind w:right="113" w:firstLine="691"/>
        <w:contextualSpacing/>
        <w:jc w:val="both"/>
      </w:pPr>
      <w:r>
        <w:rPr>
          <w:b/>
        </w:rPr>
        <w:t>1. Về điều kiện bảo đảm thi hành văn bản</w:t>
      </w:r>
      <w:r>
        <w:t xml:space="preserve"> </w:t>
      </w:r>
    </w:p>
    <w:p w14:paraId="3BDFFDE7">
      <w:pPr>
        <w:ind w:right="113" w:firstLine="691"/>
        <w:contextualSpacing/>
        <w:jc w:val="both"/>
      </w:pPr>
      <w:r>
        <w:t>- Sau khi Nghị quyết được ban hành, Ủy ban nhân dân thành phố chịu trách nhiệm tổ chức triển khai thực hiện và báo cáo Hội đồng nhân dân thành phố theo quy định. Thành phố hiện có đầy đủ cơ quan chuyên môn, trong đó Sở Công Thương là cơ quan tham mưu quản lý nhà nước về lĩnh vực điện lực; các sở, ngành liên quan và chính quyền cấp xã có chức năng quản lý về tài chính, đầu tư, kinh tế, hạ tầng để phối hợp thực hiện.</w:t>
      </w:r>
    </w:p>
    <w:p w14:paraId="1B1C6DB9">
      <w:pPr>
        <w:ind w:right="113" w:firstLine="691"/>
        <w:contextualSpacing/>
        <w:jc w:val="both"/>
      </w:pPr>
      <w:r>
        <w:t>- Đội ngũ cán bộ, công chức, viên chức của các cơ quan, đơn vị đã được đào tạo chuyên môn phù hợp, đáp ứng yêu cầu tham mưu, quản lý và tổ chức thực hiện chính sách. Nghị quyết không làm phát sinh tổ chức bộ máy mới, không làm thay đổi chức năng, nhiệm vụ của các cơ quan hiện hành mà được triển khai trên cơ sở nguồn nhân lực, bộ máy và điều kiện hiện có. Do đó, bảo đảm tính khả thi trong quá trình tổ chức thực hiện sau khi được Hội đồng nhân dân Thành phố thông qua.</w:t>
      </w:r>
    </w:p>
    <w:p w14:paraId="2CAA0DC7">
      <w:pPr>
        <w:ind w:right="113" w:firstLine="691"/>
        <w:contextualSpacing/>
        <w:jc w:val="both"/>
        <w:rPr>
          <w:b/>
        </w:rPr>
      </w:pPr>
      <w:r>
        <w:rPr>
          <w:b/>
        </w:rPr>
        <w:t xml:space="preserve">2. Về nguồn kinh phí: </w:t>
      </w:r>
      <w:r>
        <w:t>Từ nguồn ngân sách Thành phố.</w:t>
      </w:r>
    </w:p>
    <w:p w14:paraId="12DF4E48">
      <w:pPr>
        <w:ind w:right="113" w:firstLine="691"/>
        <w:contextualSpacing/>
        <w:jc w:val="both"/>
        <w:rPr>
          <w:b/>
        </w:rPr>
      </w:pPr>
      <w:r>
        <w:rPr>
          <w:b/>
        </w:rPr>
        <w:t>3. Dự kiến kinh phí thực hiện:</w:t>
      </w:r>
    </w:p>
    <w:p w14:paraId="1BCAE278">
      <w:pPr>
        <w:ind w:right="113" w:firstLine="691"/>
        <w:contextualSpacing/>
        <w:jc w:val="both"/>
      </w:pPr>
      <w:r>
        <w:rPr>
          <w:rFonts w:ascii="Times New Roman" w:hAnsi="Times New Roman" w:eastAsia="SimSun"/>
          <w:szCs w:val="28"/>
          <w:lang w:eastAsia="zh-CN"/>
        </w:rPr>
        <w:t>Ngân sách nhà nước hỗ trợ theo quy định về phân cấp ngân sách hiện hành và các nguồn kinh phí hợp pháp khác theo quy định (nếu có)</w:t>
      </w:r>
      <w:r>
        <w:rPr>
          <w:rFonts w:hint="default" w:ascii="Times New Roman" w:hAnsi="Times New Roman" w:eastAsia="SimSun"/>
          <w:szCs w:val="28"/>
          <w:lang w:val="en-US" w:eastAsia="zh-CN"/>
        </w:rPr>
        <w:t xml:space="preserve"> cho </w:t>
      </w:r>
      <w:r>
        <w:t xml:space="preserve">giai đoạn 2027 - 2030 khoảng </w:t>
      </w:r>
      <w:r>
        <w:rPr>
          <w:rFonts w:hint="default"/>
          <w:lang w:val="en-US"/>
        </w:rPr>
        <w:t>72</w:t>
      </w:r>
      <w:r>
        <w:t xml:space="preserve"> tỷ đồng.</w:t>
      </w:r>
    </w:p>
    <w:bookmarkEnd w:id="0"/>
    <w:p w14:paraId="224EF682">
      <w:pPr>
        <w:ind w:firstLine="709"/>
        <w:jc w:val="both"/>
      </w:pPr>
      <w:r>
        <w:rPr>
          <w:spacing w:val="2"/>
        </w:rPr>
        <w:t xml:space="preserve">Trên đây là Tờ trình về dự thảo </w:t>
      </w:r>
      <w:r>
        <w:t xml:space="preserve">Nghị quyết Quy định chính sách hỗ trợ cho hộ gia đình lắp đặt điện mặt trời mái nhà tự sản xuất, tự tiêu thụ và hệ thống lưu trữ điện trên địa bàn thành phố Hải Phòng, </w:t>
      </w:r>
      <w:r>
        <w:rPr>
          <w:spacing w:val="2"/>
        </w:rPr>
        <w:t>Ủy ban nhân dân t</w:t>
      </w:r>
      <w:r>
        <w:rPr>
          <w:lang w:val="eu-ES"/>
        </w:rPr>
        <w:t>hành phố</w:t>
      </w:r>
      <w:r>
        <w:rPr>
          <w:spacing w:val="2"/>
        </w:rPr>
        <w:t xml:space="preserve"> xin kính trình </w:t>
      </w:r>
      <w:r>
        <w:t>Thường trực Hội đồng nhân dân Thành phố xem xét, quyết định.</w:t>
      </w:r>
    </w:p>
    <w:p w14:paraId="3B69DE7E">
      <w:pPr>
        <w:spacing w:after="120"/>
        <w:ind w:firstLine="709"/>
        <w:jc w:val="both"/>
        <w:rPr>
          <w:i/>
          <w:iCs/>
        </w:rPr>
      </w:pPr>
      <w:r>
        <w:rPr>
          <w:i/>
          <w:iCs/>
        </w:rPr>
        <w:t>(Xin gửi kèm theo: Dự thảo Nghị quyết; Bản so sánh, thuyết minh nội dung dự thảo</w:t>
      </w:r>
      <w:r>
        <w:rPr>
          <w:rFonts w:hint="default"/>
          <w:i/>
          <w:iCs/>
          <w:lang w:val="en-US"/>
        </w:rPr>
        <w:t>…</w:t>
      </w:r>
      <w:r>
        <w:rPr>
          <w:i/>
          <w:iCs/>
        </w:rPr>
        <w:t>)./.</w:t>
      </w:r>
    </w:p>
    <w:p w14:paraId="47571D6C">
      <w:pPr>
        <w:jc w:val="both"/>
        <w:rPr>
          <w:i/>
          <w:iCs/>
        </w:rPr>
      </w:pPr>
    </w:p>
    <w:tbl>
      <w:tblPr>
        <w:tblStyle w:val="11"/>
        <w:tblW w:w="9356" w:type="dxa"/>
        <w:tblInd w:w="0" w:type="dxa"/>
        <w:tblLayout w:type="autofit"/>
        <w:tblCellMar>
          <w:top w:w="0" w:type="dxa"/>
          <w:left w:w="108" w:type="dxa"/>
          <w:bottom w:w="0" w:type="dxa"/>
          <w:right w:w="108" w:type="dxa"/>
        </w:tblCellMar>
      </w:tblPr>
      <w:tblGrid>
        <w:gridCol w:w="5103"/>
        <w:gridCol w:w="4253"/>
      </w:tblGrid>
      <w:tr w14:paraId="191479F9">
        <w:tblPrEx>
          <w:tblCellMar>
            <w:top w:w="0" w:type="dxa"/>
            <w:left w:w="108" w:type="dxa"/>
            <w:bottom w:w="0" w:type="dxa"/>
            <w:right w:w="108" w:type="dxa"/>
          </w:tblCellMar>
        </w:tblPrEx>
        <w:trPr>
          <w:trHeight w:val="860" w:hRule="atLeast"/>
        </w:trPr>
        <w:tc>
          <w:tcPr>
            <w:tcW w:w="5103" w:type="dxa"/>
          </w:tcPr>
          <w:p w14:paraId="1E160B55">
            <w:pPr>
              <w:spacing w:line="240" w:lineRule="exact"/>
              <w:rPr>
                <w:b/>
                <w:bCs/>
                <w:i/>
                <w:iCs/>
                <w:spacing w:val="-6"/>
                <w:sz w:val="24"/>
                <w:szCs w:val="24"/>
                <w:lang w:val="pt-BR"/>
              </w:rPr>
            </w:pPr>
            <w:r>
              <w:rPr>
                <w:b/>
                <w:bCs/>
                <w:i/>
                <w:iCs/>
                <w:spacing w:val="-6"/>
                <w:sz w:val="24"/>
                <w:szCs w:val="24"/>
                <w:lang w:val="pt-BR"/>
              </w:rPr>
              <w:t xml:space="preserve">Nơi nhận: </w:t>
            </w:r>
          </w:p>
          <w:p w14:paraId="5BCE6769">
            <w:pPr>
              <w:ind w:hanging="108"/>
              <w:jc w:val="both"/>
              <w:rPr>
                <w:spacing w:val="2"/>
                <w:sz w:val="22"/>
                <w:szCs w:val="22"/>
              </w:rPr>
            </w:pPr>
            <w:r>
              <w:rPr>
                <w:sz w:val="22"/>
                <w:szCs w:val="22"/>
                <w:lang w:val="pt-BR"/>
              </w:rPr>
              <w:t xml:space="preserve">- </w:t>
            </w:r>
            <w:r>
              <w:rPr>
                <w:spacing w:val="2"/>
                <w:sz w:val="22"/>
                <w:szCs w:val="22"/>
              </w:rPr>
              <w:t>Như trên;</w:t>
            </w:r>
          </w:p>
          <w:p w14:paraId="1862028F">
            <w:pPr>
              <w:ind w:hanging="108"/>
              <w:jc w:val="both"/>
              <w:rPr>
                <w:spacing w:val="2"/>
                <w:sz w:val="22"/>
                <w:szCs w:val="22"/>
              </w:rPr>
            </w:pPr>
            <w:r>
              <w:rPr>
                <w:spacing w:val="2"/>
                <w:sz w:val="22"/>
                <w:szCs w:val="22"/>
              </w:rPr>
              <w:t>- Đ/c Bí thư Thành ủy;</w:t>
            </w:r>
          </w:p>
          <w:p w14:paraId="0308F282">
            <w:pPr>
              <w:ind w:hanging="108"/>
              <w:jc w:val="both"/>
              <w:rPr>
                <w:spacing w:val="2"/>
                <w:sz w:val="22"/>
                <w:szCs w:val="22"/>
              </w:rPr>
            </w:pPr>
            <w:r>
              <w:rPr>
                <w:spacing w:val="2"/>
                <w:sz w:val="22"/>
                <w:szCs w:val="22"/>
              </w:rPr>
              <w:t>- Các Đ/c Phó Bí thư Thành ủy;</w:t>
            </w:r>
          </w:p>
          <w:p w14:paraId="094C0E71">
            <w:pPr>
              <w:ind w:hanging="108"/>
              <w:jc w:val="both"/>
              <w:rPr>
                <w:spacing w:val="2"/>
                <w:sz w:val="22"/>
                <w:szCs w:val="22"/>
              </w:rPr>
            </w:pPr>
            <w:r>
              <w:rPr>
                <w:spacing w:val="2"/>
                <w:sz w:val="22"/>
                <w:szCs w:val="22"/>
              </w:rPr>
              <w:t>- Đ/c Chủ tịch UBND Thành phố;</w:t>
            </w:r>
          </w:p>
          <w:p w14:paraId="45D2B4C8">
            <w:pPr>
              <w:ind w:hanging="108"/>
              <w:jc w:val="both"/>
              <w:rPr>
                <w:spacing w:val="2"/>
                <w:sz w:val="22"/>
                <w:szCs w:val="22"/>
              </w:rPr>
            </w:pPr>
            <w:r>
              <w:rPr>
                <w:spacing w:val="2"/>
                <w:sz w:val="22"/>
                <w:szCs w:val="22"/>
              </w:rPr>
              <w:t>- Các đ/c PCT UBND Thành phố;</w:t>
            </w:r>
          </w:p>
          <w:p w14:paraId="3F6E422D">
            <w:pPr>
              <w:ind w:hanging="108"/>
              <w:jc w:val="both"/>
              <w:rPr>
                <w:spacing w:val="2"/>
                <w:sz w:val="22"/>
                <w:szCs w:val="22"/>
              </w:rPr>
            </w:pPr>
            <w:r>
              <w:rPr>
                <w:spacing w:val="2"/>
                <w:sz w:val="22"/>
                <w:szCs w:val="22"/>
              </w:rPr>
              <w:t>- Các Ban HĐND Thành phố;</w:t>
            </w:r>
          </w:p>
          <w:p w14:paraId="03ED87A0">
            <w:pPr>
              <w:ind w:hanging="108"/>
              <w:jc w:val="both"/>
              <w:rPr>
                <w:spacing w:val="2"/>
                <w:sz w:val="22"/>
                <w:szCs w:val="22"/>
              </w:rPr>
            </w:pPr>
            <w:r>
              <w:rPr>
                <w:spacing w:val="2"/>
                <w:sz w:val="22"/>
                <w:szCs w:val="22"/>
              </w:rPr>
              <w:t>- Các Sở: Công Thương, Tư pháp;</w:t>
            </w:r>
          </w:p>
          <w:p w14:paraId="7E1647E8">
            <w:pPr>
              <w:ind w:hanging="108"/>
              <w:jc w:val="both"/>
              <w:rPr>
                <w:spacing w:val="2"/>
                <w:sz w:val="22"/>
                <w:szCs w:val="22"/>
              </w:rPr>
            </w:pPr>
            <w:r>
              <w:rPr>
                <w:spacing w:val="2"/>
                <w:sz w:val="22"/>
                <w:szCs w:val="22"/>
              </w:rPr>
              <w:t>- VPUB: CVP, các PCVP;</w:t>
            </w:r>
          </w:p>
          <w:p w14:paraId="04D76B4C">
            <w:pPr>
              <w:ind w:hanging="108"/>
              <w:jc w:val="both"/>
              <w:rPr>
                <w:sz w:val="22"/>
                <w:szCs w:val="22"/>
                <w:vertAlign w:val="subscript"/>
                <w:lang w:val="pt-BR"/>
              </w:rPr>
            </w:pPr>
            <w:r>
              <w:rPr>
                <w:spacing w:val="2"/>
                <w:sz w:val="22"/>
                <w:szCs w:val="22"/>
              </w:rPr>
              <w:t>- Lưu: VT.</w:t>
            </w:r>
          </w:p>
        </w:tc>
        <w:tc>
          <w:tcPr>
            <w:tcW w:w="4253" w:type="dxa"/>
          </w:tcPr>
          <w:p w14:paraId="330EB3A6">
            <w:pPr>
              <w:spacing w:line="240" w:lineRule="atLeast"/>
              <w:jc w:val="center"/>
              <w:rPr>
                <w:b/>
                <w:spacing w:val="-6"/>
              </w:rPr>
            </w:pPr>
            <w:r>
              <w:rPr>
                <w:b/>
                <w:spacing w:val="-6"/>
              </w:rPr>
              <w:t>TM. ỦY BAN NHÂN DÂN</w:t>
            </w:r>
          </w:p>
          <w:p w14:paraId="560EA75E">
            <w:pPr>
              <w:spacing w:before="120" w:after="60" w:line="280" w:lineRule="exact"/>
              <w:jc w:val="center"/>
              <w:rPr>
                <w:b/>
                <w:spacing w:val="-6"/>
                <w:sz w:val="26"/>
                <w:szCs w:val="26"/>
              </w:rPr>
            </w:pPr>
            <w:bookmarkStart w:id="14" w:name="_GoBack"/>
            <w:bookmarkEnd w:id="14"/>
          </w:p>
          <w:p w14:paraId="0B37A69B">
            <w:pPr>
              <w:spacing w:before="120" w:after="60" w:line="280" w:lineRule="exact"/>
              <w:jc w:val="center"/>
              <w:rPr>
                <w:b/>
                <w:spacing w:val="-6"/>
                <w:sz w:val="26"/>
                <w:szCs w:val="26"/>
              </w:rPr>
            </w:pPr>
          </w:p>
          <w:p w14:paraId="70FF3989">
            <w:pPr>
              <w:spacing w:line="240" w:lineRule="atLeast"/>
              <w:rPr>
                <w:b/>
                <w:spacing w:val="-6"/>
              </w:rPr>
            </w:pPr>
          </w:p>
          <w:p w14:paraId="48715802">
            <w:pPr>
              <w:spacing w:line="240" w:lineRule="atLeast"/>
              <w:rPr>
                <w:b/>
                <w:spacing w:val="-6"/>
              </w:rPr>
            </w:pPr>
          </w:p>
          <w:p w14:paraId="0A4F2393">
            <w:pPr>
              <w:spacing w:line="240" w:lineRule="atLeast"/>
              <w:jc w:val="center"/>
              <w:rPr>
                <w:b/>
                <w:spacing w:val="-6"/>
              </w:rPr>
            </w:pPr>
          </w:p>
        </w:tc>
      </w:tr>
    </w:tbl>
    <w:p w14:paraId="5BC428EA">
      <w:pPr>
        <w:spacing w:before="120" w:after="120" w:line="240" w:lineRule="atLeast"/>
        <w:jc w:val="both"/>
        <w:rPr>
          <w:rFonts w:ascii="Times New Roman Italic" w:hAnsi="Times New Roman Italic"/>
          <w:spacing w:val="-6"/>
        </w:rPr>
      </w:pPr>
    </w:p>
    <w:sectPr>
      <w:headerReference r:id="rId3" w:type="default"/>
      <w:footerReference r:id="rId4" w:type="default"/>
      <w:footerReference r:id="rId5" w:type="even"/>
      <w:pgSz w:w="11907" w:h="16840"/>
      <w:pgMar w:top="1134" w:right="1077" w:bottom="851" w:left="1644" w:header="720" w:footer="96" w:gutter="0"/>
      <w:pgNumType w:start="1"/>
      <w:cols w:space="720"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Cambria">
    <w:panose1 w:val="02040503050406030204"/>
    <w:charset w:val="00"/>
    <w:family w:val="roman"/>
    <w:pitch w:val="default"/>
    <w:sig w:usb0="E00006FF" w:usb1="420024FF" w:usb2="02000000" w:usb3="00000000" w:csb0="2000019F" w:csb1="00000000"/>
  </w:font>
  <w:font w:name="TimesNewRomanPS-BoldMT">
    <w:altName w:val="Times New Roman"/>
    <w:panose1 w:val="00000000000000000000"/>
    <w:charset w:val="00"/>
    <w:family w:val="roman"/>
    <w:pitch w:val="default"/>
    <w:sig w:usb0="00000000" w:usb1="00000000" w:usb2="00000000" w:usb3="00000000" w:csb0="00000000" w:csb1="00000000"/>
  </w:font>
  <w:font w:name="TimesNewRomanPS-ItalicMT">
    <w:altName w:val="Times New Roman"/>
    <w:panose1 w:val="00000000000000000000"/>
    <w:charset w:val="00"/>
    <w:family w:val="roman"/>
    <w:pitch w:val="default"/>
    <w:sig w:usb0="00000000" w:usb1="00000000" w:usb2="00000000" w:usb3="00000000" w:csb0="00000000"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 w:name="Times New Roman Italic">
    <w:altName w:val="Times New Roman"/>
    <w:panose1 w:val="00000000000000000000"/>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BF6EF">
    <w:pPr>
      <w:pStyle w:val="3"/>
      <w:pBdr>
        <w:top w:val="none" w:color="auto" w:sz="0" w:space="0"/>
        <w:left w:val="none" w:color="auto" w:sz="0" w:space="0"/>
        <w:bottom w:val="none" w:color="auto" w:sz="0" w:space="0"/>
        <w:right w:val="none" w:color="auto" w:sz="0" w:space="0"/>
        <w:between w:val="none" w:color="auto" w:sz="0" w:space="0"/>
      </w:pBdr>
      <w:tabs>
        <w:tab w:val="center" w:pos="4320"/>
        <w:tab w:val="right" w:pos="8640"/>
      </w:tabs>
      <w:jc w:val="center"/>
      <w:rPr>
        <w:color w:val="000000"/>
      </w:rPr>
    </w:pPr>
  </w:p>
  <w:p w14:paraId="224D10C2">
    <w:pPr>
      <w:pStyle w:val="3"/>
      <w:pBdr>
        <w:top w:val="none" w:color="auto" w:sz="0" w:space="0"/>
        <w:left w:val="none" w:color="auto" w:sz="0" w:space="0"/>
        <w:bottom w:val="none" w:color="auto" w:sz="0" w:space="0"/>
        <w:right w:val="none" w:color="auto" w:sz="0" w:space="0"/>
        <w:between w:val="none" w:color="auto" w:sz="0" w:space="0"/>
      </w:pBdr>
      <w:tabs>
        <w:tab w:val="center" w:pos="4320"/>
        <w:tab w:val="right" w:pos="864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41CD8">
    <w:pPr>
      <w:pStyle w:val="3"/>
      <w:pBdr>
        <w:top w:val="none" w:color="auto" w:sz="0" w:space="0"/>
        <w:left w:val="none" w:color="auto" w:sz="0" w:space="0"/>
        <w:bottom w:val="none" w:color="auto" w:sz="0" w:space="0"/>
        <w:right w:val="none" w:color="auto" w:sz="0" w:space="0"/>
        <w:between w:val="none" w:color="auto" w:sz="0" w:space="0"/>
      </w:pBdr>
      <w:tabs>
        <w:tab w:val="center" w:pos="4320"/>
        <w:tab w:val="right" w:pos="8640"/>
      </w:tabs>
      <w:jc w:val="center"/>
      <w:rPr>
        <w:color w:val="000000"/>
      </w:rPr>
    </w:pPr>
    <w:r>
      <w:rPr>
        <w:color w:val="000000"/>
      </w:rPr>
      <w:fldChar w:fldCharType="begin"/>
    </w:r>
    <w:r>
      <w:rPr>
        <w:color w:val="000000"/>
      </w:rPr>
      <w:instrText xml:space="preserve">PAGE</w:instrText>
    </w:r>
    <w:r>
      <w:rPr>
        <w:color w:val="000000"/>
      </w:rPr>
      <w:fldChar w:fldCharType="end"/>
    </w:r>
  </w:p>
  <w:p w14:paraId="4603498F">
    <w:pPr>
      <w:pStyle w:val="3"/>
      <w:pBdr>
        <w:top w:val="none" w:color="auto" w:sz="0" w:space="0"/>
        <w:left w:val="none" w:color="auto" w:sz="0" w:space="0"/>
        <w:bottom w:val="none" w:color="auto" w:sz="0" w:space="0"/>
        <w:right w:val="none" w:color="auto" w:sz="0" w:space="0"/>
        <w:between w:val="none" w:color="auto" w:sz="0" w:space="0"/>
      </w:pBdr>
      <w:tabs>
        <w:tab w:val="center" w:pos="4320"/>
        <w:tab w:val="right" w:pos="864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6240299"/>
      <w:docPartObj>
        <w:docPartGallery w:val="autotext"/>
      </w:docPartObj>
    </w:sdtPr>
    <w:sdtContent>
      <w:p w14:paraId="41460CEC">
        <w:pPr>
          <w:pStyle w:val="21"/>
          <w:jc w:val="center"/>
        </w:pPr>
        <w:r>
          <w:fldChar w:fldCharType="begin"/>
        </w:r>
        <w:r>
          <w:instrText xml:space="preserve"> PAGE   \* MERGEFORMAT </w:instrText>
        </w:r>
        <w:r>
          <w:fldChar w:fldCharType="separate"/>
        </w:r>
        <w:r>
          <w:t>6</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313442"/>
    <w:multiLevelType w:val="multilevel"/>
    <w:tmpl w:val="2B313442"/>
    <w:lvl w:ilvl="0" w:tentative="0">
      <w:start w:val="1"/>
      <w:numFmt w:val="decimal"/>
      <w:lvlText w:val="%1."/>
      <w:lvlJc w:val="left"/>
      <w:pPr>
        <w:ind w:left="1025" w:hanging="360"/>
      </w:pPr>
      <w:rPr>
        <w:rFonts w:hint="default"/>
      </w:rPr>
    </w:lvl>
    <w:lvl w:ilvl="1" w:tentative="0">
      <w:start w:val="1"/>
      <w:numFmt w:val="lowerLetter"/>
      <w:lvlText w:val="%2."/>
      <w:lvlJc w:val="left"/>
      <w:pPr>
        <w:ind w:left="1745" w:hanging="360"/>
      </w:pPr>
    </w:lvl>
    <w:lvl w:ilvl="2" w:tentative="0">
      <w:start w:val="1"/>
      <w:numFmt w:val="lowerRoman"/>
      <w:lvlText w:val="%3."/>
      <w:lvlJc w:val="right"/>
      <w:pPr>
        <w:ind w:left="2465" w:hanging="180"/>
      </w:pPr>
    </w:lvl>
    <w:lvl w:ilvl="3" w:tentative="0">
      <w:start w:val="1"/>
      <w:numFmt w:val="decimal"/>
      <w:lvlText w:val="%4."/>
      <w:lvlJc w:val="left"/>
      <w:pPr>
        <w:ind w:left="3185" w:hanging="360"/>
      </w:pPr>
    </w:lvl>
    <w:lvl w:ilvl="4" w:tentative="0">
      <w:start w:val="1"/>
      <w:numFmt w:val="lowerLetter"/>
      <w:lvlText w:val="%5."/>
      <w:lvlJc w:val="left"/>
      <w:pPr>
        <w:ind w:left="3905" w:hanging="360"/>
      </w:pPr>
    </w:lvl>
    <w:lvl w:ilvl="5" w:tentative="0">
      <w:start w:val="1"/>
      <w:numFmt w:val="lowerRoman"/>
      <w:lvlText w:val="%6."/>
      <w:lvlJc w:val="right"/>
      <w:pPr>
        <w:ind w:left="4625" w:hanging="180"/>
      </w:pPr>
    </w:lvl>
    <w:lvl w:ilvl="6" w:tentative="0">
      <w:start w:val="1"/>
      <w:numFmt w:val="decimal"/>
      <w:lvlText w:val="%7."/>
      <w:lvlJc w:val="left"/>
      <w:pPr>
        <w:ind w:left="5345" w:hanging="360"/>
      </w:pPr>
    </w:lvl>
    <w:lvl w:ilvl="7" w:tentative="0">
      <w:start w:val="1"/>
      <w:numFmt w:val="lowerLetter"/>
      <w:lvlText w:val="%8."/>
      <w:lvlJc w:val="left"/>
      <w:pPr>
        <w:ind w:left="6065" w:hanging="360"/>
      </w:pPr>
    </w:lvl>
    <w:lvl w:ilvl="8" w:tentative="0">
      <w:start w:val="1"/>
      <w:numFmt w:val="lowerRoman"/>
      <w:lvlText w:val="%9."/>
      <w:lvlJc w:val="right"/>
      <w:pPr>
        <w:ind w:left="678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defaultTabStop w:val="720"/>
  <w:drawingGridHorizontalSpacing w:val="14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9D9"/>
    <w:rsid w:val="000027BF"/>
    <w:rsid w:val="00005CB2"/>
    <w:rsid w:val="00005E38"/>
    <w:rsid w:val="00006E5F"/>
    <w:rsid w:val="00007100"/>
    <w:rsid w:val="00007242"/>
    <w:rsid w:val="0001134C"/>
    <w:rsid w:val="0001194F"/>
    <w:rsid w:val="00011FA8"/>
    <w:rsid w:val="000127B6"/>
    <w:rsid w:val="00012F83"/>
    <w:rsid w:val="0001365D"/>
    <w:rsid w:val="00013BFE"/>
    <w:rsid w:val="0001459B"/>
    <w:rsid w:val="00015507"/>
    <w:rsid w:val="000166A7"/>
    <w:rsid w:val="00017209"/>
    <w:rsid w:val="000217FE"/>
    <w:rsid w:val="00023B86"/>
    <w:rsid w:val="0002530F"/>
    <w:rsid w:val="00027F5E"/>
    <w:rsid w:val="0003051B"/>
    <w:rsid w:val="0003342C"/>
    <w:rsid w:val="00034816"/>
    <w:rsid w:val="00036213"/>
    <w:rsid w:val="00036633"/>
    <w:rsid w:val="00036922"/>
    <w:rsid w:val="00036ECC"/>
    <w:rsid w:val="00037826"/>
    <w:rsid w:val="00040B7C"/>
    <w:rsid w:val="00041815"/>
    <w:rsid w:val="00041FB5"/>
    <w:rsid w:val="00042681"/>
    <w:rsid w:val="00042BC7"/>
    <w:rsid w:val="00045F66"/>
    <w:rsid w:val="00050124"/>
    <w:rsid w:val="00050B52"/>
    <w:rsid w:val="0005251D"/>
    <w:rsid w:val="00054B1F"/>
    <w:rsid w:val="000559F7"/>
    <w:rsid w:val="00056BCE"/>
    <w:rsid w:val="00057236"/>
    <w:rsid w:val="00061293"/>
    <w:rsid w:val="00061CE6"/>
    <w:rsid w:val="0006444B"/>
    <w:rsid w:val="00064A84"/>
    <w:rsid w:val="000662B5"/>
    <w:rsid w:val="000671AB"/>
    <w:rsid w:val="00067334"/>
    <w:rsid w:val="00072023"/>
    <w:rsid w:val="00072047"/>
    <w:rsid w:val="00072E4D"/>
    <w:rsid w:val="00074686"/>
    <w:rsid w:val="0007508D"/>
    <w:rsid w:val="000756C4"/>
    <w:rsid w:val="000760E3"/>
    <w:rsid w:val="000769DF"/>
    <w:rsid w:val="000777ED"/>
    <w:rsid w:val="00077E75"/>
    <w:rsid w:val="00080164"/>
    <w:rsid w:val="00080884"/>
    <w:rsid w:val="000812B2"/>
    <w:rsid w:val="0008319C"/>
    <w:rsid w:val="00085995"/>
    <w:rsid w:val="00087A5F"/>
    <w:rsid w:val="0009165E"/>
    <w:rsid w:val="00091876"/>
    <w:rsid w:val="000918CF"/>
    <w:rsid w:val="000924D1"/>
    <w:rsid w:val="000930EF"/>
    <w:rsid w:val="00095472"/>
    <w:rsid w:val="000963D6"/>
    <w:rsid w:val="000967F5"/>
    <w:rsid w:val="00097335"/>
    <w:rsid w:val="000A02B1"/>
    <w:rsid w:val="000A072C"/>
    <w:rsid w:val="000A1844"/>
    <w:rsid w:val="000A3AF8"/>
    <w:rsid w:val="000A5987"/>
    <w:rsid w:val="000A6276"/>
    <w:rsid w:val="000A717D"/>
    <w:rsid w:val="000B0513"/>
    <w:rsid w:val="000B07E6"/>
    <w:rsid w:val="000B2195"/>
    <w:rsid w:val="000B22F4"/>
    <w:rsid w:val="000B42E3"/>
    <w:rsid w:val="000B4305"/>
    <w:rsid w:val="000B45CB"/>
    <w:rsid w:val="000B6C11"/>
    <w:rsid w:val="000B7060"/>
    <w:rsid w:val="000C24C0"/>
    <w:rsid w:val="000C2512"/>
    <w:rsid w:val="000C584F"/>
    <w:rsid w:val="000C6A0A"/>
    <w:rsid w:val="000D1D03"/>
    <w:rsid w:val="000D2807"/>
    <w:rsid w:val="000D440E"/>
    <w:rsid w:val="000D4A39"/>
    <w:rsid w:val="000D4BA3"/>
    <w:rsid w:val="000D4EDF"/>
    <w:rsid w:val="000D57A6"/>
    <w:rsid w:val="000D6B19"/>
    <w:rsid w:val="000D784F"/>
    <w:rsid w:val="000E178A"/>
    <w:rsid w:val="000E3200"/>
    <w:rsid w:val="000E3E3F"/>
    <w:rsid w:val="000E3E99"/>
    <w:rsid w:val="000E612F"/>
    <w:rsid w:val="000E645E"/>
    <w:rsid w:val="000E65E0"/>
    <w:rsid w:val="000E6D01"/>
    <w:rsid w:val="000E7489"/>
    <w:rsid w:val="000E75BB"/>
    <w:rsid w:val="000E7D28"/>
    <w:rsid w:val="000F23FA"/>
    <w:rsid w:val="000F2D00"/>
    <w:rsid w:val="000F2D17"/>
    <w:rsid w:val="000F3600"/>
    <w:rsid w:val="000F4EB3"/>
    <w:rsid w:val="000F5A75"/>
    <w:rsid w:val="000F5FC7"/>
    <w:rsid w:val="000F6CD2"/>
    <w:rsid w:val="000F6FFE"/>
    <w:rsid w:val="000F762E"/>
    <w:rsid w:val="00100F8E"/>
    <w:rsid w:val="00100FE1"/>
    <w:rsid w:val="00101769"/>
    <w:rsid w:val="00103718"/>
    <w:rsid w:val="00103BF8"/>
    <w:rsid w:val="00103F03"/>
    <w:rsid w:val="001049DB"/>
    <w:rsid w:val="001051A6"/>
    <w:rsid w:val="00106DDB"/>
    <w:rsid w:val="00106F78"/>
    <w:rsid w:val="00107003"/>
    <w:rsid w:val="00107AC5"/>
    <w:rsid w:val="00110CC8"/>
    <w:rsid w:val="00112518"/>
    <w:rsid w:val="0011332D"/>
    <w:rsid w:val="0011429B"/>
    <w:rsid w:val="001161BA"/>
    <w:rsid w:val="00116967"/>
    <w:rsid w:val="00120882"/>
    <w:rsid w:val="001208F5"/>
    <w:rsid w:val="00122268"/>
    <w:rsid w:val="001238F8"/>
    <w:rsid w:val="00123E49"/>
    <w:rsid w:val="001260D4"/>
    <w:rsid w:val="00130B33"/>
    <w:rsid w:val="00130FAF"/>
    <w:rsid w:val="00131EB9"/>
    <w:rsid w:val="00132260"/>
    <w:rsid w:val="00134943"/>
    <w:rsid w:val="001365C7"/>
    <w:rsid w:val="00137FDF"/>
    <w:rsid w:val="0014112F"/>
    <w:rsid w:val="001412AF"/>
    <w:rsid w:val="00142625"/>
    <w:rsid w:val="00143523"/>
    <w:rsid w:val="00144898"/>
    <w:rsid w:val="001474EC"/>
    <w:rsid w:val="00147B33"/>
    <w:rsid w:val="001500B9"/>
    <w:rsid w:val="00150405"/>
    <w:rsid w:val="0015150C"/>
    <w:rsid w:val="00151D14"/>
    <w:rsid w:val="00152876"/>
    <w:rsid w:val="00155652"/>
    <w:rsid w:val="001565BE"/>
    <w:rsid w:val="00157702"/>
    <w:rsid w:val="00157ED7"/>
    <w:rsid w:val="001605F7"/>
    <w:rsid w:val="00164B3E"/>
    <w:rsid w:val="00164EC1"/>
    <w:rsid w:val="001659AF"/>
    <w:rsid w:val="00165BCE"/>
    <w:rsid w:val="00166C86"/>
    <w:rsid w:val="00166FA2"/>
    <w:rsid w:val="00167535"/>
    <w:rsid w:val="001675A2"/>
    <w:rsid w:val="00172C7F"/>
    <w:rsid w:val="00173A52"/>
    <w:rsid w:val="0017402E"/>
    <w:rsid w:val="00174918"/>
    <w:rsid w:val="00174E15"/>
    <w:rsid w:val="001751B9"/>
    <w:rsid w:val="001752A9"/>
    <w:rsid w:val="001752C6"/>
    <w:rsid w:val="001763D1"/>
    <w:rsid w:val="00176E68"/>
    <w:rsid w:val="00176F65"/>
    <w:rsid w:val="00180538"/>
    <w:rsid w:val="00182664"/>
    <w:rsid w:val="0018491E"/>
    <w:rsid w:val="00184973"/>
    <w:rsid w:val="00185301"/>
    <w:rsid w:val="00185A2C"/>
    <w:rsid w:val="00190875"/>
    <w:rsid w:val="0019147A"/>
    <w:rsid w:val="001917E6"/>
    <w:rsid w:val="00192781"/>
    <w:rsid w:val="001932CE"/>
    <w:rsid w:val="001968A3"/>
    <w:rsid w:val="00197581"/>
    <w:rsid w:val="001A0B92"/>
    <w:rsid w:val="001A1021"/>
    <w:rsid w:val="001A1FFD"/>
    <w:rsid w:val="001A238B"/>
    <w:rsid w:val="001A41C9"/>
    <w:rsid w:val="001A5D20"/>
    <w:rsid w:val="001A6191"/>
    <w:rsid w:val="001A78A9"/>
    <w:rsid w:val="001A7E49"/>
    <w:rsid w:val="001B055A"/>
    <w:rsid w:val="001B3CCE"/>
    <w:rsid w:val="001B4423"/>
    <w:rsid w:val="001B5355"/>
    <w:rsid w:val="001B57E8"/>
    <w:rsid w:val="001B5E68"/>
    <w:rsid w:val="001B7902"/>
    <w:rsid w:val="001C0B38"/>
    <w:rsid w:val="001C3B34"/>
    <w:rsid w:val="001C3DBD"/>
    <w:rsid w:val="001C4633"/>
    <w:rsid w:val="001C589D"/>
    <w:rsid w:val="001C5A43"/>
    <w:rsid w:val="001C69FD"/>
    <w:rsid w:val="001C70D7"/>
    <w:rsid w:val="001C7224"/>
    <w:rsid w:val="001D079B"/>
    <w:rsid w:val="001D09D0"/>
    <w:rsid w:val="001D2295"/>
    <w:rsid w:val="001D267D"/>
    <w:rsid w:val="001D30C0"/>
    <w:rsid w:val="001D349A"/>
    <w:rsid w:val="001D3BEB"/>
    <w:rsid w:val="001D40A7"/>
    <w:rsid w:val="001D448B"/>
    <w:rsid w:val="001D4F17"/>
    <w:rsid w:val="001D58D2"/>
    <w:rsid w:val="001D7120"/>
    <w:rsid w:val="001D7BCB"/>
    <w:rsid w:val="001E069D"/>
    <w:rsid w:val="001E08B2"/>
    <w:rsid w:val="001E0A74"/>
    <w:rsid w:val="001E1CC0"/>
    <w:rsid w:val="001E20CF"/>
    <w:rsid w:val="001E2C9E"/>
    <w:rsid w:val="001E4A3A"/>
    <w:rsid w:val="001E52DB"/>
    <w:rsid w:val="001E63F3"/>
    <w:rsid w:val="001E668E"/>
    <w:rsid w:val="001E6F18"/>
    <w:rsid w:val="001F03C0"/>
    <w:rsid w:val="001F0DE4"/>
    <w:rsid w:val="001F192B"/>
    <w:rsid w:val="001F1C82"/>
    <w:rsid w:val="001F26BC"/>
    <w:rsid w:val="001F2DCE"/>
    <w:rsid w:val="001F35A8"/>
    <w:rsid w:val="001F3626"/>
    <w:rsid w:val="001F457C"/>
    <w:rsid w:val="001F4813"/>
    <w:rsid w:val="001F4EAB"/>
    <w:rsid w:val="001F4ED4"/>
    <w:rsid w:val="001F4FAF"/>
    <w:rsid w:val="001F57B3"/>
    <w:rsid w:val="001F6226"/>
    <w:rsid w:val="001F6B07"/>
    <w:rsid w:val="001F7381"/>
    <w:rsid w:val="001F7F24"/>
    <w:rsid w:val="00200BE6"/>
    <w:rsid w:val="00201953"/>
    <w:rsid w:val="00201B0E"/>
    <w:rsid w:val="0020324B"/>
    <w:rsid w:val="00203F93"/>
    <w:rsid w:val="002041B7"/>
    <w:rsid w:val="00204CAF"/>
    <w:rsid w:val="00205F87"/>
    <w:rsid w:val="002060BB"/>
    <w:rsid w:val="00206720"/>
    <w:rsid w:val="00206C5F"/>
    <w:rsid w:val="00206EEB"/>
    <w:rsid w:val="00212B8B"/>
    <w:rsid w:val="00213886"/>
    <w:rsid w:val="00213935"/>
    <w:rsid w:val="002143FE"/>
    <w:rsid w:val="00215811"/>
    <w:rsid w:val="00215F80"/>
    <w:rsid w:val="00220433"/>
    <w:rsid w:val="00220829"/>
    <w:rsid w:val="00220C6F"/>
    <w:rsid w:val="00221047"/>
    <w:rsid w:val="00221C18"/>
    <w:rsid w:val="0022255D"/>
    <w:rsid w:val="00224090"/>
    <w:rsid w:val="00224265"/>
    <w:rsid w:val="00226C9A"/>
    <w:rsid w:val="00226CC6"/>
    <w:rsid w:val="00226FC1"/>
    <w:rsid w:val="00227333"/>
    <w:rsid w:val="002275C7"/>
    <w:rsid w:val="0023015B"/>
    <w:rsid w:val="0023032C"/>
    <w:rsid w:val="00230976"/>
    <w:rsid w:val="00230EC2"/>
    <w:rsid w:val="00231CFC"/>
    <w:rsid w:val="002320DB"/>
    <w:rsid w:val="00232241"/>
    <w:rsid w:val="00232387"/>
    <w:rsid w:val="00232993"/>
    <w:rsid w:val="00234F55"/>
    <w:rsid w:val="002366C7"/>
    <w:rsid w:val="00236BE4"/>
    <w:rsid w:val="002373FE"/>
    <w:rsid w:val="00237750"/>
    <w:rsid w:val="002405F0"/>
    <w:rsid w:val="0024289B"/>
    <w:rsid w:val="00242F36"/>
    <w:rsid w:val="00243F67"/>
    <w:rsid w:val="002449B0"/>
    <w:rsid w:val="0024500C"/>
    <w:rsid w:val="002471F8"/>
    <w:rsid w:val="00247612"/>
    <w:rsid w:val="00250058"/>
    <w:rsid w:val="00251FB0"/>
    <w:rsid w:val="00252911"/>
    <w:rsid w:val="00253318"/>
    <w:rsid w:val="00253624"/>
    <w:rsid w:val="002536C6"/>
    <w:rsid w:val="00254100"/>
    <w:rsid w:val="00255626"/>
    <w:rsid w:val="00256004"/>
    <w:rsid w:val="0025681C"/>
    <w:rsid w:val="00257C64"/>
    <w:rsid w:val="00261086"/>
    <w:rsid w:val="002615E0"/>
    <w:rsid w:val="002619B6"/>
    <w:rsid w:val="00261B27"/>
    <w:rsid w:val="00261F89"/>
    <w:rsid w:val="00262307"/>
    <w:rsid w:val="00265015"/>
    <w:rsid w:val="002651B1"/>
    <w:rsid w:val="0026595D"/>
    <w:rsid w:val="00266EF1"/>
    <w:rsid w:val="002671E6"/>
    <w:rsid w:val="002673F2"/>
    <w:rsid w:val="00267664"/>
    <w:rsid w:val="002700A9"/>
    <w:rsid w:val="00270314"/>
    <w:rsid w:val="00271E52"/>
    <w:rsid w:val="002731E1"/>
    <w:rsid w:val="002739C6"/>
    <w:rsid w:val="00273D43"/>
    <w:rsid w:val="00274603"/>
    <w:rsid w:val="00275DCB"/>
    <w:rsid w:val="00281571"/>
    <w:rsid w:val="00281680"/>
    <w:rsid w:val="002830EA"/>
    <w:rsid w:val="002851AB"/>
    <w:rsid w:val="00286933"/>
    <w:rsid w:val="00286C6C"/>
    <w:rsid w:val="00287B27"/>
    <w:rsid w:val="00287C45"/>
    <w:rsid w:val="00287E96"/>
    <w:rsid w:val="00291342"/>
    <w:rsid w:val="00291A7B"/>
    <w:rsid w:val="00291EE0"/>
    <w:rsid w:val="00292A6E"/>
    <w:rsid w:val="0029520E"/>
    <w:rsid w:val="002958D6"/>
    <w:rsid w:val="00295EAF"/>
    <w:rsid w:val="00296C42"/>
    <w:rsid w:val="00297421"/>
    <w:rsid w:val="002979F8"/>
    <w:rsid w:val="00297E25"/>
    <w:rsid w:val="00297E33"/>
    <w:rsid w:val="002A1460"/>
    <w:rsid w:val="002A1CBE"/>
    <w:rsid w:val="002A31BC"/>
    <w:rsid w:val="002A325C"/>
    <w:rsid w:val="002A4F07"/>
    <w:rsid w:val="002A7857"/>
    <w:rsid w:val="002B05BE"/>
    <w:rsid w:val="002B1CBB"/>
    <w:rsid w:val="002B29FD"/>
    <w:rsid w:val="002B2D5E"/>
    <w:rsid w:val="002B509D"/>
    <w:rsid w:val="002B579C"/>
    <w:rsid w:val="002B7C2B"/>
    <w:rsid w:val="002C03DE"/>
    <w:rsid w:val="002C11C2"/>
    <w:rsid w:val="002C135F"/>
    <w:rsid w:val="002C2C20"/>
    <w:rsid w:val="002C2DF4"/>
    <w:rsid w:val="002C2ECB"/>
    <w:rsid w:val="002C430A"/>
    <w:rsid w:val="002C455A"/>
    <w:rsid w:val="002C50C9"/>
    <w:rsid w:val="002C5339"/>
    <w:rsid w:val="002C5CBC"/>
    <w:rsid w:val="002C6378"/>
    <w:rsid w:val="002C6C2A"/>
    <w:rsid w:val="002C739C"/>
    <w:rsid w:val="002D1888"/>
    <w:rsid w:val="002D3C2C"/>
    <w:rsid w:val="002D62D4"/>
    <w:rsid w:val="002D6587"/>
    <w:rsid w:val="002D6D7F"/>
    <w:rsid w:val="002D76FD"/>
    <w:rsid w:val="002D77D0"/>
    <w:rsid w:val="002E0332"/>
    <w:rsid w:val="002E134E"/>
    <w:rsid w:val="002E228C"/>
    <w:rsid w:val="002E3C1A"/>
    <w:rsid w:val="002E5306"/>
    <w:rsid w:val="002E70B7"/>
    <w:rsid w:val="002E76FF"/>
    <w:rsid w:val="002E7CF8"/>
    <w:rsid w:val="002F001B"/>
    <w:rsid w:val="002F120F"/>
    <w:rsid w:val="002F13FF"/>
    <w:rsid w:val="002F30E8"/>
    <w:rsid w:val="002F3D8C"/>
    <w:rsid w:val="002F3F05"/>
    <w:rsid w:val="002F49B7"/>
    <w:rsid w:val="002F4A36"/>
    <w:rsid w:val="002F53FB"/>
    <w:rsid w:val="002F54BC"/>
    <w:rsid w:val="002F5819"/>
    <w:rsid w:val="00300C75"/>
    <w:rsid w:val="003015BB"/>
    <w:rsid w:val="003049AE"/>
    <w:rsid w:val="003051DB"/>
    <w:rsid w:val="003052B8"/>
    <w:rsid w:val="00307CA2"/>
    <w:rsid w:val="00307E0D"/>
    <w:rsid w:val="003102B7"/>
    <w:rsid w:val="003105F6"/>
    <w:rsid w:val="00311148"/>
    <w:rsid w:val="003111E2"/>
    <w:rsid w:val="00311FF6"/>
    <w:rsid w:val="00312E76"/>
    <w:rsid w:val="003154FF"/>
    <w:rsid w:val="0031574D"/>
    <w:rsid w:val="00315E68"/>
    <w:rsid w:val="003161AF"/>
    <w:rsid w:val="003168BB"/>
    <w:rsid w:val="00316D56"/>
    <w:rsid w:val="00317D81"/>
    <w:rsid w:val="00317F50"/>
    <w:rsid w:val="00317FE8"/>
    <w:rsid w:val="0032085B"/>
    <w:rsid w:val="00320D7C"/>
    <w:rsid w:val="0032149D"/>
    <w:rsid w:val="00322084"/>
    <w:rsid w:val="003223EE"/>
    <w:rsid w:val="00322AC0"/>
    <w:rsid w:val="00322DCB"/>
    <w:rsid w:val="00323C73"/>
    <w:rsid w:val="003260D6"/>
    <w:rsid w:val="00326641"/>
    <w:rsid w:val="00327576"/>
    <w:rsid w:val="00327D91"/>
    <w:rsid w:val="00331BC3"/>
    <w:rsid w:val="00331DA6"/>
    <w:rsid w:val="003338C8"/>
    <w:rsid w:val="003358E6"/>
    <w:rsid w:val="0033619E"/>
    <w:rsid w:val="00336266"/>
    <w:rsid w:val="0033728B"/>
    <w:rsid w:val="0033766C"/>
    <w:rsid w:val="003377CB"/>
    <w:rsid w:val="00337CF5"/>
    <w:rsid w:val="003400D6"/>
    <w:rsid w:val="00340969"/>
    <w:rsid w:val="003435E6"/>
    <w:rsid w:val="00344041"/>
    <w:rsid w:val="00344B2E"/>
    <w:rsid w:val="00345181"/>
    <w:rsid w:val="003462F5"/>
    <w:rsid w:val="00346A27"/>
    <w:rsid w:val="0034729A"/>
    <w:rsid w:val="00350724"/>
    <w:rsid w:val="00350C9A"/>
    <w:rsid w:val="00351255"/>
    <w:rsid w:val="00352DDA"/>
    <w:rsid w:val="00352E2B"/>
    <w:rsid w:val="003530AB"/>
    <w:rsid w:val="003530C9"/>
    <w:rsid w:val="003535F5"/>
    <w:rsid w:val="00356200"/>
    <w:rsid w:val="003565D1"/>
    <w:rsid w:val="00356C0E"/>
    <w:rsid w:val="00356D32"/>
    <w:rsid w:val="00361C59"/>
    <w:rsid w:val="0036241B"/>
    <w:rsid w:val="00363CDB"/>
    <w:rsid w:val="00363E82"/>
    <w:rsid w:val="00364063"/>
    <w:rsid w:val="00364AD7"/>
    <w:rsid w:val="00364B2B"/>
    <w:rsid w:val="00366F48"/>
    <w:rsid w:val="003674BD"/>
    <w:rsid w:val="00367723"/>
    <w:rsid w:val="00367FBD"/>
    <w:rsid w:val="003710AD"/>
    <w:rsid w:val="003717B8"/>
    <w:rsid w:val="003717F5"/>
    <w:rsid w:val="00371ACE"/>
    <w:rsid w:val="003745D9"/>
    <w:rsid w:val="00374C2E"/>
    <w:rsid w:val="00375746"/>
    <w:rsid w:val="00375B29"/>
    <w:rsid w:val="003760CE"/>
    <w:rsid w:val="00376B32"/>
    <w:rsid w:val="00377361"/>
    <w:rsid w:val="003778B1"/>
    <w:rsid w:val="00380DDA"/>
    <w:rsid w:val="00383CDB"/>
    <w:rsid w:val="003843D5"/>
    <w:rsid w:val="00385F9C"/>
    <w:rsid w:val="003871D5"/>
    <w:rsid w:val="0039014E"/>
    <w:rsid w:val="00390C64"/>
    <w:rsid w:val="00391EEF"/>
    <w:rsid w:val="0039328B"/>
    <w:rsid w:val="0039329A"/>
    <w:rsid w:val="00393CE6"/>
    <w:rsid w:val="003974A2"/>
    <w:rsid w:val="00397B8D"/>
    <w:rsid w:val="003A0241"/>
    <w:rsid w:val="003A0647"/>
    <w:rsid w:val="003A0941"/>
    <w:rsid w:val="003A1B66"/>
    <w:rsid w:val="003A20E7"/>
    <w:rsid w:val="003A22A3"/>
    <w:rsid w:val="003A2DF1"/>
    <w:rsid w:val="003A400B"/>
    <w:rsid w:val="003A5ED8"/>
    <w:rsid w:val="003A6BC6"/>
    <w:rsid w:val="003A70F1"/>
    <w:rsid w:val="003B00F6"/>
    <w:rsid w:val="003B043A"/>
    <w:rsid w:val="003B27D1"/>
    <w:rsid w:val="003B361C"/>
    <w:rsid w:val="003B452B"/>
    <w:rsid w:val="003B481D"/>
    <w:rsid w:val="003B49CB"/>
    <w:rsid w:val="003B5459"/>
    <w:rsid w:val="003B59C8"/>
    <w:rsid w:val="003B70DA"/>
    <w:rsid w:val="003B7EB2"/>
    <w:rsid w:val="003C074A"/>
    <w:rsid w:val="003C0C6A"/>
    <w:rsid w:val="003C1606"/>
    <w:rsid w:val="003C25E8"/>
    <w:rsid w:val="003C2F7C"/>
    <w:rsid w:val="003C3272"/>
    <w:rsid w:val="003C3D7C"/>
    <w:rsid w:val="003C524A"/>
    <w:rsid w:val="003C5845"/>
    <w:rsid w:val="003C6FE6"/>
    <w:rsid w:val="003D039B"/>
    <w:rsid w:val="003D058E"/>
    <w:rsid w:val="003D10EB"/>
    <w:rsid w:val="003D148A"/>
    <w:rsid w:val="003D1AB9"/>
    <w:rsid w:val="003D26E5"/>
    <w:rsid w:val="003D28B5"/>
    <w:rsid w:val="003D44DA"/>
    <w:rsid w:val="003D4E41"/>
    <w:rsid w:val="003D69F7"/>
    <w:rsid w:val="003D6D6D"/>
    <w:rsid w:val="003D79A4"/>
    <w:rsid w:val="003D7D76"/>
    <w:rsid w:val="003E03B6"/>
    <w:rsid w:val="003E04D6"/>
    <w:rsid w:val="003E0622"/>
    <w:rsid w:val="003E0751"/>
    <w:rsid w:val="003E11B9"/>
    <w:rsid w:val="003E164F"/>
    <w:rsid w:val="003E1C9C"/>
    <w:rsid w:val="003E2A3A"/>
    <w:rsid w:val="003E4225"/>
    <w:rsid w:val="003E67F5"/>
    <w:rsid w:val="003F000E"/>
    <w:rsid w:val="003F0194"/>
    <w:rsid w:val="003F0E04"/>
    <w:rsid w:val="003F11FD"/>
    <w:rsid w:val="003F127D"/>
    <w:rsid w:val="003F3069"/>
    <w:rsid w:val="003F36A1"/>
    <w:rsid w:val="003F378F"/>
    <w:rsid w:val="003F3C68"/>
    <w:rsid w:val="003F420B"/>
    <w:rsid w:val="003F4762"/>
    <w:rsid w:val="003F54CC"/>
    <w:rsid w:val="003F6896"/>
    <w:rsid w:val="003F6A6D"/>
    <w:rsid w:val="003F784D"/>
    <w:rsid w:val="0040188C"/>
    <w:rsid w:val="004019DD"/>
    <w:rsid w:val="00402455"/>
    <w:rsid w:val="00402611"/>
    <w:rsid w:val="00402955"/>
    <w:rsid w:val="004030E2"/>
    <w:rsid w:val="004047B6"/>
    <w:rsid w:val="00404FCB"/>
    <w:rsid w:val="00406698"/>
    <w:rsid w:val="00406708"/>
    <w:rsid w:val="004068D8"/>
    <w:rsid w:val="004076E3"/>
    <w:rsid w:val="00410988"/>
    <w:rsid w:val="0041505F"/>
    <w:rsid w:val="00416CC4"/>
    <w:rsid w:val="00416F1E"/>
    <w:rsid w:val="00420063"/>
    <w:rsid w:val="004209D7"/>
    <w:rsid w:val="00421325"/>
    <w:rsid w:val="004217CF"/>
    <w:rsid w:val="00422587"/>
    <w:rsid w:val="0042414C"/>
    <w:rsid w:val="00424965"/>
    <w:rsid w:val="00425777"/>
    <w:rsid w:val="004259C7"/>
    <w:rsid w:val="00425ACD"/>
    <w:rsid w:val="00425AFE"/>
    <w:rsid w:val="00426D13"/>
    <w:rsid w:val="004270FE"/>
    <w:rsid w:val="0042740E"/>
    <w:rsid w:val="004275D6"/>
    <w:rsid w:val="00430187"/>
    <w:rsid w:val="004303E9"/>
    <w:rsid w:val="0043174A"/>
    <w:rsid w:val="00433A26"/>
    <w:rsid w:val="00433DD8"/>
    <w:rsid w:val="00433DFC"/>
    <w:rsid w:val="004352BC"/>
    <w:rsid w:val="00435D7B"/>
    <w:rsid w:val="00440B3F"/>
    <w:rsid w:val="00441ED9"/>
    <w:rsid w:val="00442364"/>
    <w:rsid w:val="00442FFD"/>
    <w:rsid w:val="0044335B"/>
    <w:rsid w:val="0044339E"/>
    <w:rsid w:val="00445697"/>
    <w:rsid w:val="00450838"/>
    <w:rsid w:val="0045157C"/>
    <w:rsid w:val="00451BA8"/>
    <w:rsid w:val="0045203F"/>
    <w:rsid w:val="004525E4"/>
    <w:rsid w:val="0045280E"/>
    <w:rsid w:val="00452F60"/>
    <w:rsid w:val="004530B9"/>
    <w:rsid w:val="00455B3F"/>
    <w:rsid w:val="00456BD8"/>
    <w:rsid w:val="004608CE"/>
    <w:rsid w:val="004618A0"/>
    <w:rsid w:val="0046435A"/>
    <w:rsid w:val="00466804"/>
    <w:rsid w:val="00466D97"/>
    <w:rsid w:val="00467596"/>
    <w:rsid w:val="0047061D"/>
    <w:rsid w:val="00470A9C"/>
    <w:rsid w:val="004733DE"/>
    <w:rsid w:val="00473725"/>
    <w:rsid w:val="00473A5D"/>
    <w:rsid w:val="00474349"/>
    <w:rsid w:val="00474351"/>
    <w:rsid w:val="004744EA"/>
    <w:rsid w:val="00475C37"/>
    <w:rsid w:val="00475DDF"/>
    <w:rsid w:val="0047691F"/>
    <w:rsid w:val="00477E17"/>
    <w:rsid w:val="00480A38"/>
    <w:rsid w:val="00480E9C"/>
    <w:rsid w:val="00481468"/>
    <w:rsid w:val="00483B97"/>
    <w:rsid w:val="004848DA"/>
    <w:rsid w:val="00484C6D"/>
    <w:rsid w:val="00485C78"/>
    <w:rsid w:val="00487E38"/>
    <w:rsid w:val="00490AA0"/>
    <w:rsid w:val="00493474"/>
    <w:rsid w:val="004934E2"/>
    <w:rsid w:val="004947DF"/>
    <w:rsid w:val="00495E5A"/>
    <w:rsid w:val="00497E4B"/>
    <w:rsid w:val="004A1355"/>
    <w:rsid w:val="004A24E6"/>
    <w:rsid w:val="004A55FE"/>
    <w:rsid w:val="004A5752"/>
    <w:rsid w:val="004A57A4"/>
    <w:rsid w:val="004A6744"/>
    <w:rsid w:val="004A70A5"/>
    <w:rsid w:val="004A78F4"/>
    <w:rsid w:val="004B203D"/>
    <w:rsid w:val="004B305C"/>
    <w:rsid w:val="004B32FD"/>
    <w:rsid w:val="004B39EC"/>
    <w:rsid w:val="004B3B28"/>
    <w:rsid w:val="004B47EE"/>
    <w:rsid w:val="004B4D06"/>
    <w:rsid w:val="004B5B0F"/>
    <w:rsid w:val="004B7E0E"/>
    <w:rsid w:val="004C13F6"/>
    <w:rsid w:val="004C2933"/>
    <w:rsid w:val="004C4F27"/>
    <w:rsid w:val="004C519B"/>
    <w:rsid w:val="004C6B7D"/>
    <w:rsid w:val="004C7DA5"/>
    <w:rsid w:val="004D0C12"/>
    <w:rsid w:val="004D122C"/>
    <w:rsid w:val="004D2D24"/>
    <w:rsid w:val="004D3288"/>
    <w:rsid w:val="004D4511"/>
    <w:rsid w:val="004D4719"/>
    <w:rsid w:val="004D5F18"/>
    <w:rsid w:val="004D5F36"/>
    <w:rsid w:val="004D6482"/>
    <w:rsid w:val="004E077F"/>
    <w:rsid w:val="004E1C0D"/>
    <w:rsid w:val="004E1DD3"/>
    <w:rsid w:val="004E3733"/>
    <w:rsid w:val="004E4F49"/>
    <w:rsid w:val="004F15E2"/>
    <w:rsid w:val="004F1F1D"/>
    <w:rsid w:val="004F25A9"/>
    <w:rsid w:val="004F40DC"/>
    <w:rsid w:val="004F4115"/>
    <w:rsid w:val="004F45E4"/>
    <w:rsid w:val="004F5527"/>
    <w:rsid w:val="004F55A8"/>
    <w:rsid w:val="004F62CB"/>
    <w:rsid w:val="004F6BCF"/>
    <w:rsid w:val="004F7055"/>
    <w:rsid w:val="005004F2"/>
    <w:rsid w:val="00500C8C"/>
    <w:rsid w:val="0050180F"/>
    <w:rsid w:val="00501B13"/>
    <w:rsid w:val="005028B2"/>
    <w:rsid w:val="005034D2"/>
    <w:rsid w:val="00505CBB"/>
    <w:rsid w:val="00506B4D"/>
    <w:rsid w:val="0050761E"/>
    <w:rsid w:val="00512EE0"/>
    <w:rsid w:val="00513EBC"/>
    <w:rsid w:val="005151F8"/>
    <w:rsid w:val="00515614"/>
    <w:rsid w:val="00516AA1"/>
    <w:rsid w:val="00516F81"/>
    <w:rsid w:val="00517E11"/>
    <w:rsid w:val="00520309"/>
    <w:rsid w:val="005222AC"/>
    <w:rsid w:val="00524102"/>
    <w:rsid w:val="005251ED"/>
    <w:rsid w:val="005256CD"/>
    <w:rsid w:val="00525CE4"/>
    <w:rsid w:val="00525D6C"/>
    <w:rsid w:val="00526343"/>
    <w:rsid w:val="005270E5"/>
    <w:rsid w:val="00530644"/>
    <w:rsid w:val="00533120"/>
    <w:rsid w:val="005357E2"/>
    <w:rsid w:val="00535A53"/>
    <w:rsid w:val="00535BD8"/>
    <w:rsid w:val="00535C35"/>
    <w:rsid w:val="00536277"/>
    <w:rsid w:val="00537D4E"/>
    <w:rsid w:val="005401D3"/>
    <w:rsid w:val="00540820"/>
    <w:rsid w:val="00541089"/>
    <w:rsid w:val="00541B48"/>
    <w:rsid w:val="00542CF4"/>
    <w:rsid w:val="005433E7"/>
    <w:rsid w:val="00544B2F"/>
    <w:rsid w:val="00544D9A"/>
    <w:rsid w:val="0054560A"/>
    <w:rsid w:val="005479CD"/>
    <w:rsid w:val="005515DF"/>
    <w:rsid w:val="0055223D"/>
    <w:rsid w:val="0055350B"/>
    <w:rsid w:val="005539D9"/>
    <w:rsid w:val="005562EF"/>
    <w:rsid w:val="005565E5"/>
    <w:rsid w:val="0056083D"/>
    <w:rsid w:val="00562362"/>
    <w:rsid w:val="00563629"/>
    <w:rsid w:val="00563FBC"/>
    <w:rsid w:val="005643A2"/>
    <w:rsid w:val="0056538C"/>
    <w:rsid w:val="005668C0"/>
    <w:rsid w:val="005707D9"/>
    <w:rsid w:val="00570B90"/>
    <w:rsid w:val="00571DF2"/>
    <w:rsid w:val="005724D2"/>
    <w:rsid w:val="00572B43"/>
    <w:rsid w:val="0057334B"/>
    <w:rsid w:val="005733EF"/>
    <w:rsid w:val="00573D4A"/>
    <w:rsid w:val="005749C2"/>
    <w:rsid w:val="00574F0D"/>
    <w:rsid w:val="005752B6"/>
    <w:rsid w:val="00575828"/>
    <w:rsid w:val="00575978"/>
    <w:rsid w:val="00576306"/>
    <w:rsid w:val="005763D8"/>
    <w:rsid w:val="005808C7"/>
    <w:rsid w:val="00580F73"/>
    <w:rsid w:val="0058206F"/>
    <w:rsid w:val="0058658E"/>
    <w:rsid w:val="00591414"/>
    <w:rsid w:val="005915AC"/>
    <w:rsid w:val="005923AC"/>
    <w:rsid w:val="00594084"/>
    <w:rsid w:val="00595374"/>
    <w:rsid w:val="005956E6"/>
    <w:rsid w:val="0059596F"/>
    <w:rsid w:val="00596D84"/>
    <w:rsid w:val="005978E4"/>
    <w:rsid w:val="00597C65"/>
    <w:rsid w:val="00597F3F"/>
    <w:rsid w:val="005A009F"/>
    <w:rsid w:val="005A00A3"/>
    <w:rsid w:val="005A08C0"/>
    <w:rsid w:val="005A16E3"/>
    <w:rsid w:val="005A180A"/>
    <w:rsid w:val="005A2580"/>
    <w:rsid w:val="005A4D43"/>
    <w:rsid w:val="005A6565"/>
    <w:rsid w:val="005A67C0"/>
    <w:rsid w:val="005A7697"/>
    <w:rsid w:val="005B044F"/>
    <w:rsid w:val="005B1775"/>
    <w:rsid w:val="005B25F2"/>
    <w:rsid w:val="005B28C0"/>
    <w:rsid w:val="005B2D23"/>
    <w:rsid w:val="005B329C"/>
    <w:rsid w:val="005B3666"/>
    <w:rsid w:val="005B3BF0"/>
    <w:rsid w:val="005B459B"/>
    <w:rsid w:val="005B6B5C"/>
    <w:rsid w:val="005B70AC"/>
    <w:rsid w:val="005B775E"/>
    <w:rsid w:val="005B7A9A"/>
    <w:rsid w:val="005C29D5"/>
    <w:rsid w:val="005C2CDA"/>
    <w:rsid w:val="005C30E1"/>
    <w:rsid w:val="005C5E5A"/>
    <w:rsid w:val="005C618B"/>
    <w:rsid w:val="005C729A"/>
    <w:rsid w:val="005D1FC7"/>
    <w:rsid w:val="005D33A9"/>
    <w:rsid w:val="005D561D"/>
    <w:rsid w:val="005D6C79"/>
    <w:rsid w:val="005D75F6"/>
    <w:rsid w:val="005E1D2C"/>
    <w:rsid w:val="005E40CF"/>
    <w:rsid w:val="005E4A9D"/>
    <w:rsid w:val="005E52AF"/>
    <w:rsid w:val="005F1C61"/>
    <w:rsid w:val="005F2E06"/>
    <w:rsid w:val="005F3E7E"/>
    <w:rsid w:val="005F58D5"/>
    <w:rsid w:val="005F5DA9"/>
    <w:rsid w:val="005F5ED0"/>
    <w:rsid w:val="00601BAB"/>
    <w:rsid w:val="006020F7"/>
    <w:rsid w:val="006027BE"/>
    <w:rsid w:val="00602B31"/>
    <w:rsid w:val="00603374"/>
    <w:rsid w:val="00604A3D"/>
    <w:rsid w:val="00605185"/>
    <w:rsid w:val="00605580"/>
    <w:rsid w:val="00606C61"/>
    <w:rsid w:val="00607D9E"/>
    <w:rsid w:val="00611406"/>
    <w:rsid w:val="0061194D"/>
    <w:rsid w:val="00612AA0"/>
    <w:rsid w:val="006134D1"/>
    <w:rsid w:val="00613762"/>
    <w:rsid w:val="006138D8"/>
    <w:rsid w:val="00614F70"/>
    <w:rsid w:val="006152B3"/>
    <w:rsid w:val="00617658"/>
    <w:rsid w:val="00620075"/>
    <w:rsid w:val="00621687"/>
    <w:rsid w:val="0062460A"/>
    <w:rsid w:val="00625089"/>
    <w:rsid w:val="00625333"/>
    <w:rsid w:val="00625874"/>
    <w:rsid w:val="00626DD0"/>
    <w:rsid w:val="00626DED"/>
    <w:rsid w:val="00626E13"/>
    <w:rsid w:val="00626EEE"/>
    <w:rsid w:val="00627A69"/>
    <w:rsid w:val="00630C94"/>
    <w:rsid w:val="00631A08"/>
    <w:rsid w:val="00631D36"/>
    <w:rsid w:val="00632D3C"/>
    <w:rsid w:val="00633266"/>
    <w:rsid w:val="006336C2"/>
    <w:rsid w:val="00634158"/>
    <w:rsid w:val="00634452"/>
    <w:rsid w:val="006344B8"/>
    <w:rsid w:val="00634D94"/>
    <w:rsid w:val="0063575D"/>
    <w:rsid w:val="006360B3"/>
    <w:rsid w:val="00636B38"/>
    <w:rsid w:val="00636D1F"/>
    <w:rsid w:val="006375E1"/>
    <w:rsid w:val="006412F6"/>
    <w:rsid w:val="00641B39"/>
    <w:rsid w:val="006425ED"/>
    <w:rsid w:val="0064327F"/>
    <w:rsid w:val="006434CB"/>
    <w:rsid w:val="00643E2B"/>
    <w:rsid w:val="006445AD"/>
    <w:rsid w:val="00644980"/>
    <w:rsid w:val="006461D8"/>
    <w:rsid w:val="0064649B"/>
    <w:rsid w:val="006472A4"/>
    <w:rsid w:val="00650B3D"/>
    <w:rsid w:val="00650EBC"/>
    <w:rsid w:val="006527FB"/>
    <w:rsid w:val="00654872"/>
    <w:rsid w:val="00654E07"/>
    <w:rsid w:val="0065569E"/>
    <w:rsid w:val="00656C0C"/>
    <w:rsid w:val="00660E07"/>
    <w:rsid w:val="0066149E"/>
    <w:rsid w:val="0066258E"/>
    <w:rsid w:val="00663F6A"/>
    <w:rsid w:val="006643AB"/>
    <w:rsid w:val="006644CA"/>
    <w:rsid w:val="006674EF"/>
    <w:rsid w:val="006710F0"/>
    <w:rsid w:val="00671B39"/>
    <w:rsid w:val="00672AD1"/>
    <w:rsid w:val="00672CBD"/>
    <w:rsid w:val="00673561"/>
    <w:rsid w:val="006738D3"/>
    <w:rsid w:val="006744F3"/>
    <w:rsid w:val="006755A2"/>
    <w:rsid w:val="00675A37"/>
    <w:rsid w:val="00680B86"/>
    <w:rsid w:val="00681AAD"/>
    <w:rsid w:val="00681B0D"/>
    <w:rsid w:val="00682D1B"/>
    <w:rsid w:val="006844C6"/>
    <w:rsid w:val="00685AC2"/>
    <w:rsid w:val="00686B7D"/>
    <w:rsid w:val="00686DE9"/>
    <w:rsid w:val="00687A3A"/>
    <w:rsid w:val="00692369"/>
    <w:rsid w:val="006932BE"/>
    <w:rsid w:val="00694383"/>
    <w:rsid w:val="00695751"/>
    <w:rsid w:val="00695E05"/>
    <w:rsid w:val="00696237"/>
    <w:rsid w:val="00696594"/>
    <w:rsid w:val="00696905"/>
    <w:rsid w:val="006A3BEF"/>
    <w:rsid w:val="006A3ECF"/>
    <w:rsid w:val="006A46AA"/>
    <w:rsid w:val="006A47AB"/>
    <w:rsid w:val="006A50C4"/>
    <w:rsid w:val="006A5F5E"/>
    <w:rsid w:val="006A6081"/>
    <w:rsid w:val="006A6622"/>
    <w:rsid w:val="006A6BA5"/>
    <w:rsid w:val="006A7691"/>
    <w:rsid w:val="006A7832"/>
    <w:rsid w:val="006A7E7B"/>
    <w:rsid w:val="006B142A"/>
    <w:rsid w:val="006B1B22"/>
    <w:rsid w:val="006B21E7"/>
    <w:rsid w:val="006B295B"/>
    <w:rsid w:val="006B337C"/>
    <w:rsid w:val="006B4357"/>
    <w:rsid w:val="006B4BE0"/>
    <w:rsid w:val="006B4DAC"/>
    <w:rsid w:val="006B4F48"/>
    <w:rsid w:val="006B643D"/>
    <w:rsid w:val="006B65F0"/>
    <w:rsid w:val="006B7321"/>
    <w:rsid w:val="006C04E5"/>
    <w:rsid w:val="006C0E2F"/>
    <w:rsid w:val="006C26BB"/>
    <w:rsid w:val="006C2A34"/>
    <w:rsid w:val="006C3CF1"/>
    <w:rsid w:val="006C4823"/>
    <w:rsid w:val="006C5151"/>
    <w:rsid w:val="006C5535"/>
    <w:rsid w:val="006C7051"/>
    <w:rsid w:val="006C7354"/>
    <w:rsid w:val="006D0CB9"/>
    <w:rsid w:val="006D517B"/>
    <w:rsid w:val="006D5B89"/>
    <w:rsid w:val="006E0320"/>
    <w:rsid w:val="006E0A42"/>
    <w:rsid w:val="006E160F"/>
    <w:rsid w:val="006E3078"/>
    <w:rsid w:val="006E49AB"/>
    <w:rsid w:val="006E679E"/>
    <w:rsid w:val="006E68DE"/>
    <w:rsid w:val="006F01FA"/>
    <w:rsid w:val="006F0552"/>
    <w:rsid w:val="006F056B"/>
    <w:rsid w:val="006F12B0"/>
    <w:rsid w:val="006F1431"/>
    <w:rsid w:val="006F156B"/>
    <w:rsid w:val="006F19B5"/>
    <w:rsid w:val="006F223B"/>
    <w:rsid w:val="006F3C81"/>
    <w:rsid w:val="006F3EB4"/>
    <w:rsid w:val="006F5BCE"/>
    <w:rsid w:val="006F7017"/>
    <w:rsid w:val="00700215"/>
    <w:rsid w:val="0070065F"/>
    <w:rsid w:val="00701745"/>
    <w:rsid w:val="0070204B"/>
    <w:rsid w:val="00702332"/>
    <w:rsid w:val="00702BD2"/>
    <w:rsid w:val="00703598"/>
    <w:rsid w:val="00705BD3"/>
    <w:rsid w:val="00706F7E"/>
    <w:rsid w:val="00707007"/>
    <w:rsid w:val="00707B92"/>
    <w:rsid w:val="00707CC8"/>
    <w:rsid w:val="00710241"/>
    <w:rsid w:val="0071218C"/>
    <w:rsid w:val="007124AE"/>
    <w:rsid w:val="00712BBB"/>
    <w:rsid w:val="00712E69"/>
    <w:rsid w:val="007139DE"/>
    <w:rsid w:val="00714815"/>
    <w:rsid w:val="00715649"/>
    <w:rsid w:val="00715E1B"/>
    <w:rsid w:val="00716383"/>
    <w:rsid w:val="00716431"/>
    <w:rsid w:val="00717493"/>
    <w:rsid w:val="00717717"/>
    <w:rsid w:val="007200B1"/>
    <w:rsid w:val="00721901"/>
    <w:rsid w:val="00722505"/>
    <w:rsid w:val="00723493"/>
    <w:rsid w:val="00723FEB"/>
    <w:rsid w:val="007270C5"/>
    <w:rsid w:val="007272A7"/>
    <w:rsid w:val="00727530"/>
    <w:rsid w:val="00727A49"/>
    <w:rsid w:val="0073018E"/>
    <w:rsid w:val="00731A05"/>
    <w:rsid w:val="0073250F"/>
    <w:rsid w:val="00732B54"/>
    <w:rsid w:val="00733952"/>
    <w:rsid w:val="00733A09"/>
    <w:rsid w:val="007342AA"/>
    <w:rsid w:val="00734679"/>
    <w:rsid w:val="00734706"/>
    <w:rsid w:val="00736308"/>
    <w:rsid w:val="00736E50"/>
    <w:rsid w:val="00741188"/>
    <w:rsid w:val="00741955"/>
    <w:rsid w:val="00741FF5"/>
    <w:rsid w:val="00742430"/>
    <w:rsid w:val="00744825"/>
    <w:rsid w:val="007455C8"/>
    <w:rsid w:val="0074592F"/>
    <w:rsid w:val="00745CBE"/>
    <w:rsid w:val="00746FD7"/>
    <w:rsid w:val="00747CCF"/>
    <w:rsid w:val="007505AF"/>
    <w:rsid w:val="007506DF"/>
    <w:rsid w:val="00751DF8"/>
    <w:rsid w:val="00752696"/>
    <w:rsid w:val="0075323C"/>
    <w:rsid w:val="00753539"/>
    <w:rsid w:val="0075374E"/>
    <w:rsid w:val="00753889"/>
    <w:rsid w:val="00753970"/>
    <w:rsid w:val="00754AD0"/>
    <w:rsid w:val="007557DA"/>
    <w:rsid w:val="00755CB3"/>
    <w:rsid w:val="00755F4E"/>
    <w:rsid w:val="007560C5"/>
    <w:rsid w:val="00757A51"/>
    <w:rsid w:val="00757FAF"/>
    <w:rsid w:val="0076053D"/>
    <w:rsid w:val="00760EC0"/>
    <w:rsid w:val="00761E3A"/>
    <w:rsid w:val="00762DCE"/>
    <w:rsid w:val="0076510D"/>
    <w:rsid w:val="0076541C"/>
    <w:rsid w:val="00765B69"/>
    <w:rsid w:val="00766B81"/>
    <w:rsid w:val="00771E8A"/>
    <w:rsid w:val="0077201D"/>
    <w:rsid w:val="007727FB"/>
    <w:rsid w:val="00773627"/>
    <w:rsid w:val="0077399C"/>
    <w:rsid w:val="00774151"/>
    <w:rsid w:val="007748EE"/>
    <w:rsid w:val="007765D8"/>
    <w:rsid w:val="00776891"/>
    <w:rsid w:val="007771C0"/>
    <w:rsid w:val="00782ADF"/>
    <w:rsid w:val="00783CA2"/>
    <w:rsid w:val="00783ECA"/>
    <w:rsid w:val="0078521B"/>
    <w:rsid w:val="00785D2E"/>
    <w:rsid w:val="00785EAD"/>
    <w:rsid w:val="0078757D"/>
    <w:rsid w:val="007879B6"/>
    <w:rsid w:val="00787C3F"/>
    <w:rsid w:val="00790905"/>
    <w:rsid w:val="00790BBE"/>
    <w:rsid w:val="00792367"/>
    <w:rsid w:val="00792A09"/>
    <w:rsid w:val="00792DF4"/>
    <w:rsid w:val="00793A7A"/>
    <w:rsid w:val="007943EF"/>
    <w:rsid w:val="0079441D"/>
    <w:rsid w:val="007957F8"/>
    <w:rsid w:val="00795C89"/>
    <w:rsid w:val="00796308"/>
    <w:rsid w:val="007A1A91"/>
    <w:rsid w:val="007A23AD"/>
    <w:rsid w:val="007A2E2B"/>
    <w:rsid w:val="007A2EB0"/>
    <w:rsid w:val="007A386B"/>
    <w:rsid w:val="007A4D5A"/>
    <w:rsid w:val="007A61CF"/>
    <w:rsid w:val="007A72D3"/>
    <w:rsid w:val="007B0CB3"/>
    <w:rsid w:val="007B0E1C"/>
    <w:rsid w:val="007B3DDD"/>
    <w:rsid w:val="007B517C"/>
    <w:rsid w:val="007B6EA2"/>
    <w:rsid w:val="007B722F"/>
    <w:rsid w:val="007B78A9"/>
    <w:rsid w:val="007C0D81"/>
    <w:rsid w:val="007C0ED8"/>
    <w:rsid w:val="007C18D1"/>
    <w:rsid w:val="007C2447"/>
    <w:rsid w:val="007C2E6E"/>
    <w:rsid w:val="007C4E1F"/>
    <w:rsid w:val="007C5184"/>
    <w:rsid w:val="007C5201"/>
    <w:rsid w:val="007C7665"/>
    <w:rsid w:val="007D1AFD"/>
    <w:rsid w:val="007D44CF"/>
    <w:rsid w:val="007D4759"/>
    <w:rsid w:val="007D5BD1"/>
    <w:rsid w:val="007D632F"/>
    <w:rsid w:val="007D63BF"/>
    <w:rsid w:val="007D6626"/>
    <w:rsid w:val="007D6636"/>
    <w:rsid w:val="007D7E7C"/>
    <w:rsid w:val="007E03EE"/>
    <w:rsid w:val="007E1A6D"/>
    <w:rsid w:val="007E1AE6"/>
    <w:rsid w:val="007E24CB"/>
    <w:rsid w:val="007E24DB"/>
    <w:rsid w:val="007E3015"/>
    <w:rsid w:val="007E36FE"/>
    <w:rsid w:val="007E3978"/>
    <w:rsid w:val="007E398B"/>
    <w:rsid w:val="007E3AB7"/>
    <w:rsid w:val="007E6C26"/>
    <w:rsid w:val="007E723D"/>
    <w:rsid w:val="007E7A97"/>
    <w:rsid w:val="007F07D8"/>
    <w:rsid w:val="007F0DB8"/>
    <w:rsid w:val="007F1ABE"/>
    <w:rsid w:val="007F27D4"/>
    <w:rsid w:val="007F2B89"/>
    <w:rsid w:val="007F2DD5"/>
    <w:rsid w:val="007F3F64"/>
    <w:rsid w:val="007F4569"/>
    <w:rsid w:val="007F4CB6"/>
    <w:rsid w:val="007F5154"/>
    <w:rsid w:val="007F5E6E"/>
    <w:rsid w:val="007F69D1"/>
    <w:rsid w:val="007F7CD3"/>
    <w:rsid w:val="00802B35"/>
    <w:rsid w:val="00804254"/>
    <w:rsid w:val="0081074A"/>
    <w:rsid w:val="00811205"/>
    <w:rsid w:val="00813A64"/>
    <w:rsid w:val="008140AC"/>
    <w:rsid w:val="00814DDF"/>
    <w:rsid w:val="0081630B"/>
    <w:rsid w:val="008207B8"/>
    <w:rsid w:val="0082112C"/>
    <w:rsid w:val="00822927"/>
    <w:rsid w:val="00824C69"/>
    <w:rsid w:val="008272B3"/>
    <w:rsid w:val="00827A9A"/>
    <w:rsid w:val="0083029F"/>
    <w:rsid w:val="00830D96"/>
    <w:rsid w:val="00830DCA"/>
    <w:rsid w:val="00831950"/>
    <w:rsid w:val="00833C4E"/>
    <w:rsid w:val="008348A9"/>
    <w:rsid w:val="00836712"/>
    <w:rsid w:val="008374F8"/>
    <w:rsid w:val="00837D89"/>
    <w:rsid w:val="00837EEF"/>
    <w:rsid w:val="00840EB7"/>
    <w:rsid w:val="00841894"/>
    <w:rsid w:val="00842C8B"/>
    <w:rsid w:val="00843066"/>
    <w:rsid w:val="0084336B"/>
    <w:rsid w:val="00843EF5"/>
    <w:rsid w:val="00844D51"/>
    <w:rsid w:val="00844D54"/>
    <w:rsid w:val="008451DA"/>
    <w:rsid w:val="00845A2B"/>
    <w:rsid w:val="00847819"/>
    <w:rsid w:val="008500F6"/>
    <w:rsid w:val="00850E2E"/>
    <w:rsid w:val="008529AF"/>
    <w:rsid w:val="008531E4"/>
    <w:rsid w:val="00853A0A"/>
    <w:rsid w:val="00855096"/>
    <w:rsid w:val="00856F51"/>
    <w:rsid w:val="00856F9B"/>
    <w:rsid w:val="00861BD1"/>
    <w:rsid w:val="00861BDB"/>
    <w:rsid w:val="00861F88"/>
    <w:rsid w:val="0086477D"/>
    <w:rsid w:val="00865808"/>
    <w:rsid w:val="00865C36"/>
    <w:rsid w:val="00866872"/>
    <w:rsid w:val="00867DCB"/>
    <w:rsid w:val="00867F8D"/>
    <w:rsid w:val="00872203"/>
    <w:rsid w:val="00872416"/>
    <w:rsid w:val="0087262E"/>
    <w:rsid w:val="008729E7"/>
    <w:rsid w:val="00872E24"/>
    <w:rsid w:val="00873D73"/>
    <w:rsid w:val="00874BEC"/>
    <w:rsid w:val="00874BF4"/>
    <w:rsid w:val="00874E9E"/>
    <w:rsid w:val="008756BB"/>
    <w:rsid w:val="00876460"/>
    <w:rsid w:val="00876AED"/>
    <w:rsid w:val="00880D2D"/>
    <w:rsid w:val="00881C90"/>
    <w:rsid w:val="0088248D"/>
    <w:rsid w:val="00883368"/>
    <w:rsid w:val="00883DD5"/>
    <w:rsid w:val="008841FB"/>
    <w:rsid w:val="008849CE"/>
    <w:rsid w:val="008850B3"/>
    <w:rsid w:val="00885A1B"/>
    <w:rsid w:val="00885B7C"/>
    <w:rsid w:val="00886352"/>
    <w:rsid w:val="0088715B"/>
    <w:rsid w:val="00887286"/>
    <w:rsid w:val="008872B5"/>
    <w:rsid w:val="008900BD"/>
    <w:rsid w:val="00891691"/>
    <w:rsid w:val="0089240F"/>
    <w:rsid w:val="00893A59"/>
    <w:rsid w:val="00893C76"/>
    <w:rsid w:val="008940E9"/>
    <w:rsid w:val="00894324"/>
    <w:rsid w:val="008949FE"/>
    <w:rsid w:val="008951EE"/>
    <w:rsid w:val="00895525"/>
    <w:rsid w:val="00895F40"/>
    <w:rsid w:val="00896721"/>
    <w:rsid w:val="008A01E6"/>
    <w:rsid w:val="008A083C"/>
    <w:rsid w:val="008A0CCE"/>
    <w:rsid w:val="008A0CF1"/>
    <w:rsid w:val="008A0F8B"/>
    <w:rsid w:val="008A1AF0"/>
    <w:rsid w:val="008A215E"/>
    <w:rsid w:val="008A2327"/>
    <w:rsid w:val="008A2A55"/>
    <w:rsid w:val="008A2F12"/>
    <w:rsid w:val="008A352A"/>
    <w:rsid w:val="008A35F6"/>
    <w:rsid w:val="008A3CFD"/>
    <w:rsid w:val="008A483B"/>
    <w:rsid w:val="008A4A63"/>
    <w:rsid w:val="008A5E1E"/>
    <w:rsid w:val="008A5EF0"/>
    <w:rsid w:val="008A6F98"/>
    <w:rsid w:val="008B0042"/>
    <w:rsid w:val="008B00F9"/>
    <w:rsid w:val="008B074C"/>
    <w:rsid w:val="008B197A"/>
    <w:rsid w:val="008B20E2"/>
    <w:rsid w:val="008B225E"/>
    <w:rsid w:val="008B2903"/>
    <w:rsid w:val="008B4A96"/>
    <w:rsid w:val="008B5EB9"/>
    <w:rsid w:val="008B5F8D"/>
    <w:rsid w:val="008B697E"/>
    <w:rsid w:val="008B6CA0"/>
    <w:rsid w:val="008B6D77"/>
    <w:rsid w:val="008C24A4"/>
    <w:rsid w:val="008C364B"/>
    <w:rsid w:val="008C3AAC"/>
    <w:rsid w:val="008C4B31"/>
    <w:rsid w:val="008C55F3"/>
    <w:rsid w:val="008C5D50"/>
    <w:rsid w:val="008C6E14"/>
    <w:rsid w:val="008D0435"/>
    <w:rsid w:val="008D1549"/>
    <w:rsid w:val="008D174C"/>
    <w:rsid w:val="008D36EC"/>
    <w:rsid w:val="008D4773"/>
    <w:rsid w:val="008D4BC5"/>
    <w:rsid w:val="008D5BB1"/>
    <w:rsid w:val="008D6523"/>
    <w:rsid w:val="008D68AE"/>
    <w:rsid w:val="008E1847"/>
    <w:rsid w:val="008E2039"/>
    <w:rsid w:val="008E261F"/>
    <w:rsid w:val="008E2C44"/>
    <w:rsid w:val="008E32A9"/>
    <w:rsid w:val="008E3DBF"/>
    <w:rsid w:val="008F24A2"/>
    <w:rsid w:val="008F24D9"/>
    <w:rsid w:val="008F37CD"/>
    <w:rsid w:val="008F37D6"/>
    <w:rsid w:val="008F442E"/>
    <w:rsid w:val="008F4FA3"/>
    <w:rsid w:val="008F52A7"/>
    <w:rsid w:val="00900A33"/>
    <w:rsid w:val="00902099"/>
    <w:rsid w:val="009022AF"/>
    <w:rsid w:val="00902D6F"/>
    <w:rsid w:val="00903606"/>
    <w:rsid w:val="0090446F"/>
    <w:rsid w:val="00905017"/>
    <w:rsid w:val="009055A8"/>
    <w:rsid w:val="00905D95"/>
    <w:rsid w:val="00906CE7"/>
    <w:rsid w:val="009075B9"/>
    <w:rsid w:val="00910219"/>
    <w:rsid w:val="00911921"/>
    <w:rsid w:val="00911C86"/>
    <w:rsid w:val="009125FE"/>
    <w:rsid w:val="00912F94"/>
    <w:rsid w:val="009140EF"/>
    <w:rsid w:val="00915B36"/>
    <w:rsid w:val="00917C63"/>
    <w:rsid w:val="00920811"/>
    <w:rsid w:val="009220D8"/>
    <w:rsid w:val="009220E1"/>
    <w:rsid w:val="00922E72"/>
    <w:rsid w:val="00924492"/>
    <w:rsid w:val="00924DF1"/>
    <w:rsid w:val="00924F70"/>
    <w:rsid w:val="00925CE3"/>
    <w:rsid w:val="00925D36"/>
    <w:rsid w:val="00926ADA"/>
    <w:rsid w:val="0092752B"/>
    <w:rsid w:val="0092761B"/>
    <w:rsid w:val="0093029F"/>
    <w:rsid w:val="00931403"/>
    <w:rsid w:val="0093332A"/>
    <w:rsid w:val="00933F99"/>
    <w:rsid w:val="00935F87"/>
    <w:rsid w:val="00936838"/>
    <w:rsid w:val="00936A8B"/>
    <w:rsid w:val="00940586"/>
    <w:rsid w:val="009413D0"/>
    <w:rsid w:val="00941C23"/>
    <w:rsid w:val="009424C4"/>
    <w:rsid w:val="00944028"/>
    <w:rsid w:val="0094430B"/>
    <w:rsid w:val="00944A25"/>
    <w:rsid w:val="00946796"/>
    <w:rsid w:val="00946C32"/>
    <w:rsid w:val="0095067A"/>
    <w:rsid w:val="00950A76"/>
    <w:rsid w:val="00952378"/>
    <w:rsid w:val="009546A7"/>
    <w:rsid w:val="0095482C"/>
    <w:rsid w:val="00955511"/>
    <w:rsid w:val="0095567E"/>
    <w:rsid w:val="009567B8"/>
    <w:rsid w:val="0095750D"/>
    <w:rsid w:val="00957C12"/>
    <w:rsid w:val="00957CE8"/>
    <w:rsid w:val="00961F8E"/>
    <w:rsid w:val="009620DF"/>
    <w:rsid w:val="00962BD2"/>
    <w:rsid w:val="0096375A"/>
    <w:rsid w:val="0096462F"/>
    <w:rsid w:val="009650D3"/>
    <w:rsid w:val="00967457"/>
    <w:rsid w:val="0096775E"/>
    <w:rsid w:val="009705C9"/>
    <w:rsid w:val="00970F7B"/>
    <w:rsid w:val="009716A3"/>
    <w:rsid w:val="0097215F"/>
    <w:rsid w:val="009721FA"/>
    <w:rsid w:val="009727F5"/>
    <w:rsid w:val="009731E7"/>
    <w:rsid w:val="00973627"/>
    <w:rsid w:val="00975393"/>
    <w:rsid w:val="0097588B"/>
    <w:rsid w:val="009768A7"/>
    <w:rsid w:val="00980863"/>
    <w:rsid w:val="00980D43"/>
    <w:rsid w:val="009812C0"/>
    <w:rsid w:val="009833EC"/>
    <w:rsid w:val="00983581"/>
    <w:rsid w:val="00984DF4"/>
    <w:rsid w:val="00986A33"/>
    <w:rsid w:val="00986E2D"/>
    <w:rsid w:val="00990518"/>
    <w:rsid w:val="0099150B"/>
    <w:rsid w:val="0099204A"/>
    <w:rsid w:val="00993169"/>
    <w:rsid w:val="00994AAC"/>
    <w:rsid w:val="00995615"/>
    <w:rsid w:val="00996F81"/>
    <w:rsid w:val="009A0876"/>
    <w:rsid w:val="009A113B"/>
    <w:rsid w:val="009A20E2"/>
    <w:rsid w:val="009A3EFC"/>
    <w:rsid w:val="009A43CC"/>
    <w:rsid w:val="009A53A8"/>
    <w:rsid w:val="009A7420"/>
    <w:rsid w:val="009B0117"/>
    <w:rsid w:val="009B0225"/>
    <w:rsid w:val="009B0DF7"/>
    <w:rsid w:val="009B1554"/>
    <w:rsid w:val="009B1787"/>
    <w:rsid w:val="009B1EEF"/>
    <w:rsid w:val="009B2555"/>
    <w:rsid w:val="009B297D"/>
    <w:rsid w:val="009B32FD"/>
    <w:rsid w:val="009B44B4"/>
    <w:rsid w:val="009B5F09"/>
    <w:rsid w:val="009B765F"/>
    <w:rsid w:val="009B78B3"/>
    <w:rsid w:val="009B7EC4"/>
    <w:rsid w:val="009C1021"/>
    <w:rsid w:val="009C2262"/>
    <w:rsid w:val="009C4905"/>
    <w:rsid w:val="009C493F"/>
    <w:rsid w:val="009C5A47"/>
    <w:rsid w:val="009C6197"/>
    <w:rsid w:val="009C65B7"/>
    <w:rsid w:val="009C6F4C"/>
    <w:rsid w:val="009D07AA"/>
    <w:rsid w:val="009D181A"/>
    <w:rsid w:val="009D20F9"/>
    <w:rsid w:val="009D2288"/>
    <w:rsid w:val="009D2DA7"/>
    <w:rsid w:val="009D2E85"/>
    <w:rsid w:val="009D30BD"/>
    <w:rsid w:val="009D5F65"/>
    <w:rsid w:val="009D654A"/>
    <w:rsid w:val="009D70CA"/>
    <w:rsid w:val="009D77B1"/>
    <w:rsid w:val="009E1EFA"/>
    <w:rsid w:val="009E26E7"/>
    <w:rsid w:val="009E31D1"/>
    <w:rsid w:val="009E399C"/>
    <w:rsid w:val="009E43C6"/>
    <w:rsid w:val="009E4CF5"/>
    <w:rsid w:val="009E4F29"/>
    <w:rsid w:val="009E64BB"/>
    <w:rsid w:val="009E6DB9"/>
    <w:rsid w:val="009E7B22"/>
    <w:rsid w:val="009F1255"/>
    <w:rsid w:val="009F1C9C"/>
    <w:rsid w:val="009F2035"/>
    <w:rsid w:val="009F35BE"/>
    <w:rsid w:val="009F4D29"/>
    <w:rsid w:val="009F59B4"/>
    <w:rsid w:val="009F5E41"/>
    <w:rsid w:val="00A00839"/>
    <w:rsid w:val="00A0139B"/>
    <w:rsid w:val="00A016E2"/>
    <w:rsid w:val="00A0240E"/>
    <w:rsid w:val="00A03DF1"/>
    <w:rsid w:val="00A046E3"/>
    <w:rsid w:val="00A04A9B"/>
    <w:rsid w:val="00A05591"/>
    <w:rsid w:val="00A05FFD"/>
    <w:rsid w:val="00A068BA"/>
    <w:rsid w:val="00A06B4C"/>
    <w:rsid w:val="00A06E03"/>
    <w:rsid w:val="00A1198D"/>
    <w:rsid w:val="00A121F0"/>
    <w:rsid w:val="00A12429"/>
    <w:rsid w:val="00A1283C"/>
    <w:rsid w:val="00A13760"/>
    <w:rsid w:val="00A14584"/>
    <w:rsid w:val="00A15017"/>
    <w:rsid w:val="00A15D9D"/>
    <w:rsid w:val="00A1661A"/>
    <w:rsid w:val="00A1755C"/>
    <w:rsid w:val="00A218BE"/>
    <w:rsid w:val="00A21DB1"/>
    <w:rsid w:val="00A23133"/>
    <w:rsid w:val="00A24FA3"/>
    <w:rsid w:val="00A266E1"/>
    <w:rsid w:val="00A27E7B"/>
    <w:rsid w:val="00A30E94"/>
    <w:rsid w:val="00A32BA7"/>
    <w:rsid w:val="00A3306B"/>
    <w:rsid w:val="00A338D3"/>
    <w:rsid w:val="00A33FAB"/>
    <w:rsid w:val="00A34805"/>
    <w:rsid w:val="00A3484A"/>
    <w:rsid w:val="00A34DB5"/>
    <w:rsid w:val="00A35153"/>
    <w:rsid w:val="00A37750"/>
    <w:rsid w:val="00A378D4"/>
    <w:rsid w:val="00A405C8"/>
    <w:rsid w:val="00A4064C"/>
    <w:rsid w:val="00A4117F"/>
    <w:rsid w:val="00A4140A"/>
    <w:rsid w:val="00A41417"/>
    <w:rsid w:val="00A41EA8"/>
    <w:rsid w:val="00A4370D"/>
    <w:rsid w:val="00A437EB"/>
    <w:rsid w:val="00A43EA1"/>
    <w:rsid w:val="00A44F86"/>
    <w:rsid w:val="00A451AB"/>
    <w:rsid w:val="00A453F2"/>
    <w:rsid w:val="00A455B8"/>
    <w:rsid w:val="00A45C3C"/>
    <w:rsid w:val="00A502C2"/>
    <w:rsid w:val="00A518EF"/>
    <w:rsid w:val="00A52D08"/>
    <w:rsid w:val="00A52D71"/>
    <w:rsid w:val="00A530CD"/>
    <w:rsid w:val="00A53E77"/>
    <w:rsid w:val="00A54727"/>
    <w:rsid w:val="00A55A2A"/>
    <w:rsid w:val="00A56B0B"/>
    <w:rsid w:val="00A57002"/>
    <w:rsid w:val="00A6007D"/>
    <w:rsid w:val="00A6023E"/>
    <w:rsid w:val="00A60740"/>
    <w:rsid w:val="00A618F0"/>
    <w:rsid w:val="00A626FB"/>
    <w:rsid w:val="00A62D4D"/>
    <w:rsid w:val="00A644B1"/>
    <w:rsid w:val="00A64619"/>
    <w:rsid w:val="00A64E5D"/>
    <w:rsid w:val="00A65B80"/>
    <w:rsid w:val="00A66A5A"/>
    <w:rsid w:val="00A67A57"/>
    <w:rsid w:val="00A70C56"/>
    <w:rsid w:val="00A71251"/>
    <w:rsid w:val="00A730BB"/>
    <w:rsid w:val="00A739CE"/>
    <w:rsid w:val="00A74791"/>
    <w:rsid w:val="00A74988"/>
    <w:rsid w:val="00A753E1"/>
    <w:rsid w:val="00A76B14"/>
    <w:rsid w:val="00A770F5"/>
    <w:rsid w:val="00A82A46"/>
    <w:rsid w:val="00A84AC6"/>
    <w:rsid w:val="00A867B2"/>
    <w:rsid w:val="00A87C8F"/>
    <w:rsid w:val="00A92A8F"/>
    <w:rsid w:val="00A92E9A"/>
    <w:rsid w:val="00A9364A"/>
    <w:rsid w:val="00A952E6"/>
    <w:rsid w:val="00A961DB"/>
    <w:rsid w:val="00A9702B"/>
    <w:rsid w:val="00A97342"/>
    <w:rsid w:val="00A97BFD"/>
    <w:rsid w:val="00AA0EF5"/>
    <w:rsid w:val="00AA11F8"/>
    <w:rsid w:val="00AA1C0B"/>
    <w:rsid w:val="00AA1F67"/>
    <w:rsid w:val="00AA2457"/>
    <w:rsid w:val="00AA3EE3"/>
    <w:rsid w:val="00AA5367"/>
    <w:rsid w:val="00AA6CE7"/>
    <w:rsid w:val="00AA6F9B"/>
    <w:rsid w:val="00AA6FB2"/>
    <w:rsid w:val="00AB0324"/>
    <w:rsid w:val="00AB0D3E"/>
    <w:rsid w:val="00AB0E45"/>
    <w:rsid w:val="00AB1749"/>
    <w:rsid w:val="00AB1BD6"/>
    <w:rsid w:val="00AB2049"/>
    <w:rsid w:val="00AB2400"/>
    <w:rsid w:val="00AB2A08"/>
    <w:rsid w:val="00AB3944"/>
    <w:rsid w:val="00AB49DB"/>
    <w:rsid w:val="00AB50E9"/>
    <w:rsid w:val="00AB52BB"/>
    <w:rsid w:val="00AB5A0D"/>
    <w:rsid w:val="00AB6589"/>
    <w:rsid w:val="00AB741F"/>
    <w:rsid w:val="00AB7770"/>
    <w:rsid w:val="00AC015E"/>
    <w:rsid w:val="00AC22BC"/>
    <w:rsid w:val="00AC2AA9"/>
    <w:rsid w:val="00AC3816"/>
    <w:rsid w:val="00AC5404"/>
    <w:rsid w:val="00AC59A3"/>
    <w:rsid w:val="00AC672A"/>
    <w:rsid w:val="00AC6A2C"/>
    <w:rsid w:val="00AC6F67"/>
    <w:rsid w:val="00AC75F4"/>
    <w:rsid w:val="00AC77AE"/>
    <w:rsid w:val="00AC7DAB"/>
    <w:rsid w:val="00AD2D1E"/>
    <w:rsid w:val="00AD6280"/>
    <w:rsid w:val="00AD7126"/>
    <w:rsid w:val="00AE1B50"/>
    <w:rsid w:val="00AE1D92"/>
    <w:rsid w:val="00AE1EA6"/>
    <w:rsid w:val="00AE219F"/>
    <w:rsid w:val="00AE27D1"/>
    <w:rsid w:val="00AE2FFB"/>
    <w:rsid w:val="00AE3C38"/>
    <w:rsid w:val="00AE444B"/>
    <w:rsid w:val="00AE4711"/>
    <w:rsid w:val="00AF05F2"/>
    <w:rsid w:val="00AF0980"/>
    <w:rsid w:val="00AF0A55"/>
    <w:rsid w:val="00AF1B24"/>
    <w:rsid w:val="00AF2534"/>
    <w:rsid w:val="00AF285E"/>
    <w:rsid w:val="00AF3294"/>
    <w:rsid w:val="00AF3915"/>
    <w:rsid w:val="00AF3A38"/>
    <w:rsid w:val="00AF42C2"/>
    <w:rsid w:val="00AF44AD"/>
    <w:rsid w:val="00AF5230"/>
    <w:rsid w:val="00AF5D9E"/>
    <w:rsid w:val="00AF5DA9"/>
    <w:rsid w:val="00AF6FD1"/>
    <w:rsid w:val="00AF6FFD"/>
    <w:rsid w:val="00B00D8F"/>
    <w:rsid w:val="00B012A9"/>
    <w:rsid w:val="00B02364"/>
    <w:rsid w:val="00B029B3"/>
    <w:rsid w:val="00B02D77"/>
    <w:rsid w:val="00B032A7"/>
    <w:rsid w:val="00B0404C"/>
    <w:rsid w:val="00B04B3C"/>
    <w:rsid w:val="00B04B54"/>
    <w:rsid w:val="00B057F6"/>
    <w:rsid w:val="00B0653F"/>
    <w:rsid w:val="00B07133"/>
    <w:rsid w:val="00B108FB"/>
    <w:rsid w:val="00B10D44"/>
    <w:rsid w:val="00B11352"/>
    <w:rsid w:val="00B11799"/>
    <w:rsid w:val="00B11ACE"/>
    <w:rsid w:val="00B1233D"/>
    <w:rsid w:val="00B126DB"/>
    <w:rsid w:val="00B13BA6"/>
    <w:rsid w:val="00B13D72"/>
    <w:rsid w:val="00B13EE3"/>
    <w:rsid w:val="00B152B7"/>
    <w:rsid w:val="00B172F6"/>
    <w:rsid w:val="00B17CB1"/>
    <w:rsid w:val="00B20A71"/>
    <w:rsid w:val="00B20DE9"/>
    <w:rsid w:val="00B21242"/>
    <w:rsid w:val="00B21640"/>
    <w:rsid w:val="00B218CB"/>
    <w:rsid w:val="00B21FCF"/>
    <w:rsid w:val="00B221AD"/>
    <w:rsid w:val="00B2257B"/>
    <w:rsid w:val="00B241F9"/>
    <w:rsid w:val="00B27FD4"/>
    <w:rsid w:val="00B309D4"/>
    <w:rsid w:val="00B30F20"/>
    <w:rsid w:val="00B31B0F"/>
    <w:rsid w:val="00B31CFC"/>
    <w:rsid w:val="00B3224B"/>
    <w:rsid w:val="00B32B79"/>
    <w:rsid w:val="00B33F24"/>
    <w:rsid w:val="00B33F9B"/>
    <w:rsid w:val="00B3443D"/>
    <w:rsid w:val="00B350A6"/>
    <w:rsid w:val="00B3766F"/>
    <w:rsid w:val="00B3781F"/>
    <w:rsid w:val="00B37B7A"/>
    <w:rsid w:val="00B40714"/>
    <w:rsid w:val="00B40FC4"/>
    <w:rsid w:val="00B4119A"/>
    <w:rsid w:val="00B41677"/>
    <w:rsid w:val="00B41FCE"/>
    <w:rsid w:val="00B427DE"/>
    <w:rsid w:val="00B42C18"/>
    <w:rsid w:val="00B435D3"/>
    <w:rsid w:val="00B43D2E"/>
    <w:rsid w:val="00B458E1"/>
    <w:rsid w:val="00B45E73"/>
    <w:rsid w:val="00B46D3C"/>
    <w:rsid w:val="00B47403"/>
    <w:rsid w:val="00B50952"/>
    <w:rsid w:val="00B50FDB"/>
    <w:rsid w:val="00B5282E"/>
    <w:rsid w:val="00B52AB2"/>
    <w:rsid w:val="00B5400C"/>
    <w:rsid w:val="00B57AF7"/>
    <w:rsid w:val="00B6472A"/>
    <w:rsid w:val="00B65514"/>
    <w:rsid w:val="00B66B45"/>
    <w:rsid w:val="00B70807"/>
    <w:rsid w:val="00B7293A"/>
    <w:rsid w:val="00B72A60"/>
    <w:rsid w:val="00B72C52"/>
    <w:rsid w:val="00B743EF"/>
    <w:rsid w:val="00B74ABD"/>
    <w:rsid w:val="00B75A05"/>
    <w:rsid w:val="00B76E97"/>
    <w:rsid w:val="00B77903"/>
    <w:rsid w:val="00B83FF5"/>
    <w:rsid w:val="00B8435A"/>
    <w:rsid w:val="00B849BE"/>
    <w:rsid w:val="00B8511D"/>
    <w:rsid w:val="00B856AF"/>
    <w:rsid w:val="00B87BCE"/>
    <w:rsid w:val="00B90A2B"/>
    <w:rsid w:val="00B91C36"/>
    <w:rsid w:val="00B91E57"/>
    <w:rsid w:val="00B92442"/>
    <w:rsid w:val="00B92645"/>
    <w:rsid w:val="00B93570"/>
    <w:rsid w:val="00B935C0"/>
    <w:rsid w:val="00B94357"/>
    <w:rsid w:val="00B94ADB"/>
    <w:rsid w:val="00B9512B"/>
    <w:rsid w:val="00B961BE"/>
    <w:rsid w:val="00B96D2A"/>
    <w:rsid w:val="00B96F13"/>
    <w:rsid w:val="00B97A69"/>
    <w:rsid w:val="00BA028E"/>
    <w:rsid w:val="00BA06F4"/>
    <w:rsid w:val="00BA0A82"/>
    <w:rsid w:val="00BA0C56"/>
    <w:rsid w:val="00BA161E"/>
    <w:rsid w:val="00BA249C"/>
    <w:rsid w:val="00BA2E70"/>
    <w:rsid w:val="00BA308B"/>
    <w:rsid w:val="00BA3202"/>
    <w:rsid w:val="00BA3444"/>
    <w:rsid w:val="00BA51B6"/>
    <w:rsid w:val="00BA6353"/>
    <w:rsid w:val="00BA7134"/>
    <w:rsid w:val="00BA74EB"/>
    <w:rsid w:val="00BA7A24"/>
    <w:rsid w:val="00BB0268"/>
    <w:rsid w:val="00BB62BF"/>
    <w:rsid w:val="00BB68A8"/>
    <w:rsid w:val="00BB6E91"/>
    <w:rsid w:val="00BB774E"/>
    <w:rsid w:val="00BB7A2F"/>
    <w:rsid w:val="00BC1095"/>
    <w:rsid w:val="00BC12DD"/>
    <w:rsid w:val="00BC19C7"/>
    <w:rsid w:val="00BC1CDD"/>
    <w:rsid w:val="00BC1D6C"/>
    <w:rsid w:val="00BC3C83"/>
    <w:rsid w:val="00BC452E"/>
    <w:rsid w:val="00BC4AF7"/>
    <w:rsid w:val="00BC533F"/>
    <w:rsid w:val="00BC68C4"/>
    <w:rsid w:val="00BD1AE8"/>
    <w:rsid w:val="00BD2323"/>
    <w:rsid w:val="00BD2FB0"/>
    <w:rsid w:val="00BD35CC"/>
    <w:rsid w:val="00BD7F23"/>
    <w:rsid w:val="00BE1DB2"/>
    <w:rsid w:val="00BE27DC"/>
    <w:rsid w:val="00BE3B65"/>
    <w:rsid w:val="00BE4A5B"/>
    <w:rsid w:val="00BE4E31"/>
    <w:rsid w:val="00BE6B81"/>
    <w:rsid w:val="00BF14D8"/>
    <w:rsid w:val="00BF1508"/>
    <w:rsid w:val="00BF1568"/>
    <w:rsid w:val="00BF24E6"/>
    <w:rsid w:val="00BF3CE3"/>
    <w:rsid w:val="00BF478D"/>
    <w:rsid w:val="00BF4A5B"/>
    <w:rsid w:val="00BF62ED"/>
    <w:rsid w:val="00C03C49"/>
    <w:rsid w:val="00C05D9C"/>
    <w:rsid w:val="00C068F4"/>
    <w:rsid w:val="00C0784C"/>
    <w:rsid w:val="00C10C1B"/>
    <w:rsid w:val="00C113C9"/>
    <w:rsid w:val="00C13E7C"/>
    <w:rsid w:val="00C15AE0"/>
    <w:rsid w:val="00C213C1"/>
    <w:rsid w:val="00C213E4"/>
    <w:rsid w:val="00C232B0"/>
    <w:rsid w:val="00C23E1C"/>
    <w:rsid w:val="00C2448E"/>
    <w:rsid w:val="00C265FA"/>
    <w:rsid w:val="00C2762D"/>
    <w:rsid w:val="00C31880"/>
    <w:rsid w:val="00C31ADF"/>
    <w:rsid w:val="00C334E0"/>
    <w:rsid w:val="00C33966"/>
    <w:rsid w:val="00C345F6"/>
    <w:rsid w:val="00C35B1A"/>
    <w:rsid w:val="00C3607B"/>
    <w:rsid w:val="00C36130"/>
    <w:rsid w:val="00C368B9"/>
    <w:rsid w:val="00C37D2C"/>
    <w:rsid w:val="00C41345"/>
    <w:rsid w:val="00C42488"/>
    <w:rsid w:val="00C43728"/>
    <w:rsid w:val="00C441DB"/>
    <w:rsid w:val="00C448B8"/>
    <w:rsid w:val="00C454D7"/>
    <w:rsid w:val="00C50FC3"/>
    <w:rsid w:val="00C51378"/>
    <w:rsid w:val="00C53229"/>
    <w:rsid w:val="00C53852"/>
    <w:rsid w:val="00C54020"/>
    <w:rsid w:val="00C54CC5"/>
    <w:rsid w:val="00C567E5"/>
    <w:rsid w:val="00C56F83"/>
    <w:rsid w:val="00C5784E"/>
    <w:rsid w:val="00C61CE9"/>
    <w:rsid w:val="00C62C5C"/>
    <w:rsid w:val="00C63341"/>
    <w:rsid w:val="00C63F62"/>
    <w:rsid w:val="00C64067"/>
    <w:rsid w:val="00C65ED1"/>
    <w:rsid w:val="00C6684B"/>
    <w:rsid w:val="00C677A0"/>
    <w:rsid w:val="00C70C6C"/>
    <w:rsid w:val="00C70EFC"/>
    <w:rsid w:val="00C713F8"/>
    <w:rsid w:val="00C75103"/>
    <w:rsid w:val="00C764BE"/>
    <w:rsid w:val="00C7666D"/>
    <w:rsid w:val="00C768AD"/>
    <w:rsid w:val="00C776D3"/>
    <w:rsid w:val="00C80292"/>
    <w:rsid w:val="00C803BB"/>
    <w:rsid w:val="00C80956"/>
    <w:rsid w:val="00C830A1"/>
    <w:rsid w:val="00C83271"/>
    <w:rsid w:val="00C83388"/>
    <w:rsid w:val="00C8370C"/>
    <w:rsid w:val="00C8570C"/>
    <w:rsid w:val="00C86E74"/>
    <w:rsid w:val="00C9116C"/>
    <w:rsid w:val="00C917B5"/>
    <w:rsid w:val="00C922CB"/>
    <w:rsid w:val="00C926B5"/>
    <w:rsid w:val="00C93E58"/>
    <w:rsid w:val="00C94FB4"/>
    <w:rsid w:val="00C95777"/>
    <w:rsid w:val="00C96141"/>
    <w:rsid w:val="00C9695F"/>
    <w:rsid w:val="00CA081D"/>
    <w:rsid w:val="00CA0836"/>
    <w:rsid w:val="00CA0EC4"/>
    <w:rsid w:val="00CA0FE5"/>
    <w:rsid w:val="00CA1913"/>
    <w:rsid w:val="00CA31B5"/>
    <w:rsid w:val="00CA4A16"/>
    <w:rsid w:val="00CA4C8C"/>
    <w:rsid w:val="00CA4DEA"/>
    <w:rsid w:val="00CA5E94"/>
    <w:rsid w:val="00CA64AE"/>
    <w:rsid w:val="00CA6B2D"/>
    <w:rsid w:val="00CA6DD0"/>
    <w:rsid w:val="00CA74C4"/>
    <w:rsid w:val="00CA7618"/>
    <w:rsid w:val="00CA7F0D"/>
    <w:rsid w:val="00CB1C29"/>
    <w:rsid w:val="00CB3171"/>
    <w:rsid w:val="00CB406B"/>
    <w:rsid w:val="00CB71D0"/>
    <w:rsid w:val="00CB7652"/>
    <w:rsid w:val="00CB7AE0"/>
    <w:rsid w:val="00CC0A37"/>
    <w:rsid w:val="00CC0B1D"/>
    <w:rsid w:val="00CC1B45"/>
    <w:rsid w:val="00CC2479"/>
    <w:rsid w:val="00CC2866"/>
    <w:rsid w:val="00CC3E3F"/>
    <w:rsid w:val="00CC4373"/>
    <w:rsid w:val="00CC437A"/>
    <w:rsid w:val="00CC57A2"/>
    <w:rsid w:val="00CC5A3E"/>
    <w:rsid w:val="00CC5E10"/>
    <w:rsid w:val="00CD0B5B"/>
    <w:rsid w:val="00CD2282"/>
    <w:rsid w:val="00CD2B05"/>
    <w:rsid w:val="00CD3F8A"/>
    <w:rsid w:val="00CD4589"/>
    <w:rsid w:val="00CD5CB7"/>
    <w:rsid w:val="00CD5FFC"/>
    <w:rsid w:val="00CD60A3"/>
    <w:rsid w:val="00CD66F3"/>
    <w:rsid w:val="00CD680D"/>
    <w:rsid w:val="00CD687D"/>
    <w:rsid w:val="00CD6F78"/>
    <w:rsid w:val="00CD734D"/>
    <w:rsid w:val="00CD7E3F"/>
    <w:rsid w:val="00CE1B9D"/>
    <w:rsid w:val="00CE261E"/>
    <w:rsid w:val="00CE263D"/>
    <w:rsid w:val="00CE3000"/>
    <w:rsid w:val="00CE301D"/>
    <w:rsid w:val="00CE3B7C"/>
    <w:rsid w:val="00CE3F7A"/>
    <w:rsid w:val="00CE5746"/>
    <w:rsid w:val="00CE5F3C"/>
    <w:rsid w:val="00CE62D7"/>
    <w:rsid w:val="00CE69E7"/>
    <w:rsid w:val="00CE7246"/>
    <w:rsid w:val="00CE7A35"/>
    <w:rsid w:val="00CF00DA"/>
    <w:rsid w:val="00CF06EB"/>
    <w:rsid w:val="00CF38B9"/>
    <w:rsid w:val="00CF39AD"/>
    <w:rsid w:val="00CF3BFA"/>
    <w:rsid w:val="00CF4438"/>
    <w:rsid w:val="00CF4708"/>
    <w:rsid w:val="00CF5316"/>
    <w:rsid w:val="00CF545C"/>
    <w:rsid w:val="00CF5475"/>
    <w:rsid w:val="00CF588A"/>
    <w:rsid w:val="00CF72C4"/>
    <w:rsid w:val="00CF74E4"/>
    <w:rsid w:val="00CF7A8E"/>
    <w:rsid w:val="00D0064B"/>
    <w:rsid w:val="00D01961"/>
    <w:rsid w:val="00D02640"/>
    <w:rsid w:val="00D02CD0"/>
    <w:rsid w:val="00D03039"/>
    <w:rsid w:val="00D0352F"/>
    <w:rsid w:val="00D03973"/>
    <w:rsid w:val="00D048EE"/>
    <w:rsid w:val="00D04B35"/>
    <w:rsid w:val="00D061FE"/>
    <w:rsid w:val="00D06726"/>
    <w:rsid w:val="00D0799C"/>
    <w:rsid w:val="00D07BCE"/>
    <w:rsid w:val="00D10693"/>
    <w:rsid w:val="00D112A5"/>
    <w:rsid w:val="00D112F9"/>
    <w:rsid w:val="00D1197B"/>
    <w:rsid w:val="00D12901"/>
    <w:rsid w:val="00D13E10"/>
    <w:rsid w:val="00D13EDB"/>
    <w:rsid w:val="00D14FFC"/>
    <w:rsid w:val="00D15465"/>
    <w:rsid w:val="00D15B7F"/>
    <w:rsid w:val="00D16D08"/>
    <w:rsid w:val="00D202B4"/>
    <w:rsid w:val="00D218DE"/>
    <w:rsid w:val="00D22BF8"/>
    <w:rsid w:val="00D24C30"/>
    <w:rsid w:val="00D2630B"/>
    <w:rsid w:val="00D3179D"/>
    <w:rsid w:val="00D32A78"/>
    <w:rsid w:val="00D32AFD"/>
    <w:rsid w:val="00D32C3C"/>
    <w:rsid w:val="00D3444F"/>
    <w:rsid w:val="00D349C2"/>
    <w:rsid w:val="00D34C0A"/>
    <w:rsid w:val="00D35A01"/>
    <w:rsid w:val="00D35DC9"/>
    <w:rsid w:val="00D36EDE"/>
    <w:rsid w:val="00D37DE9"/>
    <w:rsid w:val="00D40865"/>
    <w:rsid w:val="00D40F5C"/>
    <w:rsid w:val="00D4183F"/>
    <w:rsid w:val="00D42097"/>
    <w:rsid w:val="00D42147"/>
    <w:rsid w:val="00D4242E"/>
    <w:rsid w:val="00D424DD"/>
    <w:rsid w:val="00D425A9"/>
    <w:rsid w:val="00D429AC"/>
    <w:rsid w:val="00D43260"/>
    <w:rsid w:val="00D4344F"/>
    <w:rsid w:val="00D43742"/>
    <w:rsid w:val="00D4415D"/>
    <w:rsid w:val="00D4471E"/>
    <w:rsid w:val="00D448EF"/>
    <w:rsid w:val="00D46AF1"/>
    <w:rsid w:val="00D46F0A"/>
    <w:rsid w:val="00D47E67"/>
    <w:rsid w:val="00D52731"/>
    <w:rsid w:val="00D55068"/>
    <w:rsid w:val="00D55F22"/>
    <w:rsid w:val="00D56D2A"/>
    <w:rsid w:val="00D619EC"/>
    <w:rsid w:val="00D627F9"/>
    <w:rsid w:val="00D62D43"/>
    <w:rsid w:val="00D6351F"/>
    <w:rsid w:val="00D64567"/>
    <w:rsid w:val="00D64D95"/>
    <w:rsid w:val="00D6670D"/>
    <w:rsid w:val="00D66C95"/>
    <w:rsid w:val="00D678CA"/>
    <w:rsid w:val="00D67E8E"/>
    <w:rsid w:val="00D7063F"/>
    <w:rsid w:val="00D71083"/>
    <w:rsid w:val="00D71853"/>
    <w:rsid w:val="00D71C41"/>
    <w:rsid w:val="00D71D13"/>
    <w:rsid w:val="00D7292D"/>
    <w:rsid w:val="00D7484E"/>
    <w:rsid w:val="00D75422"/>
    <w:rsid w:val="00D75B09"/>
    <w:rsid w:val="00D76B4E"/>
    <w:rsid w:val="00D77839"/>
    <w:rsid w:val="00D8112C"/>
    <w:rsid w:val="00D81AAF"/>
    <w:rsid w:val="00D8218B"/>
    <w:rsid w:val="00D82908"/>
    <w:rsid w:val="00D82C69"/>
    <w:rsid w:val="00D834A2"/>
    <w:rsid w:val="00D845A1"/>
    <w:rsid w:val="00D848B7"/>
    <w:rsid w:val="00D85C0D"/>
    <w:rsid w:val="00D92765"/>
    <w:rsid w:val="00D930AB"/>
    <w:rsid w:val="00D9425C"/>
    <w:rsid w:val="00D94A14"/>
    <w:rsid w:val="00D96DFF"/>
    <w:rsid w:val="00D97EEF"/>
    <w:rsid w:val="00DA0530"/>
    <w:rsid w:val="00DA18DB"/>
    <w:rsid w:val="00DA1A9B"/>
    <w:rsid w:val="00DA20E5"/>
    <w:rsid w:val="00DA26BE"/>
    <w:rsid w:val="00DA26E9"/>
    <w:rsid w:val="00DA2B98"/>
    <w:rsid w:val="00DA3F48"/>
    <w:rsid w:val="00DB0152"/>
    <w:rsid w:val="00DB16E4"/>
    <w:rsid w:val="00DB2072"/>
    <w:rsid w:val="00DB2539"/>
    <w:rsid w:val="00DB298D"/>
    <w:rsid w:val="00DB3637"/>
    <w:rsid w:val="00DB5C0E"/>
    <w:rsid w:val="00DB6F85"/>
    <w:rsid w:val="00DB6F99"/>
    <w:rsid w:val="00DB778D"/>
    <w:rsid w:val="00DC14A9"/>
    <w:rsid w:val="00DC2D3F"/>
    <w:rsid w:val="00DC4E41"/>
    <w:rsid w:val="00DC6ACF"/>
    <w:rsid w:val="00DD27EE"/>
    <w:rsid w:val="00DD2993"/>
    <w:rsid w:val="00DD3AC8"/>
    <w:rsid w:val="00DD41A2"/>
    <w:rsid w:val="00DD491C"/>
    <w:rsid w:val="00DD4A1B"/>
    <w:rsid w:val="00DD565C"/>
    <w:rsid w:val="00DD5DC4"/>
    <w:rsid w:val="00DD7AD8"/>
    <w:rsid w:val="00DD7F71"/>
    <w:rsid w:val="00DE1BF7"/>
    <w:rsid w:val="00DE200E"/>
    <w:rsid w:val="00DE2EF8"/>
    <w:rsid w:val="00DE3B4F"/>
    <w:rsid w:val="00DE3D0A"/>
    <w:rsid w:val="00DE478B"/>
    <w:rsid w:val="00DE5731"/>
    <w:rsid w:val="00DE5FD3"/>
    <w:rsid w:val="00DE6599"/>
    <w:rsid w:val="00DE6EB3"/>
    <w:rsid w:val="00DE7675"/>
    <w:rsid w:val="00DF0F20"/>
    <w:rsid w:val="00DF296A"/>
    <w:rsid w:val="00DF2A39"/>
    <w:rsid w:val="00DF3D61"/>
    <w:rsid w:val="00DF3F38"/>
    <w:rsid w:val="00DF73FD"/>
    <w:rsid w:val="00E02461"/>
    <w:rsid w:val="00E037C3"/>
    <w:rsid w:val="00E057C9"/>
    <w:rsid w:val="00E069FE"/>
    <w:rsid w:val="00E06CC3"/>
    <w:rsid w:val="00E07783"/>
    <w:rsid w:val="00E07CDA"/>
    <w:rsid w:val="00E106E5"/>
    <w:rsid w:val="00E10CC2"/>
    <w:rsid w:val="00E11197"/>
    <w:rsid w:val="00E11424"/>
    <w:rsid w:val="00E11FE5"/>
    <w:rsid w:val="00E12696"/>
    <w:rsid w:val="00E1278B"/>
    <w:rsid w:val="00E1387B"/>
    <w:rsid w:val="00E14273"/>
    <w:rsid w:val="00E1509A"/>
    <w:rsid w:val="00E15562"/>
    <w:rsid w:val="00E156DC"/>
    <w:rsid w:val="00E170BE"/>
    <w:rsid w:val="00E17330"/>
    <w:rsid w:val="00E1762C"/>
    <w:rsid w:val="00E17688"/>
    <w:rsid w:val="00E2036B"/>
    <w:rsid w:val="00E2050A"/>
    <w:rsid w:val="00E2287E"/>
    <w:rsid w:val="00E22FCF"/>
    <w:rsid w:val="00E2468B"/>
    <w:rsid w:val="00E2484A"/>
    <w:rsid w:val="00E25AD4"/>
    <w:rsid w:val="00E30AEC"/>
    <w:rsid w:val="00E30E59"/>
    <w:rsid w:val="00E30EFE"/>
    <w:rsid w:val="00E31BC8"/>
    <w:rsid w:val="00E329F8"/>
    <w:rsid w:val="00E33085"/>
    <w:rsid w:val="00E3424F"/>
    <w:rsid w:val="00E349A5"/>
    <w:rsid w:val="00E350DE"/>
    <w:rsid w:val="00E35B67"/>
    <w:rsid w:val="00E42DBB"/>
    <w:rsid w:val="00E43ADA"/>
    <w:rsid w:val="00E44A00"/>
    <w:rsid w:val="00E45825"/>
    <w:rsid w:val="00E462DD"/>
    <w:rsid w:val="00E46BF8"/>
    <w:rsid w:val="00E472C8"/>
    <w:rsid w:val="00E518F0"/>
    <w:rsid w:val="00E5266B"/>
    <w:rsid w:val="00E529D9"/>
    <w:rsid w:val="00E52BC6"/>
    <w:rsid w:val="00E54227"/>
    <w:rsid w:val="00E54AFC"/>
    <w:rsid w:val="00E54E91"/>
    <w:rsid w:val="00E551B6"/>
    <w:rsid w:val="00E551B9"/>
    <w:rsid w:val="00E5535A"/>
    <w:rsid w:val="00E566FC"/>
    <w:rsid w:val="00E577BB"/>
    <w:rsid w:val="00E60C95"/>
    <w:rsid w:val="00E61D03"/>
    <w:rsid w:val="00E63A18"/>
    <w:rsid w:val="00E63DDE"/>
    <w:rsid w:val="00E64358"/>
    <w:rsid w:val="00E65F4D"/>
    <w:rsid w:val="00E67BBA"/>
    <w:rsid w:val="00E70888"/>
    <w:rsid w:val="00E70BF5"/>
    <w:rsid w:val="00E725D9"/>
    <w:rsid w:val="00E727E1"/>
    <w:rsid w:val="00E7330D"/>
    <w:rsid w:val="00E739C7"/>
    <w:rsid w:val="00E766F8"/>
    <w:rsid w:val="00E775A3"/>
    <w:rsid w:val="00E800F9"/>
    <w:rsid w:val="00E81483"/>
    <w:rsid w:val="00E836B3"/>
    <w:rsid w:val="00E83F00"/>
    <w:rsid w:val="00E8433A"/>
    <w:rsid w:val="00E85ADB"/>
    <w:rsid w:val="00E86340"/>
    <w:rsid w:val="00E9148F"/>
    <w:rsid w:val="00E91F6B"/>
    <w:rsid w:val="00E93745"/>
    <w:rsid w:val="00E94064"/>
    <w:rsid w:val="00E946FA"/>
    <w:rsid w:val="00E9505F"/>
    <w:rsid w:val="00E95D16"/>
    <w:rsid w:val="00E9660B"/>
    <w:rsid w:val="00E966AC"/>
    <w:rsid w:val="00E96E31"/>
    <w:rsid w:val="00E96EC8"/>
    <w:rsid w:val="00E97D9D"/>
    <w:rsid w:val="00E97F83"/>
    <w:rsid w:val="00EA0C62"/>
    <w:rsid w:val="00EA33B1"/>
    <w:rsid w:val="00EA348B"/>
    <w:rsid w:val="00EA3AD8"/>
    <w:rsid w:val="00EA4858"/>
    <w:rsid w:val="00EA50CD"/>
    <w:rsid w:val="00EA60C6"/>
    <w:rsid w:val="00EA796C"/>
    <w:rsid w:val="00EA7B0A"/>
    <w:rsid w:val="00EA7E0D"/>
    <w:rsid w:val="00EB0046"/>
    <w:rsid w:val="00EB05E5"/>
    <w:rsid w:val="00EB2999"/>
    <w:rsid w:val="00EB51BE"/>
    <w:rsid w:val="00EB5E9E"/>
    <w:rsid w:val="00EB5F3B"/>
    <w:rsid w:val="00EB5F9D"/>
    <w:rsid w:val="00EB6272"/>
    <w:rsid w:val="00EB6DB1"/>
    <w:rsid w:val="00EB7104"/>
    <w:rsid w:val="00EC1809"/>
    <w:rsid w:val="00EC18E7"/>
    <w:rsid w:val="00EC1A4B"/>
    <w:rsid w:val="00EC2F1D"/>
    <w:rsid w:val="00EC343F"/>
    <w:rsid w:val="00EC4416"/>
    <w:rsid w:val="00EC6A75"/>
    <w:rsid w:val="00EC6B15"/>
    <w:rsid w:val="00ED0796"/>
    <w:rsid w:val="00ED214E"/>
    <w:rsid w:val="00ED257A"/>
    <w:rsid w:val="00ED4199"/>
    <w:rsid w:val="00ED51DD"/>
    <w:rsid w:val="00ED6527"/>
    <w:rsid w:val="00ED7289"/>
    <w:rsid w:val="00EE0660"/>
    <w:rsid w:val="00EE1C4C"/>
    <w:rsid w:val="00EE2D94"/>
    <w:rsid w:val="00EE2F17"/>
    <w:rsid w:val="00EE3BC0"/>
    <w:rsid w:val="00EE40A3"/>
    <w:rsid w:val="00EE4FF9"/>
    <w:rsid w:val="00EF0D29"/>
    <w:rsid w:val="00EF116C"/>
    <w:rsid w:val="00EF1654"/>
    <w:rsid w:val="00EF5AFB"/>
    <w:rsid w:val="00F002F0"/>
    <w:rsid w:val="00F01377"/>
    <w:rsid w:val="00F01563"/>
    <w:rsid w:val="00F01906"/>
    <w:rsid w:val="00F036CA"/>
    <w:rsid w:val="00F03ED1"/>
    <w:rsid w:val="00F06A5A"/>
    <w:rsid w:val="00F06F0D"/>
    <w:rsid w:val="00F0731A"/>
    <w:rsid w:val="00F078AA"/>
    <w:rsid w:val="00F07E07"/>
    <w:rsid w:val="00F1017E"/>
    <w:rsid w:val="00F10213"/>
    <w:rsid w:val="00F1096E"/>
    <w:rsid w:val="00F11B97"/>
    <w:rsid w:val="00F1202E"/>
    <w:rsid w:val="00F12974"/>
    <w:rsid w:val="00F13DEC"/>
    <w:rsid w:val="00F14D57"/>
    <w:rsid w:val="00F1542F"/>
    <w:rsid w:val="00F15C9D"/>
    <w:rsid w:val="00F15CDF"/>
    <w:rsid w:val="00F15F54"/>
    <w:rsid w:val="00F1629C"/>
    <w:rsid w:val="00F166B3"/>
    <w:rsid w:val="00F16CF4"/>
    <w:rsid w:val="00F17B39"/>
    <w:rsid w:val="00F20788"/>
    <w:rsid w:val="00F2150E"/>
    <w:rsid w:val="00F21FF9"/>
    <w:rsid w:val="00F2242F"/>
    <w:rsid w:val="00F22780"/>
    <w:rsid w:val="00F245D8"/>
    <w:rsid w:val="00F25A49"/>
    <w:rsid w:val="00F25D4E"/>
    <w:rsid w:val="00F26051"/>
    <w:rsid w:val="00F269AC"/>
    <w:rsid w:val="00F27CCC"/>
    <w:rsid w:val="00F30E6E"/>
    <w:rsid w:val="00F321C4"/>
    <w:rsid w:val="00F327B9"/>
    <w:rsid w:val="00F32A8B"/>
    <w:rsid w:val="00F32FBA"/>
    <w:rsid w:val="00F338FB"/>
    <w:rsid w:val="00F34877"/>
    <w:rsid w:val="00F351F7"/>
    <w:rsid w:val="00F36209"/>
    <w:rsid w:val="00F375AB"/>
    <w:rsid w:val="00F37D37"/>
    <w:rsid w:val="00F403E7"/>
    <w:rsid w:val="00F40A3A"/>
    <w:rsid w:val="00F4282D"/>
    <w:rsid w:val="00F43D20"/>
    <w:rsid w:val="00F45472"/>
    <w:rsid w:val="00F46B30"/>
    <w:rsid w:val="00F47B83"/>
    <w:rsid w:val="00F47E8F"/>
    <w:rsid w:val="00F515AE"/>
    <w:rsid w:val="00F53805"/>
    <w:rsid w:val="00F54BB7"/>
    <w:rsid w:val="00F54E95"/>
    <w:rsid w:val="00F551B6"/>
    <w:rsid w:val="00F55235"/>
    <w:rsid w:val="00F55ED5"/>
    <w:rsid w:val="00F56A4F"/>
    <w:rsid w:val="00F57210"/>
    <w:rsid w:val="00F57CA0"/>
    <w:rsid w:val="00F60B40"/>
    <w:rsid w:val="00F61F48"/>
    <w:rsid w:val="00F6305D"/>
    <w:rsid w:val="00F65021"/>
    <w:rsid w:val="00F65A52"/>
    <w:rsid w:val="00F65C9C"/>
    <w:rsid w:val="00F70026"/>
    <w:rsid w:val="00F705F6"/>
    <w:rsid w:val="00F70F4C"/>
    <w:rsid w:val="00F71750"/>
    <w:rsid w:val="00F7280B"/>
    <w:rsid w:val="00F737FA"/>
    <w:rsid w:val="00F73E59"/>
    <w:rsid w:val="00F74322"/>
    <w:rsid w:val="00F74600"/>
    <w:rsid w:val="00F74A1B"/>
    <w:rsid w:val="00F75940"/>
    <w:rsid w:val="00F76283"/>
    <w:rsid w:val="00F803FE"/>
    <w:rsid w:val="00F80FB5"/>
    <w:rsid w:val="00F81058"/>
    <w:rsid w:val="00F818BF"/>
    <w:rsid w:val="00F82CCC"/>
    <w:rsid w:val="00F85242"/>
    <w:rsid w:val="00F85843"/>
    <w:rsid w:val="00F8587E"/>
    <w:rsid w:val="00F8751D"/>
    <w:rsid w:val="00F90E6C"/>
    <w:rsid w:val="00F91929"/>
    <w:rsid w:val="00F93417"/>
    <w:rsid w:val="00F93588"/>
    <w:rsid w:val="00F9378C"/>
    <w:rsid w:val="00F93A5F"/>
    <w:rsid w:val="00F9461C"/>
    <w:rsid w:val="00F94658"/>
    <w:rsid w:val="00F95AF0"/>
    <w:rsid w:val="00F96404"/>
    <w:rsid w:val="00FA0709"/>
    <w:rsid w:val="00FA0D51"/>
    <w:rsid w:val="00FA1853"/>
    <w:rsid w:val="00FA317B"/>
    <w:rsid w:val="00FA510E"/>
    <w:rsid w:val="00FA5AD7"/>
    <w:rsid w:val="00FA6BBC"/>
    <w:rsid w:val="00FB0074"/>
    <w:rsid w:val="00FB08E8"/>
    <w:rsid w:val="00FB19EB"/>
    <w:rsid w:val="00FB26D5"/>
    <w:rsid w:val="00FB2AE0"/>
    <w:rsid w:val="00FB4848"/>
    <w:rsid w:val="00FB5071"/>
    <w:rsid w:val="00FB52ED"/>
    <w:rsid w:val="00FB53B4"/>
    <w:rsid w:val="00FB7CD1"/>
    <w:rsid w:val="00FC2C0C"/>
    <w:rsid w:val="00FC4D83"/>
    <w:rsid w:val="00FC58E3"/>
    <w:rsid w:val="00FC5922"/>
    <w:rsid w:val="00FC6222"/>
    <w:rsid w:val="00FC7F96"/>
    <w:rsid w:val="00FD1641"/>
    <w:rsid w:val="00FD18B2"/>
    <w:rsid w:val="00FD260E"/>
    <w:rsid w:val="00FD5595"/>
    <w:rsid w:val="00FD57CE"/>
    <w:rsid w:val="00FD77B4"/>
    <w:rsid w:val="00FD7F93"/>
    <w:rsid w:val="00FE028B"/>
    <w:rsid w:val="00FE0665"/>
    <w:rsid w:val="00FE099F"/>
    <w:rsid w:val="00FE1D43"/>
    <w:rsid w:val="00FE26C5"/>
    <w:rsid w:val="00FE4130"/>
    <w:rsid w:val="00FE4318"/>
    <w:rsid w:val="00FE4A5F"/>
    <w:rsid w:val="00FE53E4"/>
    <w:rsid w:val="00FE6C00"/>
    <w:rsid w:val="00FE794A"/>
    <w:rsid w:val="00FF1AE2"/>
    <w:rsid w:val="00FF1AFD"/>
    <w:rsid w:val="00FF288D"/>
    <w:rsid w:val="00FF381D"/>
    <w:rsid w:val="00FF3A79"/>
    <w:rsid w:val="00FF5B48"/>
    <w:rsid w:val="00FF657E"/>
    <w:rsid w:val="00FF7431"/>
    <w:rsid w:val="01681235"/>
    <w:rsid w:val="19AA6DAB"/>
    <w:rsid w:val="3E5F1DD9"/>
    <w:rsid w:val="461D1214"/>
    <w:rsid w:val="6C14527B"/>
    <w:rsid w:val="72AC193A"/>
    <w:rsid w:val="74BA0ED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8"/>
      <w:szCs w:val="28"/>
      <w:lang w:val="en-US" w:eastAsia="en-US" w:bidi="ar-SA"/>
    </w:rPr>
  </w:style>
  <w:style w:type="paragraph" w:styleId="2">
    <w:name w:val="heading 1"/>
    <w:basedOn w:val="3"/>
    <w:next w:val="3"/>
    <w:link w:val="30"/>
    <w:qFormat/>
    <w:uiPriority w:val="0"/>
    <w:pPr>
      <w:keepNext/>
      <w:outlineLvl w:val="0"/>
    </w:pPr>
    <w:rPr>
      <w:b/>
      <w:sz w:val="26"/>
      <w:szCs w:val="26"/>
    </w:rPr>
  </w:style>
  <w:style w:type="paragraph" w:styleId="4">
    <w:name w:val="heading 2"/>
    <w:basedOn w:val="3"/>
    <w:next w:val="3"/>
    <w:qFormat/>
    <w:uiPriority w:val="0"/>
    <w:pPr>
      <w:keepNext/>
      <w:jc w:val="center"/>
      <w:outlineLvl w:val="1"/>
    </w:pPr>
    <w:rPr>
      <w:b/>
      <w:sz w:val="26"/>
      <w:szCs w:val="26"/>
    </w:rPr>
  </w:style>
  <w:style w:type="paragraph" w:styleId="5">
    <w:name w:val="heading 3"/>
    <w:basedOn w:val="3"/>
    <w:next w:val="3"/>
    <w:qFormat/>
    <w:uiPriority w:val="0"/>
    <w:pPr>
      <w:keepNext/>
      <w:jc w:val="center"/>
      <w:outlineLvl w:val="2"/>
    </w:pPr>
    <w:rPr>
      <w:i/>
      <w:sz w:val="26"/>
      <w:szCs w:val="26"/>
    </w:rPr>
  </w:style>
  <w:style w:type="paragraph" w:styleId="6">
    <w:name w:val="heading 4"/>
    <w:basedOn w:val="3"/>
    <w:next w:val="3"/>
    <w:qFormat/>
    <w:uiPriority w:val="0"/>
    <w:pPr>
      <w:keepNext/>
      <w:spacing w:before="240" w:after="60"/>
      <w:outlineLvl w:val="3"/>
    </w:pPr>
    <w:rPr>
      <w:b/>
    </w:rPr>
  </w:style>
  <w:style w:type="paragraph" w:styleId="7">
    <w:name w:val="heading 5"/>
    <w:basedOn w:val="3"/>
    <w:next w:val="3"/>
    <w:qFormat/>
    <w:uiPriority w:val="0"/>
    <w:pPr>
      <w:keepNext/>
      <w:keepLines/>
      <w:spacing w:before="220" w:after="40"/>
      <w:outlineLvl w:val="4"/>
    </w:pPr>
    <w:rPr>
      <w:b/>
      <w:sz w:val="22"/>
      <w:szCs w:val="22"/>
    </w:rPr>
  </w:style>
  <w:style w:type="paragraph" w:styleId="8">
    <w:name w:val="heading 6"/>
    <w:basedOn w:val="3"/>
    <w:next w:val="3"/>
    <w:qFormat/>
    <w:uiPriority w:val="0"/>
    <w:pPr>
      <w:keepNext/>
      <w:keepLines/>
      <w:spacing w:before="200" w:after="40"/>
      <w:outlineLvl w:val="5"/>
    </w:pPr>
    <w:rPr>
      <w:b/>
      <w:sz w:val="20"/>
      <w:szCs w:val="20"/>
    </w:rPr>
  </w:style>
  <w:style w:type="paragraph" w:styleId="9">
    <w:name w:val="heading 9"/>
    <w:basedOn w:val="1"/>
    <w:next w:val="1"/>
    <w:link w:val="41"/>
    <w:semiHidden/>
    <w:unhideWhenUsed/>
    <w:qFormat/>
    <w:uiPriority w:val="9"/>
    <w:pPr>
      <w:keepNext/>
      <w:keepLines/>
      <w:spacing w:before="40"/>
      <w:outlineLvl w:val="8"/>
    </w:pPr>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character" w:default="1" w:styleId="10">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3">
    <w:name w:val="Normal1"/>
    <w:qFormat/>
    <w:uiPriority w:val="0"/>
    <w:rPr>
      <w:rFonts w:ascii="Times New Roman" w:hAnsi="Times New Roman" w:eastAsia="Times New Roman" w:cs="Times New Roman"/>
      <w:sz w:val="28"/>
      <w:szCs w:val="28"/>
      <w:lang w:val="en-US" w:eastAsia="en-US" w:bidi="ar-SA"/>
    </w:rPr>
  </w:style>
  <w:style w:type="paragraph" w:styleId="12">
    <w:name w:val="Balloon Text"/>
    <w:basedOn w:val="1"/>
    <w:link w:val="33"/>
    <w:semiHidden/>
    <w:unhideWhenUsed/>
    <w:qFormat/>
    <w:uiPriority w:val="99"/>
    <w:rPr>
      <w:rFonts w:ascii="Tahoma" w:hAnsi="Tahoma" w:cs="Tahoma"/>
      <w:sz w:val="16"/>
      <w:szCs w:val="16"/>
    </w:rPr>
  </w:style>
  <w:style w:type="paragraph" w:styleId="13">
    <w:name w:val="Body Text"/>
    <w:basedOn w:val="1"/>
    <w:link w:val="43"/>
    <w:qFormat/>
    <w:uiPriority w:val="99"/>
    <w:rPr>
      <w:b/>
      <w:sz w:val="26"/>
      <w:szCs w:val="20"/>
      <w:lang w:eastAsia="ko-KR"/>
    </w:rPr>
  </w:style>
  <w:style w:type="paragraph" w:styleId="14">
    <w:name w:val="Body Text 2"/>
    <w:basedOn w:val="1"/>
    <w:link w:val="52"/>
    <w:semiHidden/>
    <w:unhideWhenUsed/>
    <w:qFormat/>
    <w:uiPriority w:val="99"/>
    <w:pPr>
      <w:spacing w:after="120" w:line="480" w:lineRule="auto"/>
    </w:pPr>
  </w:style>
  <w:style w:type="paragraph" w:styleId="15">
    <w:name w:val="Body Text Indent"/>
    <w:basedOn w:val="1"/>
    <w:link w:val="50"/>
    <w:unhideWhenUsed/>
    <w:qFormat/>
    <w:uiPriority w:val="99"/>
    <w:pPr>
      <w:spacing w:after="120"/>
      <w:ind w:left="360"/>
    </w:pPr>
  </w:style>
  <w:style w:type="character" w:styleId="16">
    <w:name w:val="Emphasis"/>
    <w:qFormat/>
    <w:uiPriority w:val="20"/>
    <w:rPr>
      <w:i/>
      <w:iCs/>
    </w:rPr>
  </w:style>
  <w:style w:type="paragraph" w:styleId="17">
    <w:name w:val="footer"/>
    <w:basedOn w:val="1"/>
    <w:link w:val="32"/>
    <w:unhideWhenUsed/>
    <w:qFormat/>
    <w:uiPriority w:val="99"/>
    <w:pPr>
      <w:tabs>
        <w:tab w:val="center" w:pos="4680"/>
        <w:tab w:val="right" w:pos="9360"/>
      </w:tabs>
    </w:pPr>
  </w:style>
  <w:style w:type="character" w:styleId="18">
    <w:name w:val="footnote reference"/>
    <w:basedOn w:val="10"/>
    <w:link w:val="19"/>
    <w:unhideWhenUsed/>
    <w:qFormat/>
    <w:uiPriority w:val="0"/>
    <w:rPr>
      <w:vertAlign w:val="superscript"/>
    </w:rPr>
  </w:style>
  <w:style w:type="paragraph" w:customStyle="1" w:styleId="19">
    <w:name w:val="Ref Char"/>
    <w:basedOn w:val="1"/>
    <w:link w:val="18"/>
    <w:qFormat/>
    <w:uiPriority w:val="0"/>
    <w:pPr>
      <w:spacing w:after="160" w:line="240" w:lineRule="exact"/>
    </w:pPr>
    <w:rPr>
      <w:vertAlign w:val="superscript"/>
    </w:rPr>
  </w:style>
  <w:style w:type="paragraph" w:styleId="20">
    <w:name w:val="footnote text"/>
    <w:basedOn w:val="1"/>
    <w:link w:val="37"/>
    <w:unhideWhenUsed/>
    <w:qFormat/>
    <w:uiPriority w:val="0"/>
    <w:rPr>
      <w:sz w:val="20"/>
      <w:szCs w:val="20"/>
    </w:rPr>
  </w:style>
  <w:style w:type="paragraph" w:styleId="21">
    <w:name w:val="header"/>
    <w:basedOn w:val="1"/>
    <w:link w:val="31"/>
    <w:unhideWhenUsed/>
    <w:qFormat/>
    <w:uiPriority w:val="99"/>
    <w:pPr>
      <w:tabs>
        <w:tab w:val="center" w:pos="4680"/>
        <w:tab w:val="right" w:pos="9360"/>
      </w:tabs>
    </w:pPr>
  </w:style>
  <w:style w:type="character" w:styleId="22">
    <w:name w:val="Hyperlink"/>
    <w:qFormat/>
    <w:uiPriority w:val="99"/>
    <w:rPr>
      <w:color w:val="0000FF"/>
      <w:u w:val="single"/>
    </w:rPr>
  </w:style>
  <w:style w:type="paragraph" w:styleId="23">
    <w:name w:val="Normal (Web)"/>
    <w:basedOn w:val="1"/>
    <w:link w:val="51"/>
    <w:qFormat/>
    <w:uiPriority w:val="99"/>
    <w:pPr>
      <w:spacing w:before="100" w:beforeAutospacing="1" w:after="100" w:afterAutospacing="1"/>
    </w:pPr>
    <w:rPr>
      <w:sz w:val="24"/>
      <w:szCs w:val="24"/>
    </w:rPr>
  </w:style>
  <w:style w:type="character" w:styleId="24">
    <w:name w:val="Strong"/>
    <w:qFormat/>
    <w:uiPriority w:val="22"/>
    <w:rPr>
      <w:b/>
      <w:bCs/>
    </w:rPr>
  </w:style>
  <w:style w:type="paragraph" w:styleId="25">
    <w:name w:val="Subtitle"/>
    <w:basedOn w:val="3"/>
    <w:next w:val="3"/>
    <w:qFormat/>
    <w:uiPriority w:val="0"/>
    <w:pPr>
      <w:keepNext/>
      <w:keepLines/>
      <w:spacing w:before="360" w:after="80"/>
    </w:pPr>
    <w:rPr>
      <w:rFonts w:ascii="Georgia" w:hAnsi="Georgia" w:eastAsia="Georgia" w:cs="Georgia"/>
      <w:i/>
      <w:color w:val="666666"/>
      <w:sz w:val="48"/>
      <w:szCs w:val="48"/>
    </w:rPr>
  </w:style>
  <w:style w:type="paragraph" w:styleId="26">
    <w:name w:val="Title"/>
    <w:basedOn w:val="3"/>
    <w:next w:val="3"/>
    <w:qFormat/>
    <w:uiPriority w:val="0"/>
    <w:pPr>
      <w:keepNext/>
      <w:keepLines/>
      <w:spacing w:before="480" w:after="120"/>
    </w:pPr>
    <w:rPr>
      <w:b/>
      <w:sz w:val="72"/>
      <w:szCs w:val="72"/>
    </w:rPr>
  </w:style>
  <w:style w:type="table" w:customStyle="1" w:styleId="27">
    <w:name w:val="_Style 13"/>
    <w:basedOn w:val="11"/>
    <w:qFormat/>
    <w:uiPriority w:val="0"/>
    <w:tblPr>
      <w:tblCellMar>
        <w:left w:w="115" w:type="dxa"/>
        <w:right w:w="115" w:type="dxa"/>
      </w:tblCellMar>
    </w:tblPr>
  </w:style>
  <w:style w:type="table" w:customStyle="1" w:styleId="28">
    <w:name w:val="_Style 14"/>
    <w:basedOn w:val="11"/>
    <w:qFormat/>
    <w:uiPriority w:val="0"/>
    <w:tblPr>
      <w:tblCellMar>
        <w:left w:w="115" w:type="dxa"/>
        <w:right w:w="115" w:type="dxa"/>
      </w:tblCellMar>
    </w:tblPr>
  </w:style>
  <w:style w:type="table" w:customStyle="1" w:styleId="29">
    <w:name w:val="_Style 15"/>
    <w:basedOn w:val="11"/>
    <w:qFormat/>
    <w:uiPriority w:val="0"/>
    <w:tblPr>
      <w:tblCellMar>
        <w:left w:w="115" w:type="dxa"/>
        <w:right w:w="115" w:type="dxa"/>
      </w:tblCellMar>
    </w:tblPr>
  </w:style>
  <w:style w:type="character" w:customStyle="1" w:styleId="30">
    <w:name w:val="Heading 1 Char"/>
    <w:link w:val="2"/>
    <w:qFormat/>
    <w:uiPriority w:val="0"/>
    <w:rPr>
      <w:b/>
      <w:sz w:val="26"/>
      <w:szCs w:val="26"/>
    </w:rPr>
  </w:style>
  <w:style w:type="character" w:customStyle="1" w:styleId="31">
    <w:name w:val="Header Char"/>
    <w:basedOn w:val="10"/>
    <w:link w:val="21"/>
    <w:qFormat/>
    <w:uiPriority w:val="99"/>
  </w:style>
  <w:style w:type="character" w:customStyle="1" w:styleId="32">
    <w:name w:val="Footer Char"/>
    <w:basedOn w:val="10"/>
    <w:link w:val="17"/>
    <w:qFormat/>
    <w:uiPriority w:val="99"/>
  </w:style>
  <w:style w:type="character" w:customStyle="1" w:styleId="33">
    <w:name w:val="Balloon Text Char"/>
    <w:basedOn w:val="10"/>
    <w:link w:val="12"/>
    <w:semiHidden/>
    <w:qFormat/>
    <w:uiPriority w:val="99"/>
    <w:rPr>
      <w:rFonts w:ascii="Tahoma" w:hAnsi="Tahoma" w:cs="Tahoma"/>
      <w:sz w:val="16"/>
      <w:szCs w:val="16"/>
    </w:rPr>
  </w:style>
  <w:style w:type="paragraph" w:customStyle="1" w:styleId="34">
    <w:name w:val="1 Trinh bay"/>
    <w:basedOn w:val="1"/>
    <w:link w:val="35"/>
    <w:qFormat/>
    <w:uiPriority w:val="0"/>
    <w:pPr>
      <w:widowControl w:val="0"/>
      <w:autoSpaceDE w:val="0"/>
      <w:autoSpaceDN w:val="0"/>
      <w:adjustRightInd w:val="0"/>
      <w:spacing w:after="120"/>
      <w:ind w:firstLine="567"/>
      <w:jc w:val="both"/>
    </w:pPr>
    <w:rPr>
      <w:color w:val="000000"/>
      <w:sz w:val="26"/>
      <w:szCs w:val="26"/>
    </w:rPr>
  </w:style>
  <w:style w:type="character" w:customStyle="1" w:styleId="35">
    <w:name w:val="1 Trinh bay Char"/>
    <w:link w:val="34"/>
    <w:qFormat/>
    <w:uiPriority w:val="0"/>
    <w:rPr>
      <w:color w:val="000000"/>
      <w:sz w:val="26"/>
      <w:szCs w:val="26"/>
    </w:rPr>
  </w:style>
  <w:style w:type="paragraph" w:styleId="36">
    <w:name w:val="List Paragraph"/>
    <w:basedOn w:val="1"/>
    <w:link w:val="48"/>
    <w:qFormat/>
    <w:uiPriority w:val="34"/>
    <w:pPr>
      <w:ind w:left="720"/>
      <w:contextualSpacing/>
    </w:pPr>
  </w:style>
  <w:style w:type="character" w:customStyle="1" w:styleId="37">
    <w:name w:val="Footnote Text Char"/>
    <w:basedOn w:val="10"/>
    <w:link w:val="20"/>
    <w:qFormat/>
    <w:uiPriority w:val="0"/>
    <w:rPr>
      <w:sz w:val="20"/>
      <w:szCs w:val="20"/>
    </w:rPr>
  </w:style>
  <w:style w:type="paragraph" w:customStyle="1" w:styleId="38">
    <w:name w:val="normal-p"/>
    <w:basedOn w:val="1"/>
    <w:qFormat/>
    <w:uiPriority w:val="0"/>
    <w:pPr>
      <w:jc w:val="both"/>
    </w:pPr>
    <w:rPr>
      <w:sz w:val="20"/>
      <w:szCs w:val="20"/>
    </w:rPr>
  </w:style>
  <w:style w:type="paragraph" w:customStyle="1" w:styleId="39">
    <w:name w:val="Noidung"/>
    <w:basedOn w:val="1"/>
    <w:link w:val="40"/>
    <w:qFormat/>
    <w:uiPriority w:val="0"/>
    <w:pPr>
      <w:spacing w:after="120"/>
      <w:ind w:firstLine="720"/>
      <w:jc w:val="both"/>
    </w:pPr>
    <w:rPr>
      <w:kern w:val="28"/>
      <w:sz w:val="26"/>
      <w:szCs w:val="26"/>
    </w:rPr>
  </w:style>
  <w:style w:type="character" w:customStyle="1" w:styleId="40">
    <w:name w:val="Noidung Char"/>
    <w:link w:val="39"/>
    <w:qFormat/>
    <w:locked/>
    <w:uiPriority w:val="0"/>
    <w:rPr>
      <w:kern w:val="28"/>
      <w:sz w:val="26"/>
      <w:szCs w:val="26"/>
    </w:rPr>
  </w:style>
  <w:style w:type="character" w:customStyle="1" w:styleId="41">
    <w:name w:val="Heading 9 Char"/>
    <w:basedOn w:val="10"/>
    <w:link w:val="9"/>
    <w:semiHidden/>
    <w:qFormat/>
    <w:uiPriority w:val="9"/>
    <w:rPr>
      <w:rFonts w:asciiTheme="majorHAnsi" w:hAnsiTheme="majorHAnsi" w:eastAsiaTheme="majorEastAsia" w:cstheme="majorBidi"/>
      <w:i/>
      <w:iCs/>
      <w:color w:val="262626" w:themeColor="text1" w:themeTint="D9"/>
      <w:sz w:val="21"/>
      <w:szCs w:val="21"/>
      <w14:textFill>
        <w14:solidFill>
          <w14:schemeClr w14:val="tx1">
            <w14:lumMod w14:val="85000"/>
            <w14:lumOff w14:val="15000"/>
          </w14:schemeClr>
        </w14:solidFill>
      </w14:textFill>
    </w:rPr>
  </w:style>
  <w:style w:type="paragraph" w:customStyle="1" w:styleId="42">
    <w:name w:val="Table Paragraph"/>
    <w:basedOn w:val="1"/>
    <w:qFormat/>
    <w:uiPriority w:val="0"/>
    <w:pPr>
      <w:widowControl w:val="0"/>
      <w:autoSpaceDE w:val="0"/>
      <w:autoSpaceDN w:val="0"/>
      <w:spacing w:before="100" w:beforeAutospacing="1" w:after="100" w:afterAutospacing="1"/>
    </w:pPr>
    <w:rPr>
      <w:sz w:val="24"/>
      <w:szCs w:val="24"/>
    </w:rPr>
  </w:style>
  <w:style w:type="character" w:customStyle="1" w:styleId="43">
    <w:name w:val="Body Text Char"/>
    <w:basedOn w:val="10"/>
    <w:link w:val="13"/>
    <w:qFormat/>
    <w:uiPriority w:val="99"/>
    <w:rPr>
      <w:b/>
      <w:sz w:val="26"/>
      <w:szCs w:val="20"/>
      <w:lang w:eastAsia="ko-KR"/>
    </w:rPr>
  </w:style>
  <w:style w:type="paragraph" w:styleId="44">
    <w:name w:val="No Spacing"/>
    <w:qFormat/>
    <w:uiPriority w:val="1"/>
    <w:rPr>
      <w:rFonts w:asciiTheme="minorHAnsi" w:hAnsiTheme="minorHAnsi" w:eastAsiaTheme="minorEastAsia" w:cstheme="minorBidi"/>
      <w:sz w:val="22"/>
      <w:szCs w:val="22"/>
      <w:lang w:val="en-US" w:eastAsia="en-US" w:bidi="ar-SA"/>
    </w:rPr>
  </w:style>
  <w:style w:type="character" w:customStyle="1" w:styleId="45">
    <w:name w:val="fontstyle01"/>
    <w:basedOn w:val="10"/>
    <w:qFormat/>
    <w:uiPriority w:val="0"/>
    <w:rPr>
      <w:rFonts w:hint="default" w:ascii="TimesNewRomanPS-BoldMT" w:hAnsi="TimesNewRomanPS-BoldMT"/>
      <w:b/>
      <w:bCs/>
      <w:color w:val="000000"/>
      <w:sz w:val="28"/>
      <w:szCs w:val="28"/>
    </w:rPr>
  </w:style>
  <w:style w:type="character" w:customStyle="1" w:styleId="46">
    <w:name w:val="fontstyle21"/>
    <w:basedOn w:val="10"/>
    <w:qFormat/>
    <w:uiPriority w:val="0"/>
    <w:rPr>
      <w:rFonts w:hint="default" w:ascii="TimesNewRomanPS-ItalicMT" w:hAnsi="TimesNewRomanPS-ItalicMT"/>
      <w:i/>
      <w:iCs/>
      <w:color w:val="000000"/>
      <w:sz w:val="28"/>
      <w:szCs w:val="28"/>
    </w:rPr>
  </w:style>
  <w:style w:type="paragraph" w:customStyle="1" w:styleId="47">
    <w:name w:val="2"/>
    <w:basedOn w:val="1"/>
    <w:link w:val="49"/>
    <w:qFormat/>
    <w:uiPriority w:val="0"/>
    <w:pPr>
      <w:spacing w:line="360" w:lineRule="auto"/>
      <w:jc w:val="both"/>
    </w:pPr>
    <w:rPr>
      <w:b/>
    </w:rPr>
  </w:style>
  <w:style w:type="character" w:customStyle="1" w:styleId="48">
    <w:name w:val="List Paragraph Char"/>
    <w:link w:val="36"/>
    <w:qFormat/>
    <w:locked/>
    <w:uiPriority w:val="34"/>
  </w:style>
  <w:style w:type="character" w:customStyle="1" w:styleId="49">
    <w:name w:val="2 Char"/>
    <w:link w:val="47"/>
    <w:qFormat/>
    <w:locked/>
    <w:uiPriority w:val="0"/>
    <w:rPr>
      <w:b/>
    </w:rPr>
  </w:style>
  <w:style w:type="character" w:customStyle="1" w:styleId="50">
    <w:name w:val="Body Text Indent Char"/>
    <w:basedOn w:val="10"/>
    <w:link w:val="15"/>
    <w:qFormat/>
    <w:uiPriority w:val="99"/>
  </w:style>
  <w:style w:type="character" w:customStyle="1" w:styleId="51">
    <w:name w:val="Normal (Web) Char1"/>
    <w:basedOn w:val="10"/>
    <w:link w:val="23"/>
    <w:qFormat/>
    <w:locked/>
    <w:uiPriority w:val="99"/>
    <w:rPr>
      <w:sz w:val="24"/>
      <w:szCs w:val="24"/>
    </w:rPr>
  </w:style>
  <w:style w:type="character" w:customStyle="1" w:styleId="52">
    <w:name w:val="Body Text 2 Char"/>
    <w:basedOn w:val="10"/>
    <w:link w:val="14"/>
    <w:semiHidden/>
    <w:qFormat/>
    <w:uiPriority w:val="99"/>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3FF020B-48DB-4131-9A3C-2EF1F865E2F1}">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6718</Words>
  <Characters>23650</Characters>
  <Lines>215</Lines>
  <Paragraphs>60</Paragraphs>
  <TotalTime>3</TotalTime>
  <ScaleCrop>false</ScaleCrop>
  <LinksUpToDate>false</LinksUpToDate>
  <CharactersWithSpaces>30259</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2026-08-17T15:05:00Z</dcterms:created>
  <dc:creator>Thắng-QLNL</dc:creator>
  <cp:lastModifiedBy>PC</cp:lastModifiedBy>
  <cp:lastPrinted>2025-06-25T23:07:00Z</cp:lastPrinted>
  <dcterms:modified xsi:type="dcterms:W3CDTF">2026-11-03T00:33:06Z</dcterms:modified>
  <dc:title>Thành phố Hải Phòng</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eyJoZGlkIjoiMTA1MTZmNzZkZWUxMzc3ZDEzODkyZTlkMjZiOTkyM2EifQ==</vt:lpwstr>
  </property>
  <property fmtid="{D5CDD505-2E9C-101B-9397-08002B2CF9AE}" pid="3" name="KSOProductBuildVer">
    <vt:lpwstr>1033-12.1.0.29162</vt:lpwstr>
  </property>
  <property fmtid="{D5CDD505-2E9C-101B-9397-08002B2CF9AE}" pid="4" name="ICV">
    <vt:lpwstr>B275E8F2CA4040C5837BEC7E0195AA15_12</vt:lpwstr>
  </property>
</Properties>
</file>