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9"/>
        <w:gridCol w:w="7139"/>
      </w:tblGrid>
      <w:tr w:rsidR="00794872" w14:paraId="5BB16A0E" w14:textId="77777777" w:rsidTr="009F713B">
        <w:tc>
          <w:tcPr>
            <w:tcW w:w="7139" w:type="dxa"/>
          </w:tcPr>
          <w:p w14:paraId="1258CA3D" w14:textId="09BAE4B9" w:rsidR="00794872" w:rsidRPr="009F713B" w:rsidRDefault="009F713B" w:rsidP="009F713B">
            <w:pPr>
              <w:jc w:val="center"/>
              <w:rPr>
                <w:rFonts w:ascii="Times New Roman" w:hAnsi="Times New Roman" w:cs="Times New Roman"/>
                <w:b/>
                <w:bCs/>
                <w:sz w:val="26"/>
                <w:szCs w:val="26"/>
                <w:lang w:val="en-US"/>
              </w:rPr>
            </w:pPr>
            <w:r>
              <w:rPr>
                <w:rFonts w:ascii="Times New Roman" w:hAnsi="Times New Roman" w:cs="Times New Roman"/>
                <w:b/>
                <w:bCs/>
                <w:noProof/>
                <w:sz w:val="26"/>
                <w:szCs w:val="26"/>
                <w:lang w:val="en-US"/>
              </w:rPr>
              <mc:AlternateContent>
                <mc:Choice Requires="wps">
                  <w:drawing>
                    <wp:anchor distT="0" distB="0" distL="114300" distR="114300" simplePos="0" relativeHeight="251660288" behindDoc="0" locked="0" layoutInCell="1" allowOverlap="1" wp14:anchorId="61E53D3C" wp14:editId="6908E54D">
                      <wp:simplePos x="0" y="0"/>
                      <wp:positionH relativeFrom="column">
                        <wp:posOffset>1504315</wp:posOffset>
                      </wp:positionH>
                      <wp:positionV relativeFrom="paragraph">
                        <wp:posOffset>247831</wp:posOffset>
                      </wp:positionV>
                      <wp:extent cx="1322614" cy="0"/>
                      <wp:effectExtent l="0" t="0" r="0" b="0"/>
                      <wp:wrapNone/>
                      <wp:docPr id="1430148333" name="Straight Connector 5"/>
                      <wp:cNvGraphicFramePr/>
                      <a:graphic xmlns:a="http://schemas.openxmlformats.org/drawingml/2006/main">
                        <a:graphicData uri="http://schemas.microsoft.com/office/word/2010/wordprocessingShape">
                          <wps:wsp>
                            <wps:cNvCnPr/>
                            <wps:spPr>
                              <a:xfrm>
                                <a:off x="0" y="0"/>
                                <a:ext cx="132261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3CCC84"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8.45pt,19.5pt" to="22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" strokecolor="black [3200]" strokeweight="1pt">
                      <v:stroke joinstyle="miter"/>
                    </v:line>
                  </w:pict>
                </mc:Fallback>
              </mc:AlternateContent>
            </w:r>
            <w:r w:rsidR="00794872" w:rsidRPr="009F713B">
              <w:rPr>
                <w:rFonts w:ascii="Times New Roman" w:hAnsi="Times New Roman" w:cs="Times New Roman"/>
                <w:b/>
                <w:bCs/>
                <w:sz w:val="26"/>
                <w:szCs w:val="26"/>
                <w:lang w:val="en-US"/>
              </w:rPr>
              <w:t>SỞ TÀI CHÍNH HẢI PHÒNG</w:t>
            </w:r>
          </w:p>
        </w:tc>
        <w:tc>
          <w:tcPr>
            <w:tcW w:w="7139" w:type="dxa"/>
          </w:tcPr>
          <w:p w14:paraId="6C1A6698" w14:textId="77777777" w:rsidR="00794872" w:rsidRPr="009F713B" w:rsidRDefault="00794872" w:rsidP="009F713B">
            <w:pPr>
              <w:jc w:val="center"/>
              <w:rPr>
                <w:rFonts w:ascii="Times New Roman" w:hAnsi="Times New Roman" w:cs="Times New Roman"/>
                <w:b/>
                <w:bCs/>
                <w:sz w:val="26"/>
                <w:szCs w:val="26"/>
                <w:lang w:val="en-US"/>
              </w:rPr>
            </w:pPr>
            <w:r w:rsidRPr="009F713B">
              <w:rPr>
                <w:rFonts w:ascii="Times New Roman" w:hAnsi="Times New Roman" w:cs="Times New Roman"/>
                <w:b/>
                <w:bCs/>
                <w:sz w:val="26"/>
                <w:szCs w:val="26"/>
                <w:lang w:val="en-US"/>
              </w:rPr>
              <w:t>CỘNG HÒA XÃ HỘI CHỦ NGHĨA VIỆT NAM</w:t>
            </w:r>
          </w:p>
          <w:p w14:paraId="719E9ECC" w14:textId="77777777" w:rsidR="00794872" w:rsidRDefault="009F713B" w:rsidP="009F713B">
            <w:pPr>
              <w:jc w:val="center"/>
              <w:rPr>
                <w:rFonts w:ascii="Times New Roman" w:hAnsi="Times New Roman" w:cs="Times New Roman"/>
                <w:b/>
                <w:bCs/>
                <w:sz w:val="28"/>
                <w:szCs w:val="28"/>
                <w:lang w:val="en-US"/>
              </w:rPr>
            </w:pPr>
            <w:r w:rsidRPr="009F713B">
              <w:rPr>
                <w:rFonts w:ascii="Times New Roman" w:hAnsi="Times New Roman" w:cs="Times New Roman"/>
                <w:b/>
                <w:bCs/>
                <w:sz w:val="28"/>
                <w:szCs w:val="28"/>
                <w:lang w:val="en-US"/>
              </w:rPr>
              <w:t>Độc lập - Tự do - Hạnh phúc</w:t>
            </w:r>
          </w:p>
          <w:p w14:paraId="3F82FFC6" w14:textId="1CF107D5" w:rsidR="009F713B" w:rsidRPr="009F713B" w:rsidRDefault="009F713B" w:rsidP="009F713B">
            <w:pPr>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mc:AlternateContent>
                <mc:Choice Requires="wps">
                  <w:drawing>
                    <wp:anchor distT="0" distB="0" distL="114300" distR="114300" simplePos="0" relativeHeight="251659264" behindDoc="0" locked="0" layoutInCell="1" allowOverlap="1" wp14:anchorId="65C637B7" wp14:editId="15519EA1">
                      <wp:simplePos x="0" y="0"/>
                      <wp:positionH relativeFrom="column">
                        <wp:posOffset>1150257</wp:posOffset>
                      </wp:positionH>
                      <wp:positionV relativeFrom="paragraph">
                        <wp:posOffset>33020</wp:posOffset>
                      </wp:positionV>
                      <wp:extent cx="2111828" cy="0"/>
                      <wp:effectExtent l="0" t="0" r="0" b="0"/>
                      <wp:wrapNone/>
                      <wp:docPr id="426390001" name="Straight Connector 3"/>
                      <wp:cNvGraphicFramePr/>
                      <a:graphic xmlns:a="http://schemas.openxmlformats.org/drawingml/2006/main">
                        <a:graphicData uri="http://schemas.microsoft.com/office/word/2010/wordprocessingShape">
                          <wps:wsp>
                            <wps:cNvCnPr/>
                            <wps:spPr>
                              <a:xfrm>
                                <a:off x="0" y="0"/>
                                <a:ext cx="2111828"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474F6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0.55pt,2.6pt" to="256.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" strokecolor="black [3200]" strokeweight="1pt">
                      <v:stroke joinstyle="miter"/>
                    </v:line>
                  </w:pict>
                </mc:Fallback>
              </mc:AlternateContent>
            </w:r>
          </w:p>
          <w:p w14:paraId="73533F54" w14:textId="064C3679" w:rsidR="009F713B" w:rsidRPr="009F713B" w:rsidRDefault="009F713B" w:rsidP="009F713B">
            <w:pPr>
              <w:jc w:val="center"/>
              <w:rPr>
                <w:rFonts w:ascii="Times New Roman" w:hAnsi="Times New Roman" w:cs="Times New Roman"/>
                <w:i/>
                <w:iCs/>
                <w:sz w:val="26"/>
                <w:szCs w:val="26"/>
                <w:lang w:val="en-US"/>
              </w:rPr>
            </w:pPr>
            <w:r w:rsidRPr="009F713B">
              <w:rPr>
                <w:rFonts w:ascii="Times New Roman" w:hAnsi="Times New Roman" w:cs="Times New Roman"/>
                <w:i/>
                <w:iCs/>
                <w:sz w:val="28"/>
                <w:szCs w:val="28"/>
                <w:lang w:val="en-US"/>
              </w:rPr>
              <w:t>Hải Phòng, ngày … tháng … năm 2026</w:t>
            </w:r>
          </w:p>
        </w:tc>
      </w:tr>
    </w:tbl>
    <w:p w14:paraId="58BFE241" w14:textId="77777777" w:rsidR="0030139F" w:rsidRDefault="0030139F" w:rsidP="00C26CC8">
      <w:pPr>
        <w:spacing w:after="0" w:line="240" w:lineRule="auto"/>
        <w:rPr>
          <w:rFonts w:ascii="Times New Roman" w:hAnsi="Times New Roman" w:cs="Times New Roman"/>
          <w:sz w:val="28"/>
          <w:szCs w:val="28"/>
          <w:lang w:val="en-US"/>
        </w:rPr>
      </w:pPr>
    </w:p>
    <w:p w14:paraId="2C30A042" w14:textId="515A90CF" w:rsidR="009F713B" w:rsidRPr="00855C5B" w:rsidRDefault="00855C5B" w:rsidP="009F713B">
      <w:pPr>
        <w:spacing w:after="0" w:line="240" w:lineRule="auto"/>
        <w:jc w:val="center"/>
        <w:rPr>
          <w:rFonts w:ascii="Times New Roman" w:hAnsi="Times New Roman" w:cs="Times New Roman"/>
          <w:b/>
          <w:bCs/>
          <w:sz w:val="28"/>
          <w:szCs w:val="28"/>
          <w:lang w:val="en-US"/>
        </w:rPr>
      </w:pPr>
      <w:r w:rsidRPr="00855C5B">
        <w:rPr>
          <w:rFonts w:ascii="Times New Roman" w:hAnsi="Times New Roman" w:cs="Times New Roman"/>
          <w:b/>
          <w:bCs/>
          <w:sz w:val="28"/>
          <w:szCs w:val="28"/>
          <w:lang w:val="en-US"/>
        </w:rPr>
        <w:t>BẢN SO SÁNH, THUYẾT MINH</w:t>
      </w:r>
    </w:p>
    <w:p w14:paraId="287EA30B" w14:textId="77777777" w:rsidR="00855C5B" w:rsidRPr="00855C5B" w:rsidRDefault="00855C5B" w:rsidP="00855C5B">
      <w:pPr>
        <w:spacing w:after="0" w:line="240" w:lineRule="auto"/>
        <w:jc w:val="center"/>
        <w:rPr>
          <w:rFonts w:ascii="Times New Roman" w:hAnsi="Times New Roman" w:cs="Times New Roman"/>
          <w:b/>
          <w:bCs/>
          <w:sz w:val="28"/>
          <w:szCs w:val="28"/>
          <w:lang w:val="en-US"/>
        </w:rPr>
      </w:pPr>
      <w:r w:rsidRPr="00855C5B">
        <w:rPr>
          <w:rFonts w:ascii="Times New Roman" w:hAnsi="Times New Roman" w:cs="Times New Roman"/>
          <w:b/>
          <w:bCs/>
          <w:sz w:val="28"/>
          <w:szCs w:val="28"/>
          <w:lang w:val="en-US"/>
        </w:rPr>
        <w:t xml:space="preserve">DỰ THẢO NGHỊ QUYẾT PHÂN CẤP NGUỒN THU, NHIỆM VỤ CHI VÀ TỶ LỆ PHẦN TRĂM (%) PHÂN CHIA CÁC KHOẢN THU GIỮA NGÂN SÁCH THÀNH PHỐ VÀ NGÂN SÁCH CẤP XÃ THÀNH PHỐ HẢI PHÒNG </w:t>
      </w:r>
    </w:p>
    <w:p w14:paraId="28B46D9E" w14:textId="412BF33E" w:rsidR="00855C5B" w:rsidRDefault="00855C5B" w:rsidP="00855C5B">
      <w:pPr>
        <w:spacing w:after="0" w:line="240" w:lineRule="auto"/>
        <w:jc w:val="center"/>
        <w:rPr>
          <w:rFonts w:ascii="Times New Roman" w:hAnsi="Times New Roman" w:cs="Times New Roman"/>
          <w:b/>
          <w:bCs/>
          <w:sz w:val="28"/>
          <w:szCs w:val="28"/>
          <w:lang w:val="en-US"/>
        </w:rPr>
      </w:pPr>
      <w:r w:rsidRPr="00855C5B">
        <w:rPr>
          <w:rFonts w:ascii="Times New Roman" w:hAnsi="Times New Roman" w:cs="Times New Roman"/>
          <w:b/>
          <w:bCs/>
          <w:sz w:val="28"/>
          <w:szCs w:val="28"/>
          <w:lang w:val="en-US"/>
        </w:rPr>
        <w:t xml:space="preserve">GIAI ĐOẠN 2027 </w:t>
      </w:r>
      <w:r>
        <w:rPr>
          <w:rFonts w:ascii="Times New Roman" w:hAnsi="Times New Roman" w:cs="Times New Roman"/>
          <w:b/>
          <w:bCs/>
          <w:sz w:val="28"/>
          <w:szCs w:val="28"/>
          <w:lang w:val="en-US"/>
        </w:rPr>
        <w:t>-</w:t>
      </w:r>
      <w:r w:rsidRPr="00855C5B">
        <w:rPr>
          <w:rFonts w:ascii="Times New Roman" w:hAnsi="Times New Roman" w:cs="Times New Roman"/>
          <w:b/>
          <w:bCs/>
          <w:sz w:val="28"/>
          <w:szCs w:val="28"/>
          <w:lang w:val="en-US"/>
        </w:rPr>
        <w:t xml:space="preserve"> 2030</w:t>
      </w:r>
    </w:p>
    <w:p w14:paraId="7841B8C3" w14:textId="77777777" w:rsidR="00855C5B" w:rsidRDefault="00855C5B" w:rsidP="00855C5B">
      <w:pPr>
        <w:spacing w:after="0" w:line="240" w:lineRule="auto"/>
        <w:jc w:val="center"/>
        <w:rPr>
          <w:rFonts w:ascii="Times New Roman" w:hAnsi="Times New Roman" w:cs="Times New Roman"/>
          <w:b/>
          <w:bCs/>
          <w:sz w:val="28"/>
          <w:szCs w:val="28"/>
          <w:lang w:val="en-US"/>
        </w:rPr>
      </w:pPr>
    </w:p>
    <w:tbl>
      <w:tblPr>
        <w:tblW w:w="15027" w:type="dxa"/>
        <w:tblInd w:w="-431" w:type="dxa"/>
        <w:tblLook w:val="04A0" w:firstRow="1" w:lastRow="0" w:firstColumn="1" w:lastColumn="0" w:noHBand="0" w:noVBand="1"/>
      </w:tblPr>
      <w:tblGrid>
        <w:gridCol w:w="4537"/>
        <w:gridCol w:w="4536"/>
        <w:gridCol w:w="5954"/>
      </w:tblGrid>
      <w:tr w:rsidR="006C3FA5" w:rsidRPr="00C865B6" w14:paraId="202002E0" w14:textId="77777777" w:rsidTr="004B39B5">
        <w:trPr>
          <w:trHeight w:val="1003"/>
          <w:tblHeader/>
        </w:trPr>
        <w:tc>
          <w:tcPr>
            <w:tcW w:w="45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E104CA"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VĂN BẢN QUY PHẠM PHÁP LUẬT HIỆN HÀNH</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14:paraId="1C81A6EE"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DỰ THẢO NGHỊ QUYẾT</w:t>
            </w:r>
          </w:p>
        </w:tc>
        <w:tc>
          <w:tcPr>
            <w:tcW w:w="5954" w:type="dxa"/>
            <w:tcBorders>
              <w:top w:val="single" w:sz="4" w:space="0" w:color="auto"/>
              <w:left w:val="nil"/>
              <w:bottom w:val="single" w:sz="4" w:space="0" w:color="auto"/>
              <w:right w:val="single" w:sz="4" w:space="0" w:color="auto"/>
            </w:tcBorders>
            <w:shd w:val="clear" w:color="000000" w:fill="FFFFFF"/>
            <w:vAlign w:val="center"/>
            <w:hideMark/>
          </w:tcPr>
          <w:p w14:paraId="34EDC15E"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THUYẾT MINH</w:t>
            </w:r>
          </w:p>
        </w:tc>
      </w:tr>
      <w:tr w:rsidR="006C3FA5" w:rsidRPr="00C865B6" w14:paraId="17072170" w14:textId="77777777" w:rsidTr="004B39B5">
        <w:trPr>
          <w:trHeight w:val="600"/>
        </w:trPr>
        <w:tc>
          <w:tcPr>
            <w:tcW w:w="4537" w:type="dxa"/>
            <w:tcBorders>
              <w:top w:val="nil"/>
              <w:left w:val="single" w:sz="4" w:space="0" w:color="auto"/>
              <w:bottom w:val="single" w:sz="4" w:space="0" w:color="auto"/>
              <w:right w:val="single" w:sz="4" w:space="0" w:color="auto"/>
            </w:tcBorders>
            <w:shd w:val="clear" w:color="000000" w:fill="FFFFFF"/>
            <w:vAlign w:val="center"/>
            <w:hideMark/>
          </w:tcPr>
          <w:p w14:paraId="071B090B"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I. CÁC VĂN BẢN</w:t>
            </w:r>
          </w:p>
        </w:tc>
        <w:tc>
          <w:tcPr>
            <w:tcW w:w="4536" w:type="dxa"/>
            <w:tcBorders>
              <w:top w:val="nil"/>
              <w:left w:val="nil"/>
              <w:bottom w:val="single" w:sz="4" w:space="0" w:color="auto"/>
              <w:right w:val="single" w:sz="4" w:space="0" w:color="auto"/>
            </w:tcBorders>
            <w:shd w:val="clear" w:color="000000" w:fill="FFFFFF"/>
            <w:noWrap/>
            <w:vAlign w:val="center"/>
            <w:hideMark/>
          </w:tcPr>
          <w:p w14:paraId="3336B148"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w:t>
            </w:r>
          </w:p>
        </w:tc>
        <w:tc>
          <w:tcPr>
            <w:tcW w:w="5954" w:type="dxa"/>
            <w:tcBorders>
              <w:top w:val="nil"/>
              <w:left w:val="nil"/>
              <w:bottom w:val="single" w:sz="4" w:space="0" w:color="auto"/>
              <w:right w:val="single" w:sz="4" w:space="0" w:color="auto"/>
            </w:tcBorders>
            <w:shd w:val="clear" w:color="000000" w:fill="FFFFFF"/>
            <w:vAlign w:val="center"/>
            <w:hideMark/>
          </w:tcPr>
          <w:p w14:paraId="543BD92B"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w:t>
            </w:r>
          </w:p>
        </w:tc>
      </w:tr>
      <w:tr w:rsidR="006C3FA5" w:rsidRPr="00C865B6" w14:paraId="7B2038D4" w14:textId="77777777" w:rsidTr="004B39B5">
        <w:trPr>
          <w:trHeight w:val="2880"/>
        </w:trPr>
        <w:tc>
          <w:tcPr>
            <w:tcW w:w="4537" w:type="dxa"/>
            <w:tcBorders>
              <w:top w:val="nil"/>
              <w:left w:val="single" w:sz="4" w:space="0" w:color="auto"/>
              <w:bottom w:val="single" w:sz="4" w:space="0" w:color="auto"/>
              <w:right w:val="single" w:sz="4" w:space="0" w:color="auto"/>
            </w:tcBorders>
            <w:shd w:val="clear" w:color="000000" w:fill="FFFFFF"/>
            <w:hideMark/>
          </w:tcPr>
          <w:p w14:paraId="23EA7FF4" w14:textId="77777777" w:rsidR="00E20EB2"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(1) Nghị quyết số 31/2025/NQ-HĐND ngày 09/12/2025 của HĐND thành phố phân cấp nguồn thu, nhiệm vụ chi và tỷ lệ phần trăm (%) phân chia các khoản thu giữa ngân sách thành phố và ngân sách cấp xã thành phố Hải Phòng năm 2026;</w:t>
            </w:r>
          </w:p>
          <w:p w14:paraId="079A7EDD" w14:textId="5F88F34B" w:rsidR="006C3FA5"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(2) Nghị quyết số 24/2025/NQ-HĐND ngày 13/11/2025 của HĐND thành phố quy định tỷ lệ phần trăm (%) phân chia nguồn thu tiền sử dụng đất giữa các cấp trên địa bàn thành phố</w:t>
            </w:r>
          </w:p>
        </w:tc>
        <w:tc>
          <w:tcPr>
            <w:tcW w:w="4536" w:type="dxa"/>
            <w:tcBorders>
              <w:top w:val="nil"/>
              <w:left w:val="nil"/>
              <w:bottom w:val="single" w:sz="4" w:space="0" w:color="auto"/>
              <w:right w:val="single" w:sz="4" w:space="0" w:color="auto"/>
            </w:tcBorders>
            <w:shd w:val="clear" w:color="000000" w:fill="FFFFFF"/>
            <w:hideMark/>
          </w:tcPr>
          <w:p w14:paraId="4D01881A" w14:textId="77777777" w:rsidR="006C3FA5"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Dự thảo Nghị quyết phân cấp nguồn thu, nhiệm vụ chi và tỷ lệ phần trăm (%) phân chia các khoản thu giữa ngân sách thành phố và ngân sách cấp xã thành phố Hải Phòng giai đoạn 2027 - 2030</w:t>
            </w:r>
          </w:p>
        </w:tc>
        <w:tc>
          <w:tcPr>
            <w:tcW w:w="5954" w:type="dxa"/>
            <w:tcBorders>
              <w:top w:val="nil"/>
              <w:left w:val="nil"/>
              <w:bottom w:val="single" w:sz="4" w:space="0" w:color="auto"/>
              <w:right w:val="single" w:sz="4" w:space="0" w:color="auto"/>
            </w:tcBorders>
            <w:shd w:val="clear" w:color="000000" w:fill="FFFFFF"/>
            <w:hideMark/>
          </w:tcPr>
          <w:p w14:paraId="4ECF208A" w14:textId="77777777" w:rsidR="006C3FA5"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w:t>
            </w:r>
          </w:p>
        </w:tc>
      </w:tr>
      <w:tr w:rsidR="006C3FA5" w:rsidRPr="00C865B6" w14:paraId="2AEDD3E6" w14:textId="77777777" w:rsidTr="004B39B5">
        <w:trPr>
          <w:trHeight w:val="326"/>
        </w:trPr>
        <w:tc>
          <w:tcPr>
            <w:tcW w:w="4537" w:type="dxa"/>
            <w:tcBorders>
              <w:top w:val="nil"/>
              <w:left w:val="single" w:sz="4" w:space="0" w:color="auto"/>
              <w:bottom w:val="single" w:sz="4" w:space="0" w:color="auto"/>
              <w:right w:val="single" w:sz="4" w:space="0" w:color="auto"/>
            </w:tcBorders>
            <w:shd w:val="clear" w:color="000000" w:fill="FFFFFF"/>
            <w:hideMark/>
          </w:tcPr>
          <w:p w14:paraId="1E311008" w14:textId="77777777" w:rsidR="006C3FA5" w:rsidRPr="00C865B6" w:rsidRDefault="006C3FA5" w:rsidP="00A652C8">
            <w:pPr>
              <w:spacing w:before="120" w:after="120" w:line="240" w:lineRule="auto"/>
              <w:jc w:val="center"/>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II. QUY ĐỊNH CỤ THỂ</w:t>
            </w:r>
          </w:p>
        </w:tc>
        <w:tc>
          <w:tcPr>
            <w:tcW w:w="4536" w:type="dxa"/>
            <w:tcBorders>
              <w:top w:val="nil"/>
              <w:left w:val="nil"/>
              <w:bottom w:val="single" w:sz="4" w:space="0" w:color="auto"/>
              <w:right w:val="single" w:sz="4" w:space="0" w:color="auto"/>
            </w:tcBorders>
            <w:shd w:val="clear" w:color="000000" w:fill="FFFFFF"/>
            <w:hideMark/>
          </w:tcPr>
          <w:p w14:paraId="5B40D5DA" w14:textId="77777777" w:rsidR="006C3FA5" w:rsidRPr="00C865B6" w:rsidRDefault="006C3FA5" w:rsidP="00A652C8">
            <w:pPr>
              <w:spacing w:before="120" w:after="120" w:line="240" w:lineRule="auto"/>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w:t>
            </w:r>
          </w:p>
        </w:tc>
        <w:tc>
          <w:tcPr>
            <w:tcW w:w="5954" w:type="dxa"/>
            <w:tcBorders>
              <w:top w:val="nil"/>
              <w:left w:val="nil"/>
              <w:bottom w:val="single" w:sz="4" w:space="0" w:color="auto"/>
              <w:right w:val="single" w:sz="4" w:space="0" w:color="auto"/>
            </w:tcBorders>
            <w:shd w:val="clear" w:color="000000" w:fill="FFFFFF"/>
            <w:hideMark/>
          </w:tcPr>
          <w:p w14:paraId="6158E8F4" w14:textId="77777777" w:rsidR="006C3FA5" w:rsidRPr="00C865B6" w:rsidRDefault="006C3FA5" w:rsidP="00A652C8">
            <w:pPr>
              <w:spacing w:before="120" w:after="120" w:line="240" w:lineRule="auto"/>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w:t>
            </w:r>
          </w:p>
        </w:tc>
      </w:tr>
      <w:tr w:rsidR="006C3FA5" w:rsidRPr="00C865B6" w14:paraId="4ABAE75D" w14:textId="77777777" w:rsidTr="004B39B5">
        <w:trPr>
          <w:trHeight w:val="480"/>
        </w:trPr>
        <w:tc>
          <w:tcPr>
            <w:tcW w:w="4537" w:type="dxa"/>
            <w:tcBorders>
              <w:top w:val="nil"/>
              <w:left w:val="single" w:sz="4" w:space="0" w:color="auto"/>
              <w:bottom w:val="single" w:sz="4" w:space="0" w:color="auto"/>
              <w:right w:val="single" w:sz="4" w:space="0" w:color="auto"/>
            </w:tcBorders>
            <w:shd w:val="clear" w:color="000000" w:fill="FFFFFF"/>
            <w:hideMark/>
          </w:tcPr>
          <w:p w14:paraId="58F6E183" w14:textId="77777777" w:rsidR="006C3FA5" w:rsidRPr="00C865B6" w:rsidRDefault="006C3FA5" w:rsidP="00A652C8">
            <w:pPr>
              <w:spacing w:before="120" w:after="120" w:line="240" w:lineRule="auto"/>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Chương I - QUY ĐỊNH CHUNG</w:t>
            </w:r>
          </w:p>
        </w:tc>
        <w:tc>
          <w:tcPr>
            <w:tcW w:w="4536" w:type="dxa"/>
            <w:tcBorders>
              <w:top w:val="nil"/>
              <w:left w:val="nil"/>
              <w:bottom w:val="single" w:sz="4" w:space="0" w:color="auto"/>
              <w:right w:val="single" w:sz="4" w:space="0" w:color="auto"/>
            </w:tcBorders>
            <w:shd w:val="clear" w:color="000000" w:fill="FFFFFF"/>
            <w:hideMark/>
          </w:tcPr>
          <w:p w14:paraId="1236343C" w14:textId="77777777" w:rsidR="006C3FA5" w:rsidRPr="00C865B6" w:rsidRDefault="006C3FA5" w:rsidP="00A652C8">
            <w:pPr>
              <w:spacing w:before="120" w:after="120" w:line="240" w:lineRule="auto"/>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Chương I - QUY ĐỊNH CHUNG</w:t>
            </w:r>
          </w:p>
        </w:tc>
        <w:tc>
          <w:tcPr>
            <w:tcW w:w="5954" w:type="dxa"/>
            <w:tcBorders>
              <w:top w:val="nil"/>
              <w:left w:val="nil"/>
              <w:bottom w:val="single" w:sz="4" w:space="0" w:color="auto"/>
              <w:right w:val="single" w:sz="4" w:space="0" w:color="auto"/>
            </w:tcBorders>
            <w:shd w:val="clear" w:color="000000" w:fill="FFFFFF"/>
            <w:hideMark/>
          </w:tcPr>
          <w:p w14:paraId="447EACE0" w14:textId="77777777" w:rsidR="006C3FA5" w:rsidRPr="00C865B6" w:rsidRDefault="006C3FA5" w:rsidP="00A652C8">
            <w:pPr>
              <w:spacing w:before="120" w:after="120" w:line="240" w:lineRule="auto"/>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w:t>
            </w:r>
          </w:p>
        </w:tc>
      </w:tr>
      <w:tr w:rsidR="006C3FA5" w:rsidRPr="00C865B6" w14:paraId="0D96C24A" w14:textId="77777777" w:rsidTr="004B39B5">
        <w:trPr>
          <w:trHeight w:val="542"/>
        </w:trPr>
        <w:tc>
          <w:tcPr>
            <w:tcW w:w="4537" w:type="dxa"/>
            <w:tcBorders>
              <w:top w:val="nil"/>
              <w:left w:val="single" w:sz="4" w:space="0" w:color="auto"/>
              <w:bottom w:val="single" w:sz="4" w:space="0" w:color="auto"/>
              <w:right w:val="single" w:sz="4" w:space="0" w:color="auto"/>
            </w:tcBorders>
            <w:shd w:val="clear" w:color="000000" w:fill="FFFFFF"/>
            <w:hideMark/>
          </w:tcPr>
          <w:p w14:paraId="3E979149" w14:textId="77777777" w:rsidR="00877C96" w:rsidRPr="00C865B6" w:rsidRDefault="00877C96" w:rsidP="00E20EB2">
            <w:pPr>
              <w:spacing w:before="120" w:after="120" w:line="240" w:lineRule="auto"/>
              <w:jc w:val="both"/>
              <w:rPr>
                <w:rFonts w:ascii="Times New Roman" w:eastAsia="Times New Roman" w:hAnsi="Times New Roman" w:cs="Times New Roman"/>
                <w:b/>
                <w:bCs/>
                <w:color w:val="000000"/>
                <w:kern w:val="0"/>
                <w:sz w:val="26"/>
                <w:szCs w:val="26"/>
                <w:u w:val="single"/>
                <w:lang w:eastAsia="vi-VN"/>
                <w14:ligatures w14:val="none"/>
              </w:rPr>
            </w:pPr>
            <w:r w:rsidRPr="00C865B6">
              <w:rPr>
                <w:rFonts w:ascii="Times New Roman" w:eastAsia="Times New Roman" w:hAnsi="Times New Roman" w:cs="Times New Roman"/>
                <w:b/>
                <w:bCs/>
                <w:color w:val="000000"/>
                <w:kern w:val="0"/>
                <w:sz w:val="26"/>
                <w:szCs w:val="26"/>
                <w:u w:val="single"/>
                <w:lang w:eastAsia="vi-VN"/>
                <w14:ligatures w14:val="none"/>
              </w:rPr>
              <w:t xml:space="preserve">(1) Nghị quyết số 31/2025/NQ-HĐND ngày 09/12/2025 của HĐND thành phố </w:t>
            </w:r>
          </w:p>
          <w:p w14:paraId="0A21DDC2" w14:textId="77777777" w:rsidR="00E20EB2"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1. Phạm vi điều chỉnh, đối tượng áp dụng</w:t>
            </w:r>
          </w:p>
          <w:p w14:paraId="534E1ABC" w14:textId="77777777" w:rsidR="006B08B3"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Phạm vi điều chỉnh: Nghị quyết này quy định phân cấp nguồn thu, nhiệm vụ chi và tỷ lệ phần trăm (%) phân chia các khoản thu (không bao gồm khoản thu tiền sử dụng đất) giữa ngân sách thành phố và ngân sách cấp xã thành phố Hải Phòng năm 2026.</w:t>
            </w:r>
          </w:p>
          <w:p w14:paraId="136A4ABD" w14:textId="77777777" w:rsidR="006B08B3"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Đối tượng áp dụng: </w:t>
            </w:r>
          </w:p>
          <w:p w14:paraId="5C454EA2" w14:textId="3EE93385" w:rsidR="006B08B3"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a) Ủy ban nhân dân các cấp trên địa bàn thành phố Hải Phòng.</w:t>
            </w:r>
          </w:p>
          <w:p w14:paraId="615C2C09" w14:textId="070B6C45" w:rsidR="006C3FA5"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b) Các cơ quan, tổ chức, cá nhân có liên quan đến nhiệm vụ thu, chi ngân sách Nhà nước trên địa bàn thành phố Hải Phòng.</w:t>
            </w:r>
          </w:p>
          <w:p w14:paraId="28125194" w14:textId="77777777" w:rsidR="002815DB" w:rsidRPr="00C865B6" w:rsidRDefault="002815DB" w:rsidP="00E20EB2">
            <w:pPr>
              <w:spacing w:before="120" w:after="120" w:line="240" w:lineRule="auto"/>
              <w:jc w:val="both"/>
              <w:rPr>
                <w:rFonts w:ascii="Times New Roman" w:eastAsia="Times New Roman" w:hAnsi="Times New Roman" w:cs="Times New Roman"/>
                <w:b/>
                <w:bCs/>
                <w:color w:val="000000"/>
                <w:kern w:val="0"/>
                <w:sz w:val="26"/>
                <w:szCs w:val="26"/>
                <w:u w:val="single"/>
                <w:lang w:eastAsia="vi-VN"/>
                <w14:ligatures w14:val="none"/>
              </w:rPr>
            </w:pPr>
            <w:r w:rsidRPr="00C865B6">
              <w:rPr>
                <w:rFonts w:ascii="Times New Roman" w:eastAsia="Times New Roman" w:hAnsi="Times New Roman" w:cs="Times New Roman"/>
                <w:b/>
                <w:bCs/>
                <w:color w:val="000000"/>
                <w:kern w:val="0"/>
                <w:sz w:val="26"/>
                <w:szCs w:val="26"/>
                <w:u w:val="single"/>
                <w:lang w:eastAsia="vi-VN"/>
                <w14:ligatures w14:val="none"/>
              </w:rPr>
              <w:t xml:space="preserve">(2) Nghị quyết số 24/2025/NQ-HĐND ngày 13/11/2025 của HĐND thành phố </w:t>
            </w:r>
          </w:p>
          <w:p w14:paraId="5E51F6D2" w14:textId="77777777" w:rsidR="006B08B3" w:rsidRPr="00C865B6" w:rsidRDefault="002815DB"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1. Phạm vi điều chỉnh, đối tượng áp dụng</w:t>
            </w:r>
          </w:p>
          <w:p w14:paraId="48462129" w14:textId="77777777" w:rsidR="006B08B3" w:rsidRPr="00C865B6" w:rsidRDefault="002815DB"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1. Phạm vi điều chỉnh: Quy định tỷ lệ phần trăm (%) phân chia nguồn thu tiền </w:t>
            </w:r>
            <w:r w:rsidRPr="00C865B6">
              <w:rPr>
                <w:rFonts w:ascii="Times New Roman" w:eastAsia="Times New Roman" w:hAnsi="Times New Roman" w:cs="Times New Roman"/>
                <w:color w:val="000000"/>
                <w:kern w:val="0"/>
                <w:sz w:val="26"/>
                <w:szCs w:val="26"/>
                <w:lang w:eastAsia="vi-VN"/>
                <w14:ligatures w14:val="none"/>
              </w:rPr>
              <w:lastRenderedPageBreak/>
              <w:t>sử dụng đất giữa ngân sách thành phố và ngân sách cấp xã trên địa bàn thành phố Hải Phòng từ năm 2026.</w:t>
            </w:r>
          </w:p>
          <w:p w14:paraId="2A998550" w14:textId="77777777" w:rsidR="006B08B3" w:rsidRPr="00C865B6" w:rsidRDefault="002815DB"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Đối tượng áp dụng: </w:t>
            </w:r>
          </w:p>
          <w:p w14:paraId="0979EC54" w14:textId="77777777" w:rsidR="006B08B3" w:rsidRPr="00C865B6" w:rsidRDefault="002815DB"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a) Ủy ban nhân dân các cấp trên địa bàn thành phố Hải Phòng.</w:t>
            </w:r>
          </w:p>
          <w:p w14:paraId="7F4ABA64" w14:textId="23FF0545" w:rsidR="002815DB" w:rsidRPr="00C865B6" w:rsidRDefault="002815DB"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b) Các cơ quan, tổ chức, cá nhân có liên quan đến nhiệm vụ thu tiền sử dụng đất trên địa bàn thành phố Hải Phòng.</w:t>
            </w:r>
          </w:p>
        </w:tc>
        <w:tc>
          <w:tcPr>
            <w:tcW w:w="4536" w:type="dxa"/>
            <w:tcBorders>
              <w:top w:val="nil"/>
              <w:left w:val="nil"/>
              <w:bottom w:val="single" w:sz="4" w:space="0" w:color="auto"/>
              <w:right w:val="single" w:sz="4" w:space="0" w:color="auto"/>
            </w:tcBorders>
            <w:shd w:val="clear" w:color="000000" w:fill="FFFFFF"/>
            <w:hideMark/>
          </w:tcPr>
          <w:p w14:paraId="672BC18C" w14:textId="77777777" w:rsidR="006B08B3"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1. Phạm vi điều chỉnh, đối tượng áp dụng</w:t>
            </w:r>
          </w:p>
          <w:p w14:paraId="4F670A37" w14:textId="7179C29C" w:rsidR="006B08B3"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Phạm vi điều chỉnh: Nghị quyết này quy định phân cấp nguồn thu, nhiệm vụ chi và tỷ lệ phần trăm (%) phân chia các khoản thu giữa ngân sách thành phố và ngân sách cấp xã thành phố Hải Phòng giai đoạn 2027 - 2030.</w:t>
            </w:r>
          </w:p>
          <w:p w14:paraId="4EDFEC80" w14:textId="77777777" w:rsidR="006B08B3"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Đối tượng áp dụng: </w:t>
            </w:r>
          </w:p>
          <w:p w14:paraId="500DFBC8" w14:textId="77777777" w:rsidR="006B08B3"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a) Hội đồng nhân dân, Ủy ban nhân dân các cấp trên địa bàn thành phố Hải Phòng.</w:t>
            </w:r>
          </w:p>
          <w:p w14:paraId="70DD85D6" w14:textId="0BA83BE2" w:rsidR="006C3FA5"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b) Các cơ quan, tổ chức, cá nhân có liên quan đến nhiệm vụ thu, chi ngân sách nhà nước trên địa bàn thành phố Hải Phòng.</w:t>
            </w:r>
          </w:p>
        </w:tc>
        <w:tc>
          <w:tcPr>
            <w:tcW w:w="5954" w:type="dxa"/>
            <w:tcBorders>
              <w:top w:val="nil"/>
              <w:left w:val="nil"/>
              <w:bottom w:val="single" w:sz="4" w:space="0" w:color="auto"/>
              <w:right w:val="single" w:sz="4" w:space="0" w:color="auto"/>
            </w:tcBorders>
            <w:shd w:val="clear" w:color="000000" w:fill="FFFFFF"/>
            <w:hideMark/>
          </w:tcPr>
          <w:p w14:paraId="172C0755" w14:textId="77777777" w:rsidR="006B08B3" w:rsidRPr="006C496D"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Nội dung kế thừa: Phân cấp nguồn thu, tỷ lệ phần trăm (%) phân chia các khoản thu và nhiệm vụ chi giữa ngân sách thành phố và ngân sách cấp xã thành phố Hải Phòng với phạm vi điều chỉnh, đối tượng áp dụng tương đồng.</w:t>
            </w:r>
          </w:p>
          <w:p w14:paraId="7D645827" w14:textId="4C05D793" w:rsidR="006C3FA5"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Nội dung sửa đổi, bổ sung: Phạm vi điều chỉnh hợp nhất quy định Nghị quyết số 31/2025/NQ-HĐND ngày 09/12/2025 và Nghị quyết số 24/2025/NQ-HĐND ngày 13/11/2025 của HĐND thành phố, bao gồm các khoản thu trong đó có khoản thu tiền sử dụng đất; áp dụng cho giai đoạn 2027 - 2030.</w:t>
            </w:r>
          </w:p>
        </w:tc>
      </w:tr>
      <w:tr w:rsidR="006C3FA5" w:rsidRPr="00C865B6" w14:paraId="4008EF39" w14:textId="77777777" w:rsidTr="003610E0">
        <w:trPr>
          <w:trHeight w:val="542"/>
        </w:trPr>
        <w:tc>
          <w:tcPr>
            <w:tcW w:w="4537" w:type="dxa"/>
            <w:tcBorders>
              <w:top w:val="nil"/>
              <w:left w:val="single" w:sz="4" w:space="0" w:color="auto"/>
              <w:bottom w:val="single" w:sz="4" w:space="0" w:color="auto"/>
              <w:right w:val="single" w:sz="4" w:space="0" w:color="auto"/>
            </w:tcBorders>
            <w:shd w:val="clear" w:color="000000" w:fill="FFFFFF"/>
            <w:hideMark/>
          </w:tcPr>
          <w:p w14:paraId="7C7768A4" w14:textId="77777777" w:rsidR="003610E0" w:rsidRPr="00C865B6" w:rsidRDefault="006C3FA5" w:rsidP="003610E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bookmarkStart w:id="0" w:name="RANGE!A17"/>
            <w:r w:rsidRPr="00C865B6">
              <w:rPr>
                <w:rFonts w:ascii="Times New Roman" w:eastAsia="Times New Roman" w:hAnsi="Times New Roman" w:cs="Times New Roman"/>
                <w:b/>
                <w:bCs/>
                <w:color w:val="000000"/>
                <w:kern w:val="0"/>
                <w:sz w:val="26"/>
                <w:szCs w:val="26"/>
                <w:lang w:eastAsia="vi-VN"/>
                <w14:ligatures w14:val="none"/>
              </w:rPr>
              <w:t>Điều 2. Nguyên tắc phân cấp nguồn thu, nhiệm vụ chi và phân chia các khoản thu giữa ngân sách các cấp chính quyền địa phương</w:t>
            </w:r>
          </w:p>
          <w:p w14:paraId="77EBB7CA" w14:textId="655156AF" w:rsidR="006C3FA5" w:rsidRPr="00C865B6" w:rsidRDefault="006C3FA5" w:rsidP="003610E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Việc phân cấp nguồn thu, nhiệm vụ chi giữa ngân sách các cấp chính quyền địa phương đảm bảo theo 05 nguyên tắc</w:t>
            </w:r>
            <w:bookmarkEnd w:id="0"/>
          </w:p>
        </w:tc>
        <w:tc>
          <w:tcPr>
            <w:tcW w:w="4536" w:type="dxa"/>
            <w:tcBorders>
              <w:top w:val="nil"/>
              <w:left w:val="nil"/>
              <w:bottom w:val="single" w:sz="4" w:space="0" w:color="auto"/>
              <w:right w:val="single" w:sz="4" w:space="0" w:color="auto"/>
            </w:tcBorders>
            <w:shd w:val="clear" w:color="000000" w:fill="FFFFFF"/>
            <w:hideMark/>
          </w:tcPr>
          <w:p w14:paraId="4B579DD5" w14:textId="77777777" w:rsidR="003610E0" w:rsidRPr="00C865B6" w:rsidRDefault="006C3FA5" w:rsidP="003610E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2. Nguyên tắc phân cấp nguồn thu, nhiệm vụ chi và phân chia các khoản thu giữa ngân sách các cấp chính quyền địa phương</w:t>
            </w:r>
          </w:p>
          <w:p w14:paraId="28F6B7F8" w14:textId="036B6D95" w:rsidR="006C3FA5" w:rsidRPr="00C865B6" w:rsidRDefault="006C3FA5" w:rsidP="003610E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Việc phân cấp nguồn thu, nhiệm vụ chi giữa ngân sách các cấp chính quyền địa phương đảm bảo theo 05 nguyên tắc</w:t>
            </w:r>
          </w:p>
        </w:tc>
        <w:tc>
          <w:tcPr>
            <w:tcW w:w="5954" w:type="dxa"/>
            <w:tcBorders>
              <w:top w:val="nil"/>
              <w:left w:val="nil"/>
              <w:bottom w:val="single" w:sz="4" w:space="0" w:color="auto"/>
              <w:right w:val="single" w:sz="4" w:space="0" w:color="auto"/>
            </w:tcBorders>
            <w:shd w:val="clear" w:color="000000" w:fill="FFFFFF"/>
            <w:hideMark/>
          </w:tcPr>
          <w:p w14:paraId="6E15DF1F" w14:textId="77777777" w:rsidR="003610E0" w:rsidRPr="006C496D" w:rsidRDefault="006C3FA5" w:rsidP="003610E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Nội dung kế thừa: Cơ bản giữ nguyên các nguyên tắc khi thực hiện phân cấp nguồn thu, nhiệm vụ chi giữa ngân sách các cấp chính quyền địa phương.</w:t>
            </w:r>
          </w:p>
          <w:p w14:paraId="646CA168" w14:textId="77777777" w:rsidR="003610E0" w:rsidRPr="006C496D" w:rsidRDefault="006C3FA5" w:rsidP="003610E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Nội dung sửa đổi, bổ sung: Để đảm bảo vai trò chủ đạo, chủ động của ngân sách thành phố, đồng thời đảm bảo tính ổn định, hạn chế tác động của việc điều chỉnh tăng, giảm tỷ lệ phân chia đến nguồn thu ngân sách cấp xã, bổ sung các nội dung chính: </w:t>
            </w:r>
          </w:p>
          <w:p w14:paraId="3BA9E982" w14:textId="77777777" w:rsidR="003610E0" w:rsidRPr="006C496D" w:rsidRDefault="006C3FA5" w:rsidP="003610E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Đối với các khoản thu có tỷ lệ phân chia phần ngân sách địa phương được hưởng có thể thay đổi, điều chỉnh hàng năm theo quy định (thu tiền sử dụng đất, tiền thuê đất, thuế giá trị gia tăng; các khoản thu theo quy định mới nếu có phát sinh), thực hiện phân chia tập trung về ngân sách thành phố. Tỷ lệ phân chia ngân sách thành phố được hưởng thay đổi, điều chỉnh tương ứng với tỷ </w:t>
            </w:r>
            <w:r w:rsidRPr="00C865B6">
              <w:rPr>
                <w:rFonts w:ascii="Times New Roman" w:eastAsia="Times New Roman" w:hAnsi="Times New Roman" w:cs="Times New Roman"/>
                <w:color w:val="000000"/>
                <w:kern w:val="0"/>
                <w:sz w:val="26"/>
                <w:szCs w:val="26"/>
                <w:lang w:eastAsia="vi-VN"/>
                <w14:ligatures w14:val="none"/>
              </w:rPr>
              <w:lastRenderedPageBreak/>
              <w:t xml:space="preserve">lệ tăng, giảm phần ngân sách địa phương được hưởng theo quy định của Trung ương hàng năm (nếu có). </w:t>
            </w:r>
          </w:p>
          <w:p w14:paraId="1BFC7B0A" w14:textId="5BB7F7CA" w:rsidR="006C3FA5" w:rsidRPr="00C865B6" w:rsidRDefault="006C3FA5" w:rsidP="003610E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Trong quá trình xây dựng dự toán ngân sách nhà nước hàng năm, trường hợp phát sinh các doanh nghiệp có số thu nộp ngân sách nhà nước lớn (tương đồng với các doanh nghiệp thuộc khu vực kinh tế ngoài quốc doanh thực hiện phân chia, hạch toán riêng tại Phụ lục kèm theo Nghị quyết này), Ủy ban nhân dân thành phố rà soát, xác định, báo cáo bổ sung khi trình Hội đồng nhân dân thành phố về dự toán thu, chi ngân sách theo quy định.</w:t>
            </w:r>
          </w:p>
        </w:tc>
      </w:tr>
      <w:tr w:rsidR="006C3FA5" w:rsidRPr="00C865B6" w14:paraId="74016521" w14:textId="77777777" w:rsidTr="004B39B5">
        <w:trPr>
          <w:trHeight w:val="1200"/>
        </w:trPr>
        <w:tc>
          <w:tcPr>
            <w:tcW w:w="4537" w:type="dxa"/>
            <w:tcBorders>
              <w:top w:val="nil"/>
              <w:left w:val="single" w:sz="4" w:space="0" w:color="auto"/>
              <w:bottom w:val="single" w:sz="4" w:space="0" w:color="auto"/>
              <w:right w:val="single" w:sz="4" w:space="0" w:color="auto"/>
            </w:tcBorders>
            <w:shd w:val="clear" w:color="000000" w:fill="FFFFFF"/>
            <w:hideMark/>
          </w:tcPr>
          <w:p w14:paraId="31CE2736" w14:textId="77777777" w:rsidR="006C3FA5"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Chương II - PHÂN CẤP NGUỒN THU, NHIỆM VỤ CHI VÀ TỶ LỆ PHẦN TRĂM (%) PHÂN CHIA CÁC KHOẢN THU GIỮA NGÂN SÁCH CÁC CẤP THÀNH PHỐ HẢI PHÒNG</w:t>
            </w:r>
          </w:p>
        </w:tc>
        <w:tc>
          <w:tcPr>
            <w:tcW w:w="4536" w:type="dxa"/>
            <w:tcBorders>
              <w:top w:val="nil"/>
              <w:left w:val="nil"/>
              <w:bottom w:val="single" w:sz="4" w:space="0" w:color="auto"/>
              <w:right w:val="single" w:sz="4" w:space="0" w:color="auto"/>
            </w:tcBorders>
            <w:shd w:val="clear" w:color="000000" w:fill="FFFFFF"/>
            <w:hideMark/>
          </w:tcPr>
          <w:p w14:paraId="4CC323B9" w14:textId="77777777" w:rsidR="006C3FA5"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Chương II - PHÂN CẤP NGUỒN THU, NHIỆM VỤ CHI VÀ TỶ LỆ PHẦN TRĂM (%) PHÂN CHIA CÁC KHOẢN THU GIỮA NGÂN SÁCH CÁC CẤP THÀNH PHỐ HẢI PHÒNG</w:t>
            </w:r>
          </w:p>
        </w:tc>
        <w:tc>
          <w:tcPr>
            <w:tcW w:w="5954" w:type="dxa"/>
            <w:tcBorders>
              <w:top w:val="nil"/>
              <w:left w:val="nil"/>
              <w:bottom w:val="single" w:sz="4" w:space="0" w:color="auto"/>
              <w:right w:val="single" w:sz="4" w:space="0" w:color="auto"/>
            </w:tcBorders>
            <w:shd w:val="clear" w:color="000000" w:fill="FFFFFF"/>
            <w:hideMark/>
          </w:tcPr>
          <w:p w14:paraId="753E59A1" w14:textId="77777777" w:rsidR="006C3FA5"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w:t>
            </w:r>
          </w:p>
        </w:tc>
      </w:tr>
      <w:tr w:rsidR="006C3FA5" w:rsidRPr="00C865B6" w14:paraId="49341C54" w14:textId="77777777" w:rsidTr="004B39B5">
        <w:trPr>
          <w:trHeight w:val="1676"/>
        </w:trPr>
        <w:tc>
          <w:tcPr>
            <w:tcW w:w="4537" w:type="dxa"/>
            <w:tcBorders>
              <w:top w:val="nil"/>
              <w:left w:val="single" w:sz="4" w:space="0" w:color="auto"/>
              <w:bottom w:val="single" w:sz="4" w:space="0" w:color="auto"/>
              <w:right w:val="single" w:sz="4" w:space="0" w:color="auto"/>
            </w:tcBorders>
            <w:shd w:val="clear" w:color="000000" w:fill="FFFFFF"/>
            <w:hideMark/>
          </w:tcPr>
          <w:p w14:paraId="3722BB64" w14:textId="77777777" w:rsidR="00B37B47" w:rsidRPr="00C865B6" w:rsidRDefault="00B37B47" w:rsidP="00DA2770">
            <w:pPr>
              <w:spacing w:before="120" w:after="120" w:line="240" w:lineRule="auto"/>
              <w:jc w:val="both"/>
              <w:rPr>
                <w:rFonts w:ascii="Times New Roman" w:eastAsia="Times New Roman" w:hAnsi="Times New Roman" w:cs="Times New Roman"/>
                <w:b/>
                <w:bCs/>
                <w:color w:val="000000"/>
                <w:kern w:val="0"/>
                <w:sz w:val="26"/>
                <w:szCs w:val="26"/>
                <w:u w:val="single"/>
                <w:lang w:eastAsia="vi-VN"/>
                <w14:ligatures w14:val="none"/>
              </w:rPr>
            </w:pPr>
            <w:bookmarkStart w:id="1" w:name="RANGE!A20"/>
            <w:r w:rsidRPr="00C865B6">
              <w:rPr>
                <w:rFonts w:ascii="Times New Roman" w:eastAsia="Times New Roman" w:hAnsi="Times New Roman" w:cs="Times New Roman"/>
                <w:b/>
                <w:bCs/>
                <w:color w:val="000000"/>
                <w:kern w:val="0"/>
                <w:sz w:val="26"/>
                <w:szCs w:val="26"/>
                <w:u w:val="single"/>
                <w:lang w:eastAsia="vi-VN"/>
                <w14:ligatures w14:val="none"/>
              </w:rPr>
              <w:t xml:space="preserve">(1) Nghị quyết số 31/2025/NQ-HĐND ngày 09/12/2025 của HĐND thành phố </w:t>
            </w:r>
          </w:p>
          <w:p w14:paraId="27F4237E" w14:textId="77777777" w:rsidR="00DA2770"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Mục 1: PHÂN CẤP NGUỒN THU, TỶ LỆ PHẦN TRĂM (%) PHÂN CHIA CÁC KHOẢN THU CỦA NGÂN SÁCH ĐỊA PHƯƠNG</w:t>
            </w:r>
          </w:p>
          <w:p w14:paraId="7CD1B0DE"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3. Các khoản thu ngân sách thành phố hưởng 100%</w:t>
            </w:r>
            <w:r w:rsidRPr="00C865B6">
              <w:rPr>
                <w:rFonts w:ascii="Times New Roman" w:eastAsia="Times New Roman" w:hAnsi="Times New Roman" w:cs="Times New Roman"/>
                <w:color w:val="000000"/>
                <w:kern w:val="0"/>
                <w:sz w:val="26"/>
                <w:szCs w:val="26"/>
                <w:lang w:eastAsia="vi-VN"/>
                <w14:ligatures w14:val="none"/>
              </w:rPr>
              <w:t xml:space="preserve"> (21 khoản thu)</w:t>
            </w:r>
          </w:p>
          <w:p w14:paraId="3CD58587"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4. Các khoản thu ngân sách cấp xã hưởng 100%</w:t>
            </w:r>
            <w:r w:rsidRPr="00C865B6">
              <w:rPr>
                <w:rFonts w:ascii="Times New Roman" w:eastAsia="Times New Roman" w:hAnsi="Times New Roman" w:cs="Times New Roman"/>
                <w:color w:val="000000"/>
                <w:kern w:val="0"/>
                <w:sz w:val="26"/>
                <w:szCs w:val="26"/>
                <w:lang w:eastAsia="vi-VN"/>
                <w14:ligatures w14:val="none"/>
              </w:rPr>
              <w:t xml:space="preserve"> (16 khoản thu)</w:t>
            </w:r>
          </w:p>
          <w:p w14:paraId="744D322E"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5. Các khoản thu phân chia theo tỷ lệ phần trăm (%) giữa các cấp ngân sách</w:t>
            </w:r>
            <w:r w:rsidRPr="00C865B6">
              <w:rPr>
                <w:rFonts w:ascii="Times New Roman" w:eastAsia="Times New Roman" w:hAnsi="Times New Roman" w:cs="Times New Roman"/>
                <w:color w:val="000000"/>
                <w:kern w:val="0"/>
                <w:sz w:val="26"/>
                <w:szCs w:val="26"/>
                <w:lang w:eastAsia="vi-VN"/>
                <w14:ligatures w14:val="none"/>
              </w:rPr>
              <w:t xml:space="preserve"> (08 khoản thu)</w:t>
            </w:r>
          </w:p>
          <w:p w14:paraId="24AC89B2" w14:textId="77777777" w:rsidR="00DA2770"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6. Phân cấp, phân chia khoản thu tiền chậm nộp</w:t>
            </w:r>
          </w:p>
          <w:p w14:paraId="55405295" w14:textId="027A30BE" w:rsidR="006C3FA5" w:rsidRPr="00C865B6" w:rsidRDefault="006C3FA5" w:rsidP="00DA2770">
            <w:pPr>
              <w:spacing w:before="120" w:after="120" w:line="240" w:lineRule="auto"/>
              <w:jc w:val="both"/>
              <w:rPr>
                <w:rFonts w:ascii="Times New Roman" w:eastAsia="Times New Roman" w:hAnsi="Times New Roman" w:cs="Times New Roman"/>
                <w:i/>
                <w:iCs/>
                <w:color w:val="000000"/>
                <w:kern w:val="0"/>
                <w:sz w:val="26"/>
                <w:szCs w:val="26"/>
                <w:lang w:eastAsia="vi-VN"/>
                <w14:ligatures w14:val="none"/>
              </w:rPr>
            </w:pPr>
            <w:r w:rsidRPr="00C865B6">
              <w:rPr>
                <w:rFonts w:ascii="Times New Roman" w:eastAsia="Times New Roman" w:hAnsi="Times New Roman" w:cs="Times New Roman"/>
                <w:i/>
                <w:iCs/>
                <w:color w:val="000000"/>
                <w:kern w:val="0"/>
                <w:sz w:val="26"/>
                <w:szCs w:val="26"/>
                <w:lang w:eastAsia="vi-VN"/>
                <w14:ligatures w14:val="none"/>
              </w:rPr>
              <w:t>(Kèm theo Phụ lục về tỷ lệ phần trăm (%) phân chia các khoản thu giữa các cấp ngân sách thành phố Hải Phòng)</w:t>
            </w:r>
            <w:bookmarkEnd w:id="1"/>
          </w:p>
          <w:p w14:paraId="1FACF51F" w14:textId="77777777" w:rsidR="00877C96" w:rsidRPr="00C865B6" w:rsidRDefault="00877C96" w:rsidP="00DA2770">
            <w:pPr>
              <w:spacing w:before="120" w:after="120" w:line="240" w:lineRule="auto"/>
              <w:jc w:val="both"/>
              <w:rPr>
                <w:rFonts w:ascii="Times New Roman" w:eastAsia="Times New Roman" w:hAnsi="Times New Roman" w:cs="Times New Roman"/>
                <w:b/>
                <w:bCs/>
                <w:color w:val="000000"/>
                <w:kern w:val="0"/>
                <w:sz w:val="26"/>
                <w:szCs w:val="26"/>
                <w:u w:val="single"/>
                <w:lang w:eastAsia="vi-VN"/>
                <w14:ligatures w14:val="none"/>
              </w:rPr>
            </w:pPr>
            <w:r w:rsidRPr="00C865B6">
              <w:rPr>
                <w:rFonts w:ascii="Times New Roman" w:eastAsia="Times New Roman" w:hAnsi="Times New Roman" w:cs="Times New Roman"/>
                <w:b/>
                <w:bCs/>
                <w:color w:val="000000"/>
                <w:kern w:val="0"/>
                <w:sz w:val="26"/>
                <w:szCs w:val="26"/>
                <w:u w:val="single"/>
                <w:lang w:eastAsia="vi-VN"/>
                <w14:ligatures w14:val="none"/>
              </w:rPr>
              <w:t>(2) Nghị quyết số 24/2025/NQ-HĐND ngày 13/11/2025 của HĐND thành phố</w:t>
            </w:r>
          </w:p>
          <w:p w14:paraId="42FE8C60" w14:textId="49447BAE" w:rsidR="00877C96" w:rsidRPr="00C865B6" w:rsidRDefault="00877C96"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 xml:space="preserve">Điều 2. Quy định cụ thể phần trăm (%) phân chia nguồn thu tiền sử dụng đất giữa các cấp ngân sách trên địa bàn thành phố Hải Phòng </w:t>
            </w:r>
            <w:r w:rsidRPr="00C865B6">
              <w:rPr>
                <w:rFonts w:ascii="Times New Roman" w:eastAsia="Times New Roman" w:hAnsi="Times New Roman" w:cs="Times New Roman"/>
                <w:i/>
                <w:iCs/>
                <w:color w:val="000000"/>
                <w:kern w:val="0"/>
                <w:sz w:val="26"/>
                <w:szCs w:val="26"/>
                <w:lang w:eastAsia="vi-VN"/>
                <w14:ligatures w14:val="none"/>
              </w:rPr>
              <w:t>(Biểu phân chia theo 05 khoản mục thu tiền sử dụng đất)</w:t>
            </w:r>
          </w:p>
        </w:tc>
        <w:tc>
          <w:tcPr>
            <w:tcW w:w="4536" w:type="dxa"/>
            <w:tcBorders>
              <w:top w:val="nil"/>
              <w:left w:val="nil"/>
              <w:bottom w:val="single" w:sz="4" w:space="0" w:color="auto"/>
              <w:right w:val="single" w:sz="4" w:space="0" w:color="auto"/>
            </w:tcBorders>
            <w:shd w:val="clear" w:color="000000" w:fill="FFFFFF"/>
            <w:hideMark/>
          </w:tcPr>
          <w:p w14:paraId="2CF01F81" w14:textId="77777777" w:rsidR="00DA2770"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Mục 1: PHÂN CẤP NGUỒN THU, TỶ LỆ PHẦN TRĂM (%) PHÂN CHIA CÁC KHOẢN THU CỦA NGÂN SÁCH ĐỊA PHƯƠNG</w:t>
            </w:r>
          </w:p>
          <w:p w14:paraId="13E03043" w14:textId="77777777" w:rsidR="00DA2770"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3. Nguồn thu của ngân sách thành phố và ngân sách cấp xã</w:t>
            </w:r>
          </w:p>
          <w:p w14:paraId="76640D21"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4. Các khoản thu ngân sách thành phố hưởng 100%</w:t>
            </w:r>
            <w:r w:rsidRPr="00C865B6">
              <w:rPr>
                <w:rFonts w:ascii="Times New Roman" w:eastAsia="Times New Roman" w:hAnsi="Times New Roman" w:cs="Times New Roman"/>
                <w:color w:val="000000"/>
                <w:kern w:val="0"/>
                <w:sz w:val="26"/>
                <w:szCs w:val="26"/>
                <w:lang w:eastAsia="vi-VN"/>
                <w14:ligatures w14:val="none"/>
              </w:rPr>
              <w:t xml:space="preserve"> (21 khoản thu)</w:t>
            </w:r>
          </w:p>
          <w:p w14:paraId="35BB20E4"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5. Các khoản thu ngân sách cấp xã hưởng 100%</w:t>
            </w:r>
            <w:r w:rsidRPr="00C865B6">
              <w:rPr>
                <w:rFonts w:ascii="Times New Roman" w:eastAsia="Times New Roman" w:hAnsi="Times New Roman" w:cs="Times New Roman"/>
                <w:color w:val="000000"/>
                <w:kern w:val="0"/>
                <w:sz w:val="26"/>
                <w:szCs w:val="26"/>
                <w:lang w:eastAsia="vi-VN"/>
                <w14:ligatures w14:val="none"/>
              </w:rPr>
              <w:t xml:space="preserve"> (15 khoản thu)</w:t>
            </w:r>
          </w:p>
          <w:p w14:paraId="7657B59C"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6. Các khoản thu phân chia theo tỷ lệ phần trăm (%) giữa các cấp ngân sách</w:t>
            </w:r>
            <w:r w:rsidRPr="00C865B6">
              <w:rPr>
                <w:rFonts w:ascii="Times New Roman" w:eastAsia="Times New Roman" w:hAnsi="Times New Roman" w:cs="Times New Roman"/>
                <w:color w:val="000000"/>
                <w:kern w:val="0"/>
                <w:sz w:val="26"/>
                <w:szCs w:val="26"/>
                <w:lang w:eastAsia="vi-VN"/>
                <w14:ligatures w14:val="none"/>
              </w:rPr>
              <w:t xml:space="preserve"> (10 khoản thu, bao gồm cả khỏa thu tiền sử dụng đất)</w:t>
            </w:r>
          </w:p>
          <w:p w14:paraId="2AC0F5FC" w14:textId="77777777" w:rsidR="00DA2770"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7. Phân cấp, phân chia khoản thu tiền chậm nộp</w:t>
            </w:r>
          </w:p>
          <w:p w14:paraId="3A5C21C8" w14:textId="10D08668" w:rsidR="006C3FA5" w:rsidRPr="00C865B6" w:rsidRDefault="006C3FA5" w:rsidP="00DA2770">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i/>
                <w:iCs/>
                <w:color w:val="000000"/>
                <w:kern w:val="0"/>
                <w:sz w:val="26"/>
                <w:szCs w:val="26"/>
                <w:lang w:eastAsia="vi-VN"/>
                <w14:ligatures w14:val="none"/>
              </w:rPr>
              <w:t>(Kèm theo Phụ lục về tỷ lệ phần trăm (%) phân chia các khoản thu giữa các cấp ngân sách thành phố Hải Phòng)</w:t>
            </w:r>
          </w:p>
        </w:tc>
        <w:tc>
          <w:tcPr>
            <w:tcW w:w="5954" w:type="dxa"/>
            <w:tcBorders>
              <w:top w:val="nil"/>
              <w:left w:val="nil"/>
              <w:bottom w:val="single" w:sz="4" w:space="0" w:color="auto"/>
              <w:right w:val="single" w:sz="4" w:space="0" w:color="auto"/>
            </w:tcBorders>
            <w:shd w:val="clear" w:color="000000" w:fill="FFFFFF"/>
            <w:hideMark/>
          </w:tcPr>
          <w:p w14:paraId="18724C72" w14:textId="77777777" w:rsidR="00DA2770" w:rsidRPr="00C865B6"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xml:space="preserve">- Nội dung kế thừa: </w:t>
            </w:r>
          </w:p>
          <w:p w14:paraId="027A0B25" w14:textId="77777777" w:rsidR="00DA2770" w:rsidRPr="006C496D"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Phân cấp nguồn thu và tỷ lệ phần trăm (%) phân chia các khoản thu giữa các cấp ngân sách, trong đó quy định: Các khoản thu ngân sách thành phố hưởng 100%; Các khoản thu ngân sách cấp xã hưởng 100%; Các khoản thu phân chia theo tỷ lệ phần trăm (%) giữa các cấp ngân sách; Phân cấp, phân chia khoản thu tiền chậm nộp.</w:t>
            </w:r>
          </w:p>
          <w:p w14:paraId="06301308" w14:textId="77777777" w:rsidR="00DA2770" w:rsidRPr="006C496D"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(2) Các khoản thu ngân sách thành phố hưởng 100%: Thuế tài nguyên; thu phí, lệ phí (trừ lệ phí trước bạ), thu khác do cơ quan, đơn vị thành phố quản lý thực hiện và các khoản thu: thu từ hoạt động xổ số kiến thiết; tiền cho thuê và tiền bán nhà ở thuộc sở hữu Nhà nước; thu tiền cấp quyền khai thác khoáng sản, tài nguyên nước do địa phương cấp phép; các khoản thu hồi vốn của ngân sách thành phố đầu tư tại các tổ chức kinh tế, thu cổ tức bằng tiền, lợi nhuận được chia; tiền bảo vệ, phát triển đất trồng lúa; tiền thuê mặt nước, tiền sử dụng khu vực biển;...</w:t>
            </w:r>
          </w:p>
          <w:p w14:paraId="7CFF6446" w14:textId="77777777" w:rsidR="00DA2770" w:rsidRPr="006C496D"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Các khoản thu ngân sách cấp xã hưởng 100%: Các khoản thuế sử dụng đất phi nông nghiệp, đất nông nghiệp; thu phí, lệ phí, thu khác do cơ quan, đơn vị cấp xã quản lý thực hiện và các khoản thu: lệ phí trước bạ nhà đất; thu từ quỹ đất công ích và hoa lợi công sản;...</w:t>
            </w:r>
          </w:p>
          <w:p w14:paraId="2BF692A1" w14:textId="77777777" w:rsidR="00DA2770" w:rsidRPr="006C496D"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Các khoản thu ngân sách cấp xã được hưởng phân chia: Các khoản thu tiền sử dụng đất phân cấp cấp xã; tiền thuê đất hàng năm (theo sổ bộ); lệ phí trước bạ phương tiện; các khoản thuế: thu nhập doanh nghiệp, tiêu thu đặc biệt từ khu vực ngoài quốc doanh phân chia ngân sách cấp xã.</w:t>
            </w:r>
          </w:p>
          <w:p w14:paraId="2869EF12" w14:textId="77777777" w:rsidR="00DA2770" w:rsidRPr="006C496D" w:rsidRDefault="006C3FA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(5) Các khoản thu phân chia giữa ngân sách thành phố và ngân sách Trung ương: Các khoản thu tiền sử dụng đất từ các dự án thành phố quyết định, quản lý; tiền thuê đất (trừ tiền thuê đất hàng năm theo sổ bộ); các khoản thu thuế: giá trị gia tăng, thu nhập doanh nghiệp, thu </w:t>
            </w:r>
            <w:r w:rsidRPr="00C865B6">
              <w:rPr>
                <w:rFonts w:ascii="Times New Roman" w:eastAsia="Times New Roman" w:hAnsi="Times New Roman" w:cs="Times New Roman"/>
                <w:color w:val="000000"/>
                <w:kern w:val="0"/>
                <w:sz w:val="26"/>
                <w:szCs w:val="26"/>
                <w:lang w:eastAsia="vi-VN"/>
                <w14:ligatures w14:val="none"/>
              </w:rPr>
              <w:lastRenderedPageBreak/>
              <w:t>nhập cá nhân, tiêu thụ đặc biệt, bảo vệ môi trường (trừ các khoản thuế: thu nhập doanh nghiệp, tiêu thu đặc biệt từ khu vực ngoài quốc doanh phân chia ngân sách cấp xã); thu tiền cấp quyền khai thác khoáng sản, tài nguyên nước do Trung ương cấp phép.</w:t>
            </w:r>
          </w:p>
          <w:p w14:paraId="355F9B0F"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Nội dung sửa đổi, bổ sung: </w:t>
            </w:r>
          </w:p>
          <w:p w14:paraId="7FAD4681"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Bổ sung Điều 3, trong đó quy định rõ nguồn thu của ngân sách thành phố và ngân sách cấp xã, trong đó có thu bổ sung cân đối ngân sách, bổ sung có mục tiêu từ ngân sách cấp trên.</w:t>
            </w:r>
          </w:p>
          <w:p w14:paraId="70E8F090"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Các khoản thu ngân sách thành phố hưởng 100%: </w:t>
            </w:r>
          </w:p>
          <w:p w14:paraId="6580C867"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Chuyển khoản thu bổ sung từ ngân sách Trung ương lên Điều 3 cho thống nhất.</w:t>
            </w:r>
          </w:p>
          <w:p w14:paraId="555502D2"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Bổ sung 01 khoản tiền thu từ khai thác quỹ đất khu vực TOD (Phát triển đô thị theo định hướng giao thông công cộng) đối với đường sắt địa phương thực hiện theo quy định tại khoản 3 Điều 25 Luật Đường sắt hoặc các cơ chế, chính sách tài chính - ngân sách đặc thù tại các Nghị quyết của Quốc hội.</w:t>
            </w:r>
          </w:p>
          <w:p w14:paraId="0079DE5D"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Các khoản thu ngân sách cấp xã hưởng 100%: Chuyển khoản thu bổ sung từ ngân sách ngân sách thành phố lên Điều 3 cho thống nhất.</w:t>
            </w:r>
          </w:p>
          <w:p w14:paraId="301F68C8"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(4) Các khoản thu ngân sách cấp xã được hưởng phân chia: </w:t>
            </w:r>
          </w:p>
          <w:p w14:paraId="3741F174"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Hợp nhất các khoản mục thu tiền sử dụng đất phân cấp cấp xã;</w:t>
            </w:r>
          </w:p>
          <w:p w14:paraId="44738757"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Điều chỉnh giảm 01 khoản thu thuế giá trị gia tăng từ khu vực ngoài quốc doanh do thực hiện phân chia phần ngân sách địa phương được hưởng theo quy định về ngân sách thành phố.</w:t>
            </w:r>
          </w:p>
          <w:p w14:paraId="1E16F8D0"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(5) Các khoản thu phân chia giữa ngân sách thành phố và ngân sách Trung ương: </w:t>
            </w:r>
          </w:p>
          <w:p w14:paraId="505034F2"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Hợp nhất các khoản mục thu tiền sử dụng đất các dự án thành phố quyết định, quản lý;</w:t>
            </w:r>
          </w:p>
          <w:p w14:paraId="52FB3856"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Bổ sung đối tượng 01 khoản thu thuế giá trị gia tăng từ khu vực ngoài quốc doanh do thực hiện phân chia phần ngân sách địa phương được hưởng theo quy định về ngân sách thành phố.</w:t>
            </w:r>
          </w:p>
          <w:p w14:paraId="62F72CEF" w14:textId="77777777" w:rsidR="00DA2770" w:rsidRPr="006C496D" w:rsidRDefault="00877C96"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Bổ sung 01 khoản tiền thu từ khai thác quỹ đất khu vực TOD (Phát triển đô thị theo định hướng giao thông công cộng) đối với đường sắt quốc gia thực hiện theo quy định tại khoản 3 Điều 25 Luật Đường sắt hoặc các cơ chế, chính sách tài chính - ngân sách đặc thù tại các Nghị quyết của Quốc hội.</w:t>
            </w:r>
          </w:p>
          <w:p w14:paraId="0CCB5749" w14:textId="77777777" w:rsidR="00DA2770" w:rsidRPr="006C496D"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(6) Điều chỉnh tỷ lệ phân chia giữa ngân sách các cấp cho phù hợp với quy định mới, cụ thể: </w:t>
            </w:r>
            <w:r w:rsidRPr="00C865B6">
              <w:rPr>
                <w:rFonts w:ascii="Times New Roman" w:eastAsia="Times New Roman" w:hAnsi="Times New Roman" w:cs="Times New Roman"/>
                <w:color w:val="000000"/>
                <w:kern w:val="0"/>
                <w:sz w:val="26"/>
                <w:szCs w:val="26"/>
                <w:lang w:eastAsia="vi-VN"/>
                <w14:ligatures w14:val="none"/>
              </w:rPr>
              <w:br w:type="page"/>
            </w:r>
          </w:p>
          <w:p w14:paraId="746267B7" w14:textId="6EBE1227" w:rsidR="004B39B5" w:rsidRPr="00C865B6"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Thu tiền sử dụng đất: Ngân sách địa phương được hưởng 85%, tăng 5% so với năm 2026.</w:t>
            </w:r>
            <w:r w:rsidRPr="00C865B6">
              <w:rPr>
                <w:rFonts w:ascii="Times New Roman" w:eastAsia="Times New Roman" w:hAnsi="Times New Roman" w:cs="Times New Roman"/>
                <w:color w:val="000000"/>
                <w:kern w:val="0"/>
                <w:sz w:val="26"/>
                <w:szCs w:val="26"/>
                <w:lang w:eastAsia="vi-VN"/>
                <w14:ligatures w14:val="none"/>
              </w:rPr>
              <w:br w:type="page"/>
            </w:r>
          </w:p>
          <w:p w14:paraId="7E31CC71" w14:textId="77777777" w:rsidR="004B39B5" w:rsidRPr="00C865B6"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Thuế giá trị gia tăng: Thực hiện quy định tại Nghị quyết số 08/2026/UBTVQH16 ngày 08/7/2026 của UBTV Quốc hội, phần ngân sách địa phương thành phố Hải Phòng được hưởng chiếm 3,65% tổng số thuế giá trị gia tăng phân chia cho ngân sách địa phương cả nước (30%), tương ứng 8.169,677 tỷ đồng; số ngân sách địa phương thành phố được hưởng tương đương 8,43%, tạm xác định là tỷ lệ phân chia cho ngân sách địa phương, giảm 75,57% so với năm 2026.</w:t>
            </w:r>
            <w:r w:rsidRPr="00C865B6">
              <w:rPr>
                <w:rFonts w:ascii="Times New Roman" w:eastAsia="Times New Roman" w:hAnsi="Times New Roman" w:cs="Times New Roman"/>
                <w:color w:val="000000"/>
                <w:kern w:val="0"/>
                <w:sz w:val="26"/>
                <w:szCs w:val="26"/>
                <w:lang w:eastAsia="vi-VN"/>
                <w14:ligatures w14:val="none"/>
              </w:rPr>
              <w:br w:type="page"/>
            </w:r>
          </w:p>
          <w:p w14:paraId="3CC253DE" w14:textId="77777777" w:rsidR="007A383C" w:rsidRPr="006C496D"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Thuế tiêu thụ đặc biệt: Ngân sách địa phương 40%, giảm 44%.</w:t>
            </w:r>
            <w:r w:rsidRPr="00C865B6">
              <w:rPr>
                <w:rFonts w:ascii="Times New Roman" w:eastAsia="Times New Roman" w:hAnsi="Times New Roman" w:cs="Times New Roman"/>
                <w:color w:val="000000"/>
                <w:kern w:val="0"/>
                <w:sz w:val="26"/>
                <w:szCs w:val="26"/>
                <w:lang w:eastAsia="vi-VN"/>
                <w14:ligatures w14:val="none"/>
              </w:rPr>
              <w:br w:type="page"/>
            </w:r>
          </w:p>
          <w:p w14:paraId="577CF9B8" w14:textId="55C9E0CF" w:rsidR="004B39B5" w:rsidRPr="00C865B6"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Thuế thu nhập doanh nghiệp: Ngân sách địa phương 75%, giảm 9%.</w:t>
            </w:r>
            <w:r w:rsidRPr="00C865B6">
              <w:rPr>
                <w:rFonts w:ascii="Times New Roman" w:eastAsia="Times New Roman" w:hAnsi="Times New Roman" w:cs="Times New Roman"/>
                <w:color w:val="000000"/>
                <w:kern w:val="0"/>
                <w:sz w:val="26"/>
                <w:szCs w:val="26"/>
                <w:lang w:eastAsia="vi-VN"/>
                <w14:ligatures w14:val="none"/>
              </w:rPr>
              <w:br w:type="page"/>
            </w:r>
          </w:p>
          <w:p w14:paraId="73210BAD" w14:textId="77777777" w:rsidR="007A383C" w:rsidRPr="006C496D"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Thuế thu nhập cá nhân: Ngân sách địa phương 75%, giảm 9%.</w:t>
            </w:r>
            <w:r w:rsidRPr="00C865B6">
              <w:rPr>
                <w:rFonts w:ascii="Times New Roman" w:eastAsia="Times New Roman" w:hAnsi="Times New Roman" w:cs="Times New Roman"/>
                <w:color w:val="000000"/>
                <w:kern w:val="0"/>
                <w:sz w:val="26"/>
                <w:szCs w:val="26"/>
                <w:lang w:eastAsia="vi-VN"/>
                <w14:ligatures w14:val="none"/>
              </w:rPr>
              <w:br w:type="page"/>
            </w:r>
          </w:p>
          <w:p w14:paraId="7084EC9F" w14:textId="1B99B77E" w:rsidR="004B39B5" w:rsidRPr="006C496D"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Thuế bảo vệ môi trường: Ngân sách địa phương 20%, giảm 64%. </w:t>
            </w:r>
            <w:r w:rsidRPr="00C865B6">
              <w:rPr>
                <w:rFonts w:ascii="Times New Roman" w:eastAsia="Times New Roman" w:hAnsi="Times New Roman" w:cs="Times New Roman"/>
                <w:color w:val="000000"/>
                <w:kern w:val="0"/>
                <w:sz w:val="26"/>
                <w:szCs w:val="26"/>
                <w:lang w:eastAsia="vi-VN"/>
                <w14:ligatures w14:val="none"/>
              </w:rPr>
              <w:br w:type="page"/>
            </w:r>
          </w:p>
          <w:p w14:paraId="3676755E" w14:textId="77777777" w:rsidR="004B39B5" w:rsidRPr="00C865B6"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Thu tiền thuê đất, mặt nước: Ngân sách địa phương 85%, tăng 5%.</w:t>
            </w:r>
            <w:r w:rsidRPr="00C865B6">
              <w:rPr>
                <w:rFonts w:ascii="Times New Roman" w:eastAsia="Times New Roman" w:hAnsi="Times New Roman" w:cs="Times New Roman"/>
                <w:color w:val="000000"/>
                <w:kern w:val="0"/>
                <w:sz w:val="26"/>
                <w:szCs w:val="26"/>
                <w:lang w:eastAsia="vi-VN"/>
                <w14:ligatures w14:val="none"/>
              </w:rPr>
              <w:br w:type="page"/>
              <w:t>Trường hợp thành phố không nhận bổ sung cân đối từ ngân sách Trung ương, tỷ lệ phân chia ngân sách địa phương thành phố giảm tương ứng 5% theo quy định.</w:t>
            </w:r>
            <w:r w:rsidRPr="00C865B6">
              <w:rPr>
                <w:rFonts w:ascii="Times New Roman" w:eastAsia="Times New Roman" w:hAnsi="Times New Roman" w:cs="Times New Roman"/>
                <w:color w:val="000000"/>
                <w:kern w:val="0"/>
                <w:sz w:val="26"/>
                <w:szCs w:val="26"/>
                <w:lang w:eastAsia="vi-VN"/>
                <w14:ligatures w14:val="none"/>
              </w:rPr>
              <w:br w:type="page"/>
            </w:r>
          </w:p>
          <w:p w14:paraId="7B88C680" w14:textId="7981564F" w:rsidR="004B39B5" w:rsidRPr="00C865B6" w:rsidRDefault="004B39B5" w:rsidP="00DA2770">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(7) Đối với khoản thu lệ phí môn bài, từ năm 2026 bãi bỏ trên toàn quốc theo Nghị quyết số 198/2025/QH15 của Quốc hội và Nghị định số 362/2025/NĐ-CP của Chính phủ. Theo đó, quy định đối với các khoản thu </w:t>
            </w:r>
            <w:r w:rsidRPr="00C865B6">
              <w:rPr>
                <w:rFonts w:ascii="Times New Roman" w:eastAsia="Times New Roman" w:hAnsi="Times New Roman" w:cs="Times New Roman"/>
                <w:color w:val="000000"/>
                <w:kern w:val="0"/>
                <w:sz w:val="26"/>
                <w:szCs w:val="26"/>
                <w:lang w:eastAsia="vi-VN"/>
                <w14:ligatures w14:val="none"/>
              </w:rPr>
              <w:lastRenderedPageBreak/>
              <w:t>phát sinh từ năm 2025 trở về trước chưa nộp.</w:t>
            </w:r>
            <w:r w:rsidRPr="00C865B6">
              <w:rPr>
                <w:rFonts w:ascii="Times New Roman" w:eastAsia="Times New Roman" w:hAnsi="Times New Roman" w:cs="Times New Roman"/>
                <w:color w:val="000000"/>
                <w:kern w:val="0"/>
                <w:sz w:val="26"/>
                <w:szCs w:val="26"/>
                <w:lang w:eastAsia="vi-VN"/>
                <w14:ligatures w14:val="none"/>
              </w:rPr>
              <w:br w:type="page"/>
              <w:t>(8) Thực hiện chỉnh lý một số nội dung cho phù hợp với quy định của Thông tư số  26/2026/TT-BTC ngày 25/3/2026 của Bộ Tài chính quy định chi tiết và hướng dẫn thi hành một số điều của Nghị định số 73/2026/NĐ-CP ngày 10/3/2026 của Chính phủ quy định chi tiết và hướng dẫn thi hành một số điều của Luật Ngân sách nhà nước; Chỉnh lý, bổ sung chi tiết tại Phụ lục kèm theo Nghị quyết.</w:t>
            </w:r>
          </w:p>
        </w:tc>
      </w:tr>
      <w:tr w:rsidR="006C3FA5" w:rsidRPr="00C865B6" w14:paraId="1D41076C" w14:textId="77777777" w:rsidTr="00C07026">
        <w:trPr>
          <w:trHeight w:val="684"/>
        </w:trPr>
        <w:tc>
          <w:tcPr>
            <w:tcW w:w="4537" w:type="dxa"/>
            <w:tcBorders>
              <w:top w:val="nil"/>
              <w:left w:val="single" w:sz="4" w:space="0" w:color="auto"/>
              <w:bottom w:val="single" w:sz="4" w:space="0" w:color="auto"/>
              <w:right w:val="single" w:sz="4" w:space="0" w:color="auto"/>
            </w:tcBorders>
            <w:shd w:val="clear" w:color="000000" w:fill="FFFFFF"/>
            <w:hideMark/>
          </w:tcPr>
          <w:p w14:paraId="09756B7E" w14:textId="77777777" w:rsidR="00DA2770" w:rsidRPr="00C865B6" w:rsidRDefault="006C3FA5" w:rsidP="00967463">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Mục 2: PHÂN CẤP NHIỆM VỤ CHI CỦA NGÂN SÁCH ĐỊA PHƯƠNG</w:t>
            </w:r>
          </w:p>
          <w:p w14:paraId="2EEB4503" w14:textId="77777777" w:rsidR="00DA2770" w:rsidRPr="00C865B6" w:rsidRDefault="006C3FA5" w:rsidP="00967463">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7. Nhiệm vụ chi của ngân sách thành phố, gồm:</w:t>
            </w:r>
          </w:p>
          <w:p w14:paraId="68BCD8DD"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Chi đầu tư phát triển.</w:t>
            </w:r>
          </w:p>
          <w:p w14:paraId="12E07979"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Chi thường xuyên của các cơ quan, đơn vị thuộc thành phố quản lý trong các lĩnh vực (Giáo dục - đào tạo và dạy nghề; Khoa học và công nghệ, đổi mới sáng tạo và chuyển đổi số; Quốc phòng, an ninh, trật tự, an toàn xã hội; Y tế, dân số và gia đình; Văn hóa thông tin; phát thanh, truyền hình; Thể dục, thể thao; Bảo vệ môi trường; Hoạt động kinh tế; Hoạt động quản lý nhà nước, Đảng, Đoàn thể và các tổ chức xã hội được nhà nước giao nhiệm </w:t>
            </w:r>
            <w:r w:rsidRPr="00C865B6">
              <w:rPr>
                <w:rFonts w:ascii="Times New Roman" w:eastAsia="Times New Roman" w:hAnsi="Times New Roman" w:cs="Times New Roman"/>
                <w:color w:val="000000"/>
                <w:kern w:val="0"/>
                <w:sz w:val="26"/>
                <w:szCs w:val="26"/>
                <w:lang w:eastAsia="vi-VN"/>
                <w14:ligatures w14:val="none"/>
              </w:rPr>
              <w:lastRenderedPageBreak/>
              <w:t>vụ; Đảm bảo xã hội; Chi thường xuyên khác).</w:t>
            </w:r>
          </w:p>
          <w:p w14:paraId="7FFBA554"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Chi trả nợ lãi do chính quyền thành phố vay.</w:t>
            </w:r>
          </w:p>
          <w:p w14:paraId="6B352CB9"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Chi bổ sung Quỹ dự trữ tài chính của ngân sách thành phố.</w:t>
            </w:r>
          </w:p>
          <w:p w14:paraId="7EC8961B"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5. Chi viện trợ theo quy định của Chính phủ.</w:t>
            </w:r>
          </w:p>
          <w:p w14:paraId="7261F3C9"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6. Chi cho vay theo quy định của Chính phủ.</w:t>
            </w:r>
          </w:p>
          <w:p w14:paraId="72C051D6"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7. Chi chuyển nguồn sang năm sau của ngân sách thành phố.</w:t>
            </w:r>
          </w:p>
          <w:p w14:paraId="5604A928"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8. Chi bổ sung cân đối ngân sách, bổ sung có mục tiêu cho ngân sách cấp dưới.</w:t>
            </w:r>
          </w:p>
          <w:p w14:paraId="27EF8619" w14:textId="2EA39E82" w:rsidR="006C3FA5" w:rsidRPr="00C865B6" w:rsidRDefault="006C3FA5" w:rsidP="00967463">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9. Chi hỗ trợ thực hiện một số nhiệm vụ quy định tại các điểm a, điểm b, điểm c khoản 5 Điều 9 Luật Ngân sách nhà nước số 89/2025/QH15.</w:t>
            </w:r>
          </w:p>
        </w:tc>
        <w:tc>
          <w:tcPr>
            <w:tcW w:w="4536" w:type="dxa"/>
            <w:tcBorders>
              <w:top w:val="nil"/>
              <w:left w:val="nil"/>
              <w:bottom w:val="single" w:sz="4" w:space="0" w:color="auto"/>
              <w:right w:val="single" w:sz="4" w:space="0" w:color="auto"/>
            </w:tcBorders>
            <w:shd w:val="clear" w:color="000000" w:fill="FFFFFF"/>
            <w:hideMark/>
          </w:tcPr>
          <w:p w14:paraId="21F7A00D" w14:textId="77777777" w:rsidR="00DA2770" w:rsidRPr="00C865B6" w:rsidRDefault="006C3FA5" w:rsidP="00967463">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Mục 2: PHÂN CẤP NHIỆM VỤ CHI CỦA NGÂN SÁCH ĐỊA PHƯƠNG</w:t>
            </w:r>
          </w:p>
          <w:p w14:paraId="1D2E4A79" w14:textId="77777777" w:rsidR="00DA2770" w:rsidRPr="00C865B6" w:rsidRDefault="006C3FA5" w:rsidP="00967463">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8. Nhiệm vụ chi của ngân sách thành phố, gồm:</w:t>
            </w:r>
          </w:p>
          <w:p w14:paraId="3DBCB7FE"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Chi đầu tư phát triển.</w:t>
            </w:r>
          </w:p>
          <w:p w14:paraId="22C6DE5B"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Chi thường xuyên của các cơ quan, đơn vị thuộc thành phố quản lý trong các lĩnh vực (Giáo dục - đào tạo và dạy nghề; Khoa học và công nghệ, đổi mới sáng tạo và chuyển đổi số; Quốc phòng, an ninh, trật tự, an toàn xã hội; Y tế, dân số và gia đình; Văn hóa thông tin; phát thanh, truyền hình; Thể dục, thể thao; Bảo vệ môi trường; Hoạt động kinh tế; Hoạt động quản lý nhà nước, Đảng, Đoàn thể và các tổ chức xã hội được nhà nước giao nhiệm </w:t>
            </w:r>
            <w:r w:rsidRPr="00C865B6">
              <w:rPr>
                <w:rFonts w:ascii="Times New Roman" w:eastAsia="Times New Roman" w:hAnsi="Times New Roman" w:cs="Times New Roman"/>
                <w:color w:val="000000"/>
                <w:kern w:val="0"/>
                <w:sz w:val="26"/>
                <w:szCs w:val="26"/>
                <w:lang w:eastAsia="vi-VN"/>
                <w14:ligatures w14:val="none"/>
              </w:rPr>
              <w:lastRenderedPageBreak/>
              <w:t>vụ; Đảm bảo xã hội; Chi thường xuyên khác).</w:t>
            </w:r>
          </w:p>
          <w:p w14:paraId="70F8CBFE" w14:textId="13B6D52C"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Chi trả nợ lãi, phí và chi phí phát sinh khác từ các khoản do chính quyền thành phố vay</w:t>
            </w:r>
            <w:r w:rsidR="00DA2770" w:rsidRPr="00C865B6">
              <w:rPr>
                <w:rFonts w:ascii="Times New Roman" w:eastAsia="Times New Roman" w:hAnsi="Times New Roman" w:cs="Times New Roman"/>
                <w:color w:val="000000"/>
                <w:kern w:val="0"/>
                <w:sz w:val="26"/>
                <w:szCs w:val="26"/>
                <w:lang w:eastAsia="vi-VN"/>
                <w14:ligatures w14:val="none"/>
              </w:rPr>
              <w:t>.</w:t>
            </w:r>
          </w:p>
          <w:p w14:paraId="012015CA"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Chi bổ sung Quỹ dự trữ tài chính của ngân sách thành phố.</w:t>
            </w:r>
          </w:p>
          <w:p w14:paraId="06B680AA"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5. Chi viện trợ theo quy định của Chính phủ.</w:t>
            </w:r>
          </w:p>
          <w:p w14:paraId="0F53769C"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6. Chi cho vay theo quy định của Chính phủ.</w:t>
            </w:r>
          </w:p>
          <w:p w14:paraId="105F65CA"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7. Chi chuyển nguồn sang năm sau của ngân sách thành phố.</w:t>
            </w:r>
          </w:p>
          <w:p w14:paraId="7BB3D13E" w14:textId="77777777" w:rsidR="00DA2770"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8. Chi bổ sung cân đối ngân sách, bổ sung có mục tiêu cho ngân sách cấp dưới.</w:t>
            </w:r>
          </w:p>
          <w:p w14:paraId="2AF8226F" w14:textId="7D6A8D18" w:rsidR="006C3FA5" w:rsidRPr="00C865B6" w:rsidRDefault="006C3FA5" w:rsidP="00967463">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9. Chi hỗ trợ thực hiện một số nhiệm vụ quy định tại các điểm a, điểm b, điểm c khoản 5 Điều 9 Luật Ngân sách nhà nước</w:t>
            </w:r>
          </w:p>
        </w:tc>
        <w:tc>
          <w:tcPr>
            <w:tcW w:w="5954" w:type="dxa"/>
            <w:tcBorders>
              <w:top w:val="nil"/>
              <w:left w:val="nil"/>
              <w:bottom w:val="single" w:sz="4" w:space="0" w:color="auto"/>
              <w:right w:val="single" w:sz="4" w:space="0" w:color="auto"/>
            </w:tcBorders>
            <w:shd w:val="clear" w:color="000000" w:fill="FFFFFF"/>
            <w:hideMark/>
          </w:tcPr>
          <w:p w14:paraId="13AC3A0D" w14:textId="77777777" w:rsidR="00967463"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xml:space="preserve">- Nội dung kế thừa: Phân cấp nhiệm vụ chi các cấp ngân sách thành phố và cấp xã cơ bản giữ ổn định theo quy định tại Nghị quyết số 31/2025/NQ-HĐND ngày 09/12/2025 của HĐND thành phố, bao gồm: </w:t>
            </w:r>
          </w:p>
          <w:p w14:paraId="649D2A03" w14:textId="77777777" w:rsidR="00967463" w:rsidRPr="006C496D"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Chi đầu tư phát triển; Chi thường xuyên chi tiết từng lĩnh vực theo phân cấp quản lý (Giáo dục - đào tạo và dạy nghề; Khoa học và công nghệ, đổi mới sáng tạo và chuyển đổi số; Quốc phòng, an ninh, trật tự, an toàn xã hội; Y tế, dân số và gia đình; Văn hóa thông tin; phát thanh, truyền hình; Thể dục, thể thao; Bảo vệ môi trường; Hoạt động kinh tế; Hoạt động quản lý nhà nước, Đảng, Đoàn thể và các tổ chức xã hội được nhà nước giao nhiệm vụ; Đảm bảo xã hội; Chi thường xuyên khác); Chi chuyển nguồn năm sau; Chi hỗ trợ thực hiện một số nhiệm vụ theo quy định của Luật ngân sách nhà nước.</w:t>
            </w:r>
          </w:p>
          <w:p w14:paraId="466D7735" w14:textId="77777777" w:rsidR="00967463" w:rsidRPr="006C496D"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Đối với ngân sách thành phố, ngoài các nhiệm vụ chi chung nêu trên, có thêm các nhiệm vụ chi: Chi trả nợ </w:t>
            </w:r>
            <w:r w:rsidRPr="00C865B6">
              <w:rPr>
                <w:rFonts w:ascii="Times New Roman" w:eastAsia="Times New Roman" w:hAnsi="Times New Roman" w:cs="Times New Roman"/>
                <w:color w:val="000000"/>
                <w:kern w:val="0"/>
                <w:sz w:val="26"/>
                <w:szCs w:val="26"/>
                <w:lang w:eastAsia="vi-VN"/>
                <w14:ligatures w14:val="none"/>
              </w:rPr>
              <w:lastRenderedPageBreak/>
              <w:t>lãi; Chi bổ sung Quỹ dự trữ tài chính; Chi viện trợ; Chi cho vay; Chi bổ sung cân đối, bổ sung có mục tiêu cho ngân sách cấp xã theo quy định.</w:t>
            </w:r>
          </w:p>
          <w:p w14:paraId="115700F9" w14:textId="77777777" w:rsidR="00967463" w:rsidRPr="006C496D"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Nội dung sửa đổi, bổ sung: </w:t>
            </w:r>
          </w:p>
          <w:p w14:paraId="0C4DBC64" w14:textId="6EAA2B96" w:rsidR="006C3FA5" w:rsidRPr="00C865B6" w:rsidRDefault="006C3FA5" w:rsidP="00967463">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Thực hiện chỉnh lý một số nội dung cho phù hợp với quy định của Thông tư số  26/2026/TT-BTC ngày 25/3/2026 của Bộ Tài chính quy định chi tiết và hướng dẫn thi hành một số điều của Nghị định số 73/2026/NĐ-CP ngày 10/3/2026 của Chính phủ quy định chi tiết và hướng dẫn thi hành một số điều của Luật Ngân sách nhà nước</w:t>
            </w:r>
          </w:p>
        </w:tc>
      </w:tr>
      <w:tr w:rsidR="006C3FA5" w:rsidRPr="00C865B6" w14:paraId="5BD42A25" w14:textId="77777777" w:rsidTr="00967463">
        <w:trPr>
          <w:trHeight w:val="1676"/>
        </w:trPr>
        <w:tc>
          <w:tcPr>
            <w:tcW w:w="4537" w:type="dxa"/>
            <w:tcBorders>
              <w:top w:val="nil"/>
              <w:left w:val="single" w:sz="4" w:space="0" w:color="auto"/>
              <w:bottom w:val="single" w:sz="4" w:space="0" w:color="auto"/>
              <w:right w:val="single" w:sz="4" w:space="0" w:color="auto"/>
            </w:tcBorders>
            <w:shd w:val="clear" w:color="000000" w:fill="FFFFFF"/>
            <w:hideMark/>
          </w:tcPr>
          <w:p w14:paraId="24910333" w14:textId="77777777" w:rsidR="0022393A" w:rsidRPr="0022393A"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8. Nhiệm vụ chi của ngân sách cấp xã, gồm:</w:t>
            </w:r>
          </w:p>
          <w:p w14:paraId="6EC3B668" w14:textId="5E9C12FB" w:rsidR="00E20EB2"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Chi đầu tư phát triển.</w:t>
            </w:r>
          </w:p>
          <w:p w14:paraId="69F83C4E" w14:textId="33B2D5E0" w:rsidR="00E20EB2"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Chi thường xuyên của cấp xã quản lý trong các lĩnh vực (Giáo dục - đào tạo; Khoa học và công nghệ, đổi mới sáng tạo </w:t>
            </w:r>
            <w:r w:rsidRPr="00C865B6">
              <w:rPr>
                <w:rFonts w:ascii="Times New Roman" w:eastAsia="Times New Roman" w:hAnsi="Times New Roman" w:cs="Times New Roman"/>
                <w:color w:val="000000"/>
                <w:kern w:val="0"/>
                <w:sz w:val="26"/>
                <w:szCs w:val="26"/>
                <w:lang w:eastAsia="vi-VN"/>
                <w14:ligatures w14:val="none"/>
              </w:rPr>
              <w:lastRenderedPageBreak/>
              <w:t>và chuyển đổi số; Quốc phòng, an ninh, trật tự, an toàn xã hội; Y tế, dân số và gia đình; Văn hóa thông tin; phát thanh, truyền hình; Thể dục, thể thao; Bảo vệ môi trường; Hoạt động kinh tế; Hoạt động quản lý nhà nước, Đảng, Đoàn thể và các tổ chức xã hội được nhà nước giao nhiệm vụ; Đảm bảo xã hội; Chi thường xuyên khác).</w:t>
            </w:r>
          </w:p>
          <w:p w14:paraId="3E795A30" w14:textId="77777777" w:rsidR="00E20EB2"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Chi chuyển nguồn sang năm sau của ngân sách cấp xã.</w:t>
            </w:r>
          </w:p>
          <w:p w14:paraId="62C66B76" w14:textId="5710E6F6" w:rsidR="006C3FA5"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Chi hỗ trợ thực hiện một số nhiệm vụ quy định tại các điểm a, điểm b, điểm c khoản 5 Điều 9 Luật Ngân sách nhà nước số 89/2025/QH15.</w:t>
            </w:r>
          </w:p>
        </w:tc>
        <w:tc>
          <w:tcPr>
            <w:tcW w:w="4536" w:type="dxa"/>
            <w:tcBorders>
              <w:top w:val="nil"/>
              <w:left w:val="nil"/>
              <w:bottom w:val="single" w:sz="4" w:space="0" w:color="auto"/>
              <w:right w:val="single" w:sz="4" w:space="0" w:color="auto"/>
            </w:tcBorders>
            <w:shd w:val="clear" w:color="000000" w:fill="FFFFFF"/>
            <w:hideMark/>
          </w:tcPr>
          <w:p w14:paraId="55660699" w14:textId="77777777" w:rsidR="0022393A" w:rsidRPr="0022393A"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9. Nhiệm vụ chi của ngân sách cấp xã, gồm:</w:t>
            </w:r>
          </w:p>
          <w:p w14:paraId="1D23E58B" w14:textId="78E3C769" w:rsidR="00E20EB2"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Chi đầu tư phát triển.</w:t>
            </w:r>
          </w:p>
          <w:p w14:paraId="7A08E7D1" w14:textId="77777777" w:rsidR="00E20EB2"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Chi thường xuyên của cấp xã quản lý trong các lĩnh vực (Giáo dục - đào tạo; Khoa học và công nghệ, đổi mới sáng tạo </w:t>
            </w:r>
            <w:r w:rsidRPr="00C865B6">
              <w:rPr>
                <w:rFonts w:ascii="Times New Roman" w:eastAsia="Times New Roman" w:hAnsi="Times New Roman" w:cs="Times New Roman"/>
                <w:color w:val="000000"/>
                <w:kern w:val="0"/>
                <w:sz w:val="26"/>
                <w:szCs w:val="26"/>
                <w:lang w:eastAsia="vi-VN"/>
                <w14:ligatures w14:val="none"/>
              </w:rPr>
              <w:lastRenderedPageBreak/>
              <w:t>và chuyển đổi số; Quốc phòng, an ninh, trật tự, an toàn xã hội; Y tế, dân số và gia đình; Văn hóa thông tin; phát thanh, truyền hình; Thể dục, thể thao; Bảo vệ môi trường; Hoạt động kinh tế; Hoạt động quản lý nhà nước, Đảng, Đoàn thể và các tổ chức xã hội được nhà nước giao nhiệm vụ; Đảm bảo xã hội; Chi thường xuyên khác).</w:t>
            </w:r>
          </w:p>
          <w:p w14:paraId="4C9977EC" w14:textId="77777777" w:rsidR="00E20EB2" w:rsidRPr="00C865B6" w:rsidRDefault="006C3FA5" w:rsidP="00E20EB2">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Chi chuyển nguồn sang năm sau của ngân sách cấp xã.</w:t>
            </w:r>
          </w:p>
          <w:p w14:paraId="711574AB" w14:textId="4A58D2BD" w:rsidR="006C3FA5" w:rsidRPr="00C865B6" w:rsidRDefault="006C3FA5" w:rsidP="00E20EB2">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Chi hỗ trợ thực hiện một số nhiệm vụ quy định tại các điểm a, điểm b, điểm c khoản 5 Điều 9 Luật Ngân sách nhà nước</w:t>
            </w:r>
          </w:p>
        </w:tc>
        <w:tc>
          <w:tcPr>
            <w:tcW w:w="5954" w:type="dxa"/>
            <w:tcBorders>
              <w:top w:val="nil"/>
              <w:left w:val="nil"/>
              <w:bottom w:val="single" w:sz="4" w:space="0" w:color="auto"/>
              <w:right w:val="single" w:sz="4" w:space="0" w:color="auto"/>
            </w:tcBorders>
            <w:shd w:val="clear" w:color="000000" w:fill="FFFFFF"/>
            <w:hideMark/>
          </w:tcPr>
          <w:p w14:paraId="5F29A60D" w14:textId="77777777" w:rsidR="006C3FA5" w:rsidRPr="00C865B6" w:rsidRDefault="006C3FA5" w:rsidP="00A652C8">
            <w:pPr>
              <w:spacing w:before="120" w:after="120" w:line="240" w:lineRule="auto"/>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w:t>
            </w:r>
          </w:p>
        </w:tc>
      </w:tr>
      <w:tr w:rsidR="006C3FA5" w:rsidRPr="00C865B6" w14:paraId="53105BBB" w14:textId="77777777" w:rsidTr="00A96894">
        <w:trPr>
          <w:trHeight w:val="1676"/>
        </w:trPr>
        <w:tc>
          <w:tcPr>
            <w:tcW w:w="4537" w:type="dxa"/>
            <w:tcBorders>
              <w:top w:val="nil"/>
              <w:left w:val="single" w:sz="4" w:space="0" w:color="auto"/>
              <w:bottom w:val="single" w:sz="4" w:space="0" w:color="auto"/>
              <w:right w:val="single" w:sz="4" w:space="0" w:color="auto"/>
            </w:tcBorders>
            <w:shd w:val="clear" w:color="000000" w:fill="FFFFFF"/>
            <w:hideMark/>
          </w:tcPr>
          <w:p w14:paraId="786DE445" w14:textId="77777777" w:rsidR="00753347" w:rsidRPr="00C865B6" w:rsidRDefault="006C3FA5"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Mục 3: THƯỞNG VƯỢT THU</w:t>
            </w:r>
            <w:r w:rsidRPr="00C865B6">
              <w:rPr>
                <w:rFonts w:ascii="Times New Roman" w:eastAsia="Times New Roman" w:hAnsi="Times New Roman" w:cs="Times New Roman"/>
                <w:b/>
                <w:bCs/>
                <w:color w:val="000000"/>
                <w:kern w:val="0"/>
                <w:sz w:val="26"/>
                <w:szCs w:val="26"/>
                <w:lang w:eastAsia="vi-VN"/>
                <w14:ligatures w14:val="none"/>
              </w:rPr>
              <w:br w:type="page"/>
            </w:r>
          </w:p>
          <w:p w14:paraId="4543FFAE" w14:textId="77777777" w:rsidR="00753347" w:rsidRPr="00C865B6" w:rsidRDefault="00753347" w:rsidP="00B26128">
            <w:pPr>
              <w:spacing w:before="120" w:after="120" w:line="240" w:lineRule="auto"/>
              <w:jc w:val="both"/>
              <w:rPr>
                <w:rFonts w:ascii="Times New Roman" w:eastAsia="Times New Roman" w:hAnsi="Times New Roman" w:cs="Times New Roman"/>
                <w:b/>
                <w:bCs/>
                <w:color w:val="000000"/>
                <w:kern w:val="0"/>
                <w:sz w:val="26"/>
                <w:szCs w:val="26"/>
                <w:u w:val="single"/>
                <w:lang w:eastAsia="vi-VN"/>
                <w14:ligatures w14:val="none"/>
              </w:rPr>
            </w:pPr>
            <w:r w:rsidRPr="00C865B6">
              <w:rPr>
                <w:rFonts w:ascii="Times New Roman" w:eastAsia="Times New Roman" w:hAnsi="Times New Roman" w:cs="Times New Roman"/>
                <w:b/>
                <w:bCs/>
                <w:color w:val="000000"/>
                <w:kern w:val="0"/>
                <w:sz w:val="26"/>
                <w:szCs w:val="26"/>
                <w:u w:val="single"/>
                <w:lang w:eastAsia="vi-VN"/>
                <w14:ligatures w14:val="none"/>
              </w:rPr>
              <w:t xml:space="preserve">(1) Nghị quyết số 31/2025/NQ-HĐND ngày 09/12/2025 của HĐND thành phố </w:t>
            </w:r>
          </w:p>
          <w:p w14:paraId="6F13E0FA" w14:textId="77777777" w:rsidR="00A96894" w:rsidRPr="00C865B6" w:rsidRDefault="006C3FA5"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9. Thưởng vượt thu cho ngân sách cấp xã</w:t>
            </w:r>
          </w:p>
          <w:p w14:paraId="79BD98E4"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br w:type="page"/>
            </w:r>
            <w:r w:rsidRPr="00C865B6">
              <w:rPr>
                <w:rFonts w:ascii="Times New Roman" w:eastAsia="Times New Roman" w:hAnsi="Times New Roman" w:cs="Times New Roman"/>
                <w:color w:val="000000"/>
                <w:kern w:val="0"/>
                <w:sz w:val="26"/>
                <w:szCs w:val="26"/>
                <w:lang w:eastAsia="vi-VN"/>
                <w14:ligatures w14:val="none"/>
              </w:rPr>
              <w:t xml:space="preserve">Hết năm ngân sách, trường hợp có tăng thu so với dự toán từ các khoản thu phân chia theo quy định tại Điều 5, Điều 6 Nghị quyết này và ngân sách thành phố không hụt thu so với dự toán, ngân sách thành </w:t>
            </w:r>
            <w:r w:rsidRPr="00C865B6">
              <w:rPr>
                <w:rFonts w:ascii="Times New Roman" w:eastAsia="Times New Roman" w:hAnsi="Times New Roman" w:cs="Times New Roman"/>
                <w:color w:val="000000"/>
                <w:kern w:val="0"/>
                <w:sz w:val="26"/>
                <w:szCs w:val="26"/>
                <w:lang w:eastAsia="vi-VN"/>
                <w14:ligatures w14:val="none"/>
              </w:rPr>
              <w:lastRenderedPageBreak/>
              <w:t>phố trích một phần số tăng thu của các khoản thu phân chia này để thưởng cho các địa phương (xã, phường, đặc khu) có tăng thu theo nguyên tắc và mức thưởng như sau:</w:t>
            </w:r>
            <w:r w:rsidRPr="00C865B6">
              <w:rPr>
                <w:rFonts w:ascii="Times New Roman" w:eastAsia="Times New Roman" w:hAnsi="Times New Roman" w:cs="Times New Roman"/>
                <w:color w:val="000000"/>
                <w:kern w:val="0"/>
                <w:sz w:val="26"/>
                <w:szCs w:val="26"/>
                <w:lang w:eastAsia="vi-VN"/>
                <w14:ligatures w14:val="none"/>
              </w:rPr>
              <w:br w:type="page"/>
            </w:r>
          </w:p>
          <w:p w14:paraId="71A7273C"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Căn cứ xét thưởng cho từng địa phương là tổng các khoản thu phân chia trên địa bàn từng địa phương, không tính riêng từng khoản thu.</w:t>
            </w:r>
            <w:r w:rsidRPr="00C865B6">
              <w:rPr>
                <w:rFonts w:ascii="Times New Roman" w:eastAsia="Times New Roman" w:hAnsi="Times New Roman" w:cs="Times New Roman"/>
                <w:color w:val="000000"/>
                <w:kern w:val="0"/>
                <w:sz w:val="26"/>
                <w:szCs w:val="26"/>
                <w:lang w:eastAsia="vi-VN"/>
                <w14:ligatures w14:val="none"/>
              </w:rPr>
              <w:br w:type="page"/>
            </w:r>
          </w:p>
          <w:p w14:paraId="72483C6F"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2. Mức thưởng cho các địa phương có tăng thu theo tỷ lệ không quá 20% số tăng thu phần ngân sách thành phố được hưởng của các khoản thu phân chia.</w:t>
            </w:r>
            <w:r w:rsidRPr="00C865B6">
              <w:rPr>
                <w:rFonts w:ascii="Times New Roman" w:eastAsia="Times New Roman" w:hAnsi="Times New Roman" w:cs="Times New Roman"/>
                <w:color w:val="000000"/>
                <w:kern w:val="0"/>
                <w:sz w:val="26"/>
                <w:szCs w:val="26"/>
                <w:lang w:eastAsia="vi-VN"/>
                <w14:ligatures w14:val="none"/>
              </w:rPr>
              <w:br w:type="page"/>
            </w:r>
          </w:p>
          <w:p w14:paraId="2D5BA9B8"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Phương án thưởng vượt thu cho ngân sách cấp xã được tổng hợp chung trong phương án sử dụng tăng thu so với dự toán của ngân sách thành phố. Ủy ban nhân dân thành phố quyết định sử dụng và báo cáo Thường trực Hội đồng nhân dân thành phố kết quả thực hiện, báo cáo Hội đồng nhân dân thành phố tại kỳ họp gần nhất.</w:t>
            </w:r>
            <w:r w:rsidRPr="00C865B6">
              <w:rPr>
                <w:rFonts w:ascii="Times New Roman" w:eastAsia="Times New Roman" w:hAnsi="Times New Roman" w:cs="Times New Roman"/>
                <w:color w:val="000000"/>
                <w:kern w:val="0"/>
                <w:sz w:val="26"/>
                <w:szCs w:val="26"/>
                <w:lang w:eastAsia="vi-VN"/>
                <w14:ligatures w14:val="none"/>
              </w:rPr>
              <w:br w:type="page"/>
            </w:r>
          </w:p>
          <w:p w14:paraId="23888DEA" w14:textId="77777777" w:rsidR="006C3FA5"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4. Căn cứ vào mức thưởng do Ủy ban nhân dân thành phố quyết định, Ủy ban nhân dân cấp xã quyết định sử dụng số được thưởng vượt thu để thực hiện đầu tư các công trình hạ tầng kinh tế - xã hội và </w:t>
            </w:r>
            <w:r w:rsidRPr="00C865B6">
              <w:rPr>
                <w:rFonts w:ascii="Times New Roman" w:eastAsia="Times New Roman" w:hAnsi="Times New Roman" w:cs="Times New Roman"/>
                <w:color w:val="000000"/>
                <w:kern w:val="0"/>
                <w:sz w:val="26"/>
                <w:szCs w:val="26"/>
                <w:lang w:eastAsia="vi-VN"/>
                <w14:ligatures w14:val="none"/>
              </w:rPr>
              <w:lastRenderedPageBreak/>
              <w:t>các nhiệm vụ quan trọng, cần thiết trên địa bàn.</w:t>
            </w:r>
          </w:p>
          <w:p w14:paraId="48B90460" w14:textId="77777777" w:rsidR="00AD7E2F" w:rsidRPr="00C865B6" w:rsidRDefault="00AD7E2F"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(2) Nghị quyết số 24/2025/NQ-HĐND ngày 13/11/2025 của HĐND thành phố</w:t>
            </w:r>
          </w:p>
          <w:p w14:paraId="15800F2B" w14:textId="77777777" w:rsidR="00967463" w:rsidRPr="00C865B6" w:rsidRDefault="00AD7E2F"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3. Quy định về thưởng vượt thu tiền sử dụng đất cho ngân sách cấp xã</w:t>
            </w:r>
          </w:p>
          <w:p w14:paraId="5AFC6312" w14:textId="77777777" w:rsidR="00967463" w:rsidRPr="00C865B6" w:rsidRDefault="00AD7E2F"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Hết năm ngân sách, trường hợp có tăng thu so với dự toán từ khoản thu tiền sử dụng đất và ngân sách thành phố không hụt thu so với dự toán, ngân sách thành phố trích một phần số tăng thu tiền sử dụng đất để thưởng cho các địa phương (xã, phường, đặc khu) có tăng thu thực hiện đầu tư các công trình hạ tầng kinh tế - xã hội trên địa bàn theo nguyên tắc và mức thưởng như sau:</w:t>
            </w:r>
          </w:p>
          <w:p w14:paraId="275136E9" w14:textId="30557F2B" w:rsidR="00967463" w:rsidRPr="00C865B6" w:rsidRDefault="00AD7E2F"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Nguyên tắc thưởng vượt thu:</w:t>
            </w:r>
          </w:p>
          <w:p w14:paraId="4820F48A" w14:textId="77777777" w:rsidR="00B26128" w:rsidRPr="00C865B6" w:rsidRDefault="00AD7E2F"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a) Tổng các khoản thu điều tiết về ngân sách thành phố và thu tiền sử dụng đất điều tiết về ngân sách thành phố tăng so với dự toán Hội đồng nhân dân thành phố giao.</w:t>
            </w:r>
          </w:p>
          <w:p w14:paraId="75EE3E86" w14:textId="77777777" w:rsidR="00B26128" w:rsidRPr="00C865B6" w:rsidRDefault="00AD7E2F"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b) Tổng thu ngân sách trên địa bàn của địa phương năm xét thưởng tăng so với dự toán Hội đồng nhân dân thành phố giao (không tính riêng từng khoản thu).</w:t>
            </w:r>
          </w:p>
          <w:p w14:paraId="50F16DD1" w14:textId="77777777" w:rsidR="00B26128" w:rsidRPr="00C865B6" w:rsidRDefault="00AD7E2F"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c) Tỷ lệ vượt thu tiền sử dụng đất điều tiết về ngân sách thành phố so với dự toán giao đạt từ 10% trở lên.</w:t>
            </w:r>
          </w:p>
          <w:p w14:paraId="5EC5652C" w14:textId="77777777" w:rsidR="00B26128" w:rsidRPr="00C865B6" w:rsidRDefault="00AD7E2F"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d) Số thưởng vượt thu tiền sử dụng đất cho các địa phương tối đa không vượt quá tổng số chênh lệch thu tiền sử dụng đất thực hiện so với dự toán của các địa phương điều tiết về ngân sách thành phố năm xét thưởng.</w:t>
            </w:r>
            <w:r w:rsidRPr="00C865B6">
              <w:rPr>
                <w:rFonts w:ascii="Times New Roman" w:eastAsia="Times New Roman" w:hAnsi="Times New Roman" w:cs="Times New Roman"/>
                <w:color w:val="000000"/>
                <w:kern w:val="0"/>
                <w:sz w:val="26"/>
                <w:szCs w:val="26"/>
                <w:lang w:eastAsia="vi-VN"/>
                <w14:ligatures w14:val="none"/>
              </w:rPr>
              <w:br/>
              <w:t>e) Đảm bảo cân đối chung của ngân sách thành phố (căn cứ tình hình thực tế theo năm xét thưởng).</w:t>
            </w:r>
          </w:p>
          <w:p w14:paraId="14DAACA9" w14:textId="77777777" w:rsidR="00B26128" w:rsidRPr="00C865B6" w:rsidRDefault="00EA68A6"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Mức thưởng đối với các khoản thu tiền sử dụng đất giao cấp xã thực hiện cụ thể như sau: </w:t>
            </w:r>
          </w:p>
          <w:p w14:paraId="47001179" w14:textId="77777777" w:rsidR="00B26128" w:rsidRPr="00C865B6" w:rsidRDefault="00EA68A6"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a) Tỷ lệ vượt thu tiền sử dụng đất điều tiết về ngân sách thành phố so với dự toán giao đạt từ 10% đến dưới 50%: mức thưởng tối đa 40% phần vượt thu điều tiết tiền sử dụng đất về ngân sách thành phố.</w:t>
            </w:r>
          </w:p>
          <w:p w14:paraId="3B542682" w14:textId="77777777" w:rsidR="00B26128" w:rsidRPr="00C865B6" w:rsidRDefault="00EA68A6"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b) Tỷ lệ vượt thu điều tiết tiền sử dụng đất điều tiết về ngân sách thành phố so với dự toán giao đạt từ 50% trở lên: mức thưởng tối đa 100% phần vượt thu điều tiết tiền sử dụng đất về ngân sách thành phố.</w:t>
            </w:r>
          </w:p>
          <w:p w14:paraId="4CB0C072" w14:textId="77777777" w:rsidR="00B26128" w:rsidRPr="00C865B6" w:rsidRDefault="00EA68A6"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3. Phương án thưởng vượt thu tiền sử dụng đất cho ngân sách cấp xã được tổng hợp chung trong phương án sử dụng tăng thu so với dự toán của ngân sách thành phố. Ủy ban nhân dân thành phố quyết định sử dụng và báo cáo Thường trực Hội đồng nhân dân thành phố kết quả thực hiện, báo cáo Hội đồng nhân dân thành phố tại kỳ họp gần nhất.</w:t>
            </w:r>
          </w:p>
          <w:p w14:paraId="037712C0" w14:textId="52F6448D" w:rsidR="00EA68A6" w:rsidRPr="00C865B6" w:rsidRDefault="00EA68A6"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Số thu tiền sử dụng đất từ các dự án mới chưa được giao trong dự toán đầu năm phát sinh trên địa bàn các đơn vị cấp xã không được tính để xác định thưởng vượt thu theo quy định tại Nghị quyết này.</w:t>
            </w:r>
          </w:p>
        </w:tc>
        <w:tc>
          <w:tcPr>
            <w:tcW w:w="4536" w:type="dxa"/>
            <w:tcBorders>
              <w:top w:val="nil"/>
              <w:left w:val="nil"/>
              <w:bottom w:val="single" w:sz="4" w:space="0" w:color="auto"/>
              <w:right w:val="single" w:sz="4" w:space="0" w:color="auto"/>
            </w:tcBorders>
            <w:shd w:val="clear" w:color="000000" w:fill="FFFFFF"/>
            <w:hideMark/>
          </w:tcPr>
          <w:p w14:paraId="24A3317D" w14:textId="77777777" w:rsidR="00753347" w:rsidRPr="00C865B6" w:rsidRDefault="006C3FA5"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Mục 3: THƯỞNG VƯỢT THU</w:t>
            </w:r>
            <w:r w:rsidRPr="00C865B6">
              <w:rPr>
                <w:rFonts w:ascii="Times New Roman" w:eastAsia="Times New Roman" w:hAnsi="Times New Roman" w:cs="Times New Roman"/>
                <w:b/>
                <w:bCs/>
                <w:color w:val="000000"/>
                <w:kern w:val="0"/>
                <w:sz w:val="26"/>
                <w:szCs w:val="26"/>
                <w:lang w:eastAsia="vi-VN"/>
                <w14:ligatures w14:val="none"/>
              </w:rPr>
              <w:br w:type="page"/>
            </w:r>
          </w:p>
          <w:p w14:paraId="328B6306" w14:textId="77777777" w:rsidR="00A96894" w:rsidRPr="00C865B6" w:rsidRDefault="006C3FA5"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10. Thưởng vượt thu cho ngân sách cấp xã</w:t>
            </w:r>
            <w:r w:rsidRPr="00C865B6">
              <w:rPr>
                <w:rFonts w:ascii="Times New Roman" w:eastAsia="Times New Roman" w:hAnsi="Times New Roman" w:cs="Times New Roman"/>
                <w:b/>
                <w:bCs/>
                <w:color w:val="000000"/>
                <w:kern w:val="0"/>
                <w:sz w:val="26"/>
                <w:szCs w:val="26"/>
                <w:lang w:eastAsia="vi-VN"/>
                <w14:ligatures w14:val="none"/>
              </w:rPr>
              <w:br w:type="page"/>
            </w:r>
          </w:p>
          <w:p w14:paraId="58DD1545"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Kết thúc năm ngân sách, trường hợp có tăng thu so với dự toán từ các khoản thu phân chia ngân sách thành phố và ngân sách cấp xã theo quy định tại Điều 6, Điều 7 Nghị quyết này và ngân sách thành phố không hụt thu so với dự toán, ngân sách thành phố trích một phần số tăng thu của các khoản thu phân chia này (sau khi trích </w:t>
            </w:r>
            <w:r w:rsidRPr="00C865B6">
              <w:rPr>
                <w:rFonts w:ascii="Times New Roman" w:eastAsia="Times New Roman" w:hAnsi="Times New Roman" w:cs="Times New Roman"/>
                <w:color w:val="000000"/>
                <w:kern w:val="0"/>
                <w:sz w:val="26"/>
                <w:szCs w:val="26"/>
                <w:lang w:eastAsia="vi-VN"/>
                <w14:ligatures w14:val="none"/>
              </w:rPr>
              <w:lastRenderedPageBreak/>
              <w:t>tạo nguồn cải cách tiền lương theo quy định) để thưởng cho các địa phương (xã, phường, đặc khu) có tăng thu theo nguyên tắc và mức thưởng như sau:</w:t>
            </w:r>
            <w:r w:rsidRPr="00C865B6">
              <w:rPr>
                <w:rFonts w:ascii="Times New Roman" w:eastAsia="Times New Roman" w:hAnsi="Times New Roman" w:cs="Times New Roman"/>
                <w:color w:val="000000"/>
                <w:kern w:val="0"/>
                <w:sz w:val="26"/>
                <w:szCs w:val="26"/>
                <w:lang w:eastAsia="vi-VN"/>
                <w14:ligatures w14:val="none"/>
              </w:rPr>
              <w:br w:type="page"/>
            </w:r>
          </w:p>
          <w:p w14:paraId="0FCC40AF"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Căn cứ xét thưởng cho từng địa phương là tổng các khoản thu phân chia trên địa bàn từng địa phương, không tính riêng từng khoản thu (loại trừ số thu tiền sử dụng đất từ các dự án mới chưa được giao trong dự toán đầu năm phát sinh trên địa bàn các đơn vị cấp xã không được tính để xác định thưởng vượt thu).</w:t>
            </w:r>
            <w:r w:rsidRPr="00C865B6">
              <w:rPr>
                <w:rFonts w:ascii="Times New Roman" w:eastAsia="Times New Roman" w:hAnsi="Times New Roman" w:cs="Times New Roman"/>
                <w:color w:val="000000"/>
                <w:kern w:val="0"/>
                <w:sz w:val="26"/>
                <w:szCs w:val="26"/>
                <w:lang w:eastAsia="vi-VN"/>
                <w14:ligatures w14:val="none"/>
              </w:rPr>
              <w:br w:type="page"/>
            </w:r>
          </w:p>
          <w:p w14:paraId="34FE9ADE"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2. Mức thưởng cho ngân sách cấp xã:</w:t>
            </w:r>
            <w:r w:rsidRPr="00C865B6">
              <w:rPr>
                <w:rFonts w:ascii="Times New Roman" w:eastAsia="Times New Roman" w:hAnsi="Times New Roman" w:cs="Times New Roman"/>
                <w:color w:val="000000"/>
                <w:kern w:val="0"/>
                <w:sz w:val="26"/>
                <w:szCs w:val="26"/>
                <w:lang w:eastAsia="vi-VN"/>
                <w14:ligatures w14:val="none"/>
              </w:rPr>
              <w:br w:type="page"/>
            </w:r>
          </w:p>
          <w:p w14:paraId="48F0EAFE"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a) Mức thưởng chung cho các địa phương có tăng thu theo tỷ lệ không quá 20% số tăng thu phần ngân sách thành phố được hưởng của các khoản thu phân chia tính thưởng vượt thu.</w:t>
            </w:r>
            <w:r w:rsidRPr="00C865B6">
              <w:rPr>
                <w:rFonts w:ascii="Times New Roman" w:eastAsia="Times New Roman" w:hAnsi="Times New Roman" w:cs="Times New Roman"/>
                <w:color w:val="000000"/>
                <w:kern w:val="0"/>
                <w:sz w:val="26"/>
                <w:szCs w:val="26"/>
                <w:lang w:eastAsia="vi-VN"/>
                <w14:ligatures w14:val="none"/>
              </w:rPr>
              <w:br w:type="page"/>
            </w:r>
          </w:p>
          <w:p w14:paraId="43EAFE0F"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b) Trường hợp đồng thời có tăng thu so với dự toán từ khoản thu tiền sử dụng đất giao cấp xã và tăng thu so với dự toán từ các khoản thu phân chia còn lại, mức thưởng tăng thêm cho ngân sách cấp xã căn cứ tỷ lệ tăng phần thu tiền sử dụng đất điều tiết về ngân sách thành phố so với dự </w:t>
            </w:r>
            <w:r w:rsidRPr="00C865B6">
              <w:rPr>
                <w:rFonts w:ascii="Times New Roman" w:eastAsia="Times New Roman" w:hAnsi="Times New Roman" w:cs="Times New Roman"/>
                <w:color w:val="000000"/>
                <w:kern w:val="0"/>
                <w:sz w:val="26"/>
                <w:szCs w:val="26"/>
                <w:lang w:eastAsia="vi-VN"/>
                <w14:ligatures w14:val="none"/>
              </w:rPr>
              <w:lastRenderedPageBreak/>
              <w:t>toán giao trên cơ sở xem xét khả năng cân đối ngân sách thành phố:</w:t>
            </w:r>
            <w:r w:rsidRPr="00C865B6">
              <w:rPr>
                <w:rFonts w:ascii="Times New Roman" w:eastAsia="Times New Roman" w:hAnsi="Times New Roman" w:cs="Times New Roman"/>
                <w:color w:val="000000"/>
                <w:kern w:val="0"/>
                <w:sz w:val="26"/>
                <w:szCs w:val="26"/>
                <w:lang w:eastAsia="vi-VN"/>
                <w14:ligatures w14:val="none"/>
              </w:rPr>
              <w:br w:type="page"/>
            </w:r>
          </w:p>
          <w:p w14:paraId="01963CF2"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Tỷ lệ tăng từ 20% đến dưới 50%: mức thưởng tăng thêm tối đa 20% số tăng thu tiền sử dụng đất điều tiết về ngân sách thành phố.</w:t>
            </w:r>
            <w:r w:rsidRPr="00C865B6">
              <w:rPr>
                <w:rFonts w:ascii="Times New Roman" w:eastAsia="Times New Roman" w:hAnsi="Times New Roman" w:cs="Times New Roman"/>
                <w:color w:val="000000"/>
                <w:kern w:val="0"/>
                <w:sz w:val="26"/>
                <w:szCs w:val="26"/>
                <w:lang w:eastAsia="vi-VN"/>
                <w14:ligatures w14:val="none"/>
              </w:rPr>
              <w:br w:type="page"/>
            </w:r>
          </w:p>
          <w:p w14:paraId="2CF34EF6"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Tỷ lệ tăng đạt từ 50% trở lên: mức thưởng tăng thêm tối đa 50% số tăng thu tiền sử dụng đất điều tiết về ngân sách thành phố.</w:t>
            </w:r>
            <w:r w:rsidRPr="00C865B6">
              <w:rPr>
                <w:rFonts w:ascii="Times New Roman" w:eastAsia="Times New Roman" w:hAnsi="Times New Roman" w:cs="Times New Roman"/>
                <w:color w:val="000000"/>
                <w:kern w:val="0"/>
                <w:sz w:val="26"/>
                <w:szCs w:val="26"/>
                <w:lang w:eastAsia="vi-VN"/>
                <w14:ligatures w14:val="none"/>
              </w:rPr>
              <w:br w:type="page"/>
            </w:r>
          </w:p>
          <w:p w14:paraId="786898E4" w14:textId="77777777" w:rsidR="00A96894"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Phương án thưởng vượt thu cho ngân sách cấp xã được tổng hợp chung trong phương án sử dụng tăng thu so với dự toán của ngân sách thành phố. Ủy ban nhân dân thành phố quyết định sử dụng tăng thu sau khi có ý kiến thống nhất của Thường trực Hội đồng nhân dân thành phố và báo cáo kết quả thực hiện với Hội đồng nhân dân thành phố tại kỳ họp gần nhất.</w:t>
            </w:r>
            <w:r w:rsidRPr="00C865B6">
              <w:rPr>
                <w:rFonts w:ascii="Times New Roman" w:eastAsia="Times New Roman" w:hAnsi="Times New Roman" w:cs="Times New Roman"/>
                <w:color w:val="000000"/>
                <w:kern w:val="0"/>
                <w:sz w:val="26"/>
                <w:szCs w:val="26"/>
                <w:lang w:eastAsia="vi-VN"/>
                <w14:ligatures w14:val="none"/>
              </w:rPr>
              <w:br w:type="page"/>
            </w:r>
          </w:p>
          <w:p w14:paraId="0A1710B7" w14:textId="0D28FC6D" w:rsidR="006C3FA5" w:rsidRPr="00C865B6" w:rsidRDefault="006C3FA5" w:rsidP="00B2612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Căn cứ vào mức thưởng do Ủy ban nhân dân thành phố quyết định, Ủy ban nhân dân cấp xã quyết định sử dụng số được thưởng vượt thu để thực hiện đầu tư các công trình hạ tầng kinh tế - xã hội và các nhiệm vụ quan trọng, cần thiết trên địa bàn (số thưởng vượt thu tiền sử dụng đất chỉ được sử dụng để chi đầu tư phát triển).</w:t>
            </w:r>
          </w:p>
        </w:tc>
        <w:tc>
          <w:tcPr>
            <w:tcW w:w="5954" w:type="dxa"/>
            <w:tcBorders>
              <w:top w:val="nil"/>
              <w:left w:val="nil"/>
              <w:bottom w:val="single" w:sz="4" w:space="0" w:color="auto"/>
              <w:right w:val="single" w:sz="4" w:space="0" w:color="auto"/>
            </w:tcBorders>
            <w:shd w:val="clear" w:color="000000" w:fill="FFFFFF"/>
            <w:hideMark/>
          </w:tcPr>
          <w:p w14:paraId="3DE70003" w14:textId="77777777" w:rsidR="002B05EB"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Nội dung kế thừa: Quy định thưởng vượt thu cho ngân sách cấp xã đối với khoản thu phân chia giữa ngân sách thành phố và ngân sách cấp xã phần ngân sách thành phố được hưởng trong trường hợp có tăng thu, đảm bảo phù hợp quy định.</w:t>
            </w:r>
            <w:r w:rsidRPr="00C865B6">
              <w:rPr>
                <w:rFonts w:ascii="Times New Roman" w:eastAsia="Times New Roman" w:hAnsi="Times New Roman" w:cs="Times New Roman"/>
                <w:color w:val="000000"/>
                <w:kern w:val="0"/>
                <w:sz w:val="26"/>
                <w:szCs w:val="26"/>
                <w:lang w:eastAsia="vi-VN"/>
                <w14:ligatures w14:val="none"/>
              </w:rPr>
              <w:br w:type="page"/>
            </w:r>
          </w:p>
          <w:p w14:paraId="0A36BFF8" w14:textId="77777777" w:rsidR="002B05EB"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Nội dung sửa đổi, bổ sung: </w:t>
            </w:r>
            <w:r w:rsidRPr="00C865B6">
              <w:rPr>
                <w:rFonts w:ascii="Times New Roman" w:eastAsia="Times New Roman" w:hAnsi="Times New Roman" w:cs="Times New Roman"/>
                <w:color w:val="000000"/>
                <w:kern w:val="0"/>
                <w:sz w:val="26"/>
                <w:szCs w:val="26"/>
                <w:lang w:eastAsia="vi-VN"/>
                <w14:ligatures w14:val="none"/>
              </w:rPr>
              <w:br w:type="page"/>
            </w:r>
          </w:p>
          <w:p w14:paraId="547A2DCC" w14:textId="33FB1EC5" w:rsidR="002B05EB"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Chỉnh lý, thống nhất quy định chung về thưởng vượt thu cho ngân sách cấp xã đối với khoản thu phân chia giữa ngân sách thành phố và ngân sách cấp xã phần ngân sách thành phố được hưởng trong trường hợp có </w:t>
            </w:r>
            <w:r w:rsidRPr="00C865B6">
              <w:rPr>
                <w:rFonts w:ascii="Times New Roman" w:eastAsia="Times New Roman" w:hAnsi="Times New Roman" w:cs="Times New Roman"/>
                <w:color w:val="000000"/>
                <w:kern w:val="0"/>
                <w:sz w:val="26"/>
                <w:szCs w:val="26"/>
                <w:lang w:eastAsia="vi-VN"/>
                <w14:ligatures w14:val="none"/>
              </w:rPr>
              <w:lastRenderedPageBreak/>
              <w:t>tăng thu, gồm: khoản thu phân chia từ thu tiền sử dụng đấ</w:t>
            </w:r>
            <w:r w:rsidR="006C496D">
              <w:rPr>
                <w:rFonts w:ascii="Times New Roman" w:eastAsia="Times New Roman" w:hAnsi="Times New Roman" w:cs="Times New Roman"/>
                <w:color w:val="000000"/>
                <w:kern w:val="0"/>
                <w:sz w:val="26"/>
                <w:szCs w:val="26"/>
                <w:lang w:val="en-US" w:eastAsia="vi-VN"/>
                <w14:ligatures w14:val="none"/>
              </w:rPr>
              <w:t>t</w:t>
            </w:r>
            <w:r w:rsidRPr="00C865B6">
              <w:rPr>
                <w:rFonts w:ascii="Times New Roman" w:eastAsia="Times New Roman" w:hAnsi="Times New Roman" w:cs="Times New Roman"/>
                <w:color w:val="000000"/>
                <w:kern w:val="0"/>
                <w:sz w:val="26"/>
                <w:szCs w:val="26"/>
                <w:lang w:eastAsia="vi-VN"/>
                <w14:ligatures w14:val="none"/>
              </w:rPr>
              <w:t>; các khoản thu phân chia còn lại.</w:t>
            </w:r>
            <w:r w:rsidRPr="00C865B6">
              <w:rPr>
                <w:rFonts w:ascii="Times New Roman" w:eastAsia="Times New Roman" w:hAnsi="Times New Roman" w:cs="Times New Roman"/>
                <w:color w:val="000000"/>
                <w:kern w:val="0"/>
                <w:sz w:val="26"/>
                <w:szCs w:val="26"/>
                <w:lang w:eastAsia="vi-VN"/>
                <w14:ligatures w14:val="none"/>
              </w:rPr>
              <w:br w:type="page"/>
            </w:r>
          </w:p>
          <w:p w14:paraId="05757629" w14:textId="77777777" w:rsidR="002B05EB"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Quy định mức thưởng chung cho các địa phương không quá 20% số tăng thu phần ngân sách thành phố được hưởng của các khoản thu phân chia tính thưởng vượt thu.</w:t>
            </w:r>
            <w:r w:rsidRPr="00C865B6">
              <w:rPr>
                <w:rFonts w:ascii="Times New Roman" w:eastAsia="Times New Roman" w:hAnsi="Times New Roman" w:cs="Times New Roman"/>
                <w:color w:val="000000"/>
                <w:kern w:val="0"/>
                <w:sz w:val="26"/>
                <w:szCs w:val="26"/>
                <w:lang w:eastAsia="vi-VN"/>
                <w14:ligatures w14:val="none"/>
              </w:rPr>
              <w:br w:type="page"/>
            </w:r>
          </w:p>
          <w:p w14:paraId="1B516B24" w14:textId="77777777" w:rsidR="00967463"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val="en-US" w:eastAsia="vi-VN"/>
                <w14:ligatures w14:val="none"/>
              </w:rPr>
            </w:pPr>
            <w:r w:rsidRPr="00C865B6">
              <w:rPr>
                <w:rFonts w:ascii="Times New Roman" w:eastAsia="Times New Roman" w:hAnsi="Times New Roman" w:cs="Times New Roman"/>
                <w:color w:val="000000"/>
                <w:kern w:val="0"/>
                <w:sz w:val="26"/>
                <w:szCs w:val="26"/>
                <w:lang w:eastAsia="vi-VN"/>
                <w14:ligatures w14:val="none"/>
              </w:rPr>
              <w:t>+ Quy định mức thưởng tăng thêm đối với trường hợp đồng thời có tăng thu so với dự toán từ khoản thu tiền sử dụng đất giao cấp xã và tăng thu so với dự toán từ các khoản thu phân chia còn lại để khuyến khích các địa phương phấn đấu vượt dự toán thu ngân sách giao hàng năm.</w:t>
            </w:r>
            <w:r w:rsidRPr="00C865B6">
              <w:rPr>
                <w:rFonts w:ascii="Times New Roman" w:eastAsia="Times New Roman" w:hAnsi="Times New Roman" w:cs="Times New Roman"/>
                <w:color w:val="000000"/>
                <w:kern w:val="0"/>
                <w:sz w:val="26"/>
                <w:szCs w:val="26"/>
                <w:lang w:eastAsia="vi-VN"/>
                <w14:ligatures w14:val="none"/>
              </w:rPr>
              <w:br w:type="page"/>
            </w:r>
          </w:p>
          <w:p w14:paraId="31E90277" w14:textId="49674F13" w:rsidR="006C3FA5" w:rsidRPr="00C865B6" w:rsidRDefault="006C3FA5" w:rsidP="00B2612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Để đảm bảo vai trò chủ đạo, chủ động của ngân sách thành phố, mức thưởng tăng thêm tối đa đối với tăng thu tiền sử dụng đất là 50%, tổng mức thưởng đối đa tương ứng là 70% (quy định cũ tối đa là 100%), tương đồng với quy định về thưởng tăng thu ngân sách Trung ương cho ngân sách thành phố tại Nghị quyết số 226/2025/QH15 ngày 27/6/2025 của Quốc hội về thí điểm một số cơ chế, chính sách đặc thù phát triển thành phố Hải Phòng.</w:t>
            </w:r>
          </w:p>
        </w:tc>
      </w:tr>
      <w:tr w:rsidR="006C3FA5" w:rsidRPr="00C865B6" w14:paraId="7B1F1088" w14:textId="77777777" w:rsidTr="004B39B5">
        <w:trPr>
          <w:trHeight w:val="472"/>
        </w:trPr>
        <w:tc>
          <w:tcPr>
            <w:tcW w:w="4537" w:type="dxa"/>
            <w:tcBorders>
              <w:top w:val="nil"/>
              <w:left w:val="single" w:sz="4" w:space="0" w:color="auto"/>
              <w:bottom w:val="single" w:sz="4" w:space="0" w:color="auto"/>
              <w:right w:val="single" w:sz="4" w:space="0" w:color="auto"/>
            </w:tcBorders>
            <w:shd w:val="clear" w:color="000000" w:fill="FFFFFF"/>
            <w:hideMark/>
          </w:tcPr>
          <w:p w14:paraId="647436F0" w14:textId="77777777" w:rsidR="006C3FA5" w:rsidRPr="00C865B6" w:rsidRDefault="006C3FA5" w:rsidP="00D6701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Chương III - ĐIỀU KHOẢN THI HÀNH</w:t>
            </w:r>
          </w:p>
        </w:tc>
        <w:tc>
          <w:tcPr>
            <w:tcW w:w="4536" w:type="dxa"/>
            <w:tcBorders>
              <w:top w:val="nil"/>
              <w:left w:val="nil"/>
              <w:bottom w:val="single" w:sz="4" w:space="0" w:color="auto"/>
              <w:right w:val="single" w:sz="4" w:space="0" w:color="auto"/>
            </w:tcBorders>
            <w:shd w:val="clear" w:color="000000" w:fill="FFFFFF"/>
            <w:hideMark/>
          </w:tcPr>
          <w:p w14:paraId="596C7F5C" w14:textId="77777777" w:rsidR="006C3FA5" w:rsidRPr="00C865B6" w:rsidRDefault="006C3FA5" w:rsidP="00D6701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Chương III - ĐIỀU KHOẢN THI HÀNH</w:t>
            </w:r>
          </w:p>
        </w:tc>
        <w:tc>
          <w:tcPr>
            <w:tcW w:w="5954" w:type="dxa"/>
            <w:tcBorders>
              <w:top w:val="nil"/>
              <w:left w:val="nil"/>
              <w:bottom w:val="single" w:sz="4" w:space="0" w:color="auto"/>
              <w:right w:val="single" w:sz="4" w:space="0" w:color="auto"/>
            </w:tcBorders>
            <w:shd w:val="clear" w:color="000000" w:fill="FFFFFF"/>
            <w:hideMark/>
          </w:tcPr>
          <w:p w14:paraId="325ED506" w14:textId="77777777" w:rsidR="006C3FA5"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w:t>
            </w:r>
          </w:p>
        </w:tc>
      </w:tr>
      <w:tr w:rsidR="006C3FA5" w:rsidRPr="00C865B6" w14:paraId="707DE553" w14:textId="77777777" w:rsidTr="008A65C7">
        <w:trPr>
          <w:trHeight w:val="258"/>
        </w:trPr>
        <w:tc>
          <w:tcPr>
            <w:tcW w:w="4537" w:type="dxa"/>
            <w:tcBorders>
              <w:top w:val="nil"/>
              <w:left w:val="single" w:sz="4" w:space="0" w:color="auto"/>
              <w:bottom w:val="single" w:sz="4" w:space="0" w:color="auto"/>
              <w:right w:val="single" w:sz="4" w:space="0" w:color="auto"/>
            </w:tcBorders>
            <w:shd w:val="clear" w:color="000000" w:fill="FFFFFF"/>
            <w:hideMark/>
          </w:tcPr>
          <w:p w14:paraId="0506AF1B" w14:textId="77777777" w:rsidR="00D67018" w:rsidRPr="00C865B6" w:rsidRDefault="006C3FA5" w:rsidP="00D6701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10. Điều khoản thi hành</w:t>
            </w:r>
          </w:p>
          <w:p w14:paraId="1CC35EA9"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Nghị quyết này có hiệu lực kể từ ngày 01 tháng 01 năm 2026 và được áp dụng đối với năm ngân sách 2026.</w:t>
            </w:r>
          </w:p>
          <w:p w14:paraId="77D2AD43"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Các quy định tại Điều 1, Điều 2 và Quy định ban hành kèm theo Nghị quyết số 14/2025/NQ-HĐND ngày 25 tháng 7 năm 2025 của Hội đồng nhân dân thành phố ban hành Quy định phân cấp nguồn thu, </w:t>
            </w:r>
            <w:r w:rsidRPr="00C865B6">
              <w:rPr>
                <w:rFonts w:ascii="Times New Roman" w:eastAsia="Times New Roman" w:hAnsi="Times New Roman" w:cs="Times New Roman"/>
                <w:color w:val="000000"/>
                <w:kern w:val="0"/>
                <w:sz w:val="26"/>
                <w:szCs w:val="26"/>
                <w:lang w:eastAsia="vi-VN"/>
                <w14:ligatures w14:val="none"/>
              </w:rPr>
              <w:lastRenderedPageBreak/>
              <w:t>nhiệm vụ chi và tỷ lệ phần trăm (%) phân chia các khoản thu giữa ngân sách các cấp chính quyền địa phương thành phố Hải Phòng; sửa đổi, bổ sung quy định các nguyên tắc, tiêu chí và định mức phân bổ dự toán chi thường xuyên và vốn đầu tư công ngân sách địa phương năm 2025 sau khi sắp xếp đơn vị hành chính các cấp và thực hiện chính quyền địa phương 02 cấp hết hiệu lực kể từ ngày Nghị quyết này có hiệu lực thi hành.</w:t>
            </w:r>
          </w:p>
          <w:p w14:paraId="71CA2AF0" w14:textId="11E0CAD9" w:rsidR="006C3FA5"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Việc thực hiện quy định tại Nghị quyết này đảm bảo thống nhất, phù hợp với quy định tại Nghị quyết của Quốc hội, Nghị quyết của Ủy ban Thường vụ Quốc hội và Văn bản quy định của cơ quan có thẩm quyền đối với các nội dung liên quan.</w:t>
            </w:r>
          </w:p>
        </w:tc>
        <w:tc>
          <w:tcPr>
            <w:tcW w:w="4536" w:type="dxa"/>
            <w:tcBorders>
              <w:top w:val="nil"/>
              <w:left w:val="nil"/>
              <w:bottom w:val="single" w:sz="4" w:space="0" w:color="auto"/>
              <w:right w:val="single" w:sz="4" w:space="0" w:color="auto"/>
            </w:tcBorders>
            <w:shd w:val="clear" w:color="000000" w:fill="FFFFFF"/>
            <w:hideMark/>
          </w:tcPr>
          <w:p w14:paraId="5B631A50" w14:textId="77777777" w:rsidR="00D67018" w:rsidRPr="00C865B6" w:rsidRDefault="006C3FA5" w:rsidP="00D67018">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11. Điều khoản thi hành</w:t>
            </w:r>
          </w:p>
          <w:p w14:paraId="45F20868"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Nghị quyết này có hiệu lực kể từ ngày 01 tháng 01 năm 2027 và được áp dụng từ năm ngân sách 2027.</w:t>
            </w:r>
          </w:p>
          <w:p w14:paraId="58C6C07E"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2. Các quy định tại Nghị quyết số 31/2025/NQ-HĐND ngày 09 tháng 12 năm 2025 của Hội đồng nhân dân thành phố phân cấp nguồn thu, nhiệm vụ chi và tỷ lệ phần trăm (%) phân chia các khoản </w:t>
            </w:r>
            <w:r w:rsidRPr="00C865B6">
              <w:rPr>
                <w:rFonts w:ascii="Times New Roman" w:eastAsia="Times New Roman" w:hAnsi="Times New Roman" w:cs="Times New Roman"/>
                <w:color w:val="000000"/>
                <w:kern w:val="0"/>
                <w:sz w:val="26"/>
                <w:szCs w:val="26"/>
                <w:lang w:eastAsia="vi-VN"/>
                <w14:ligatures w14:val="none"/>
              </w:rPr>
              <w:lastRenderedPageBreak/>
              <w:t>thu giữa ngân sách thành phố và ngân sách cấp xã thành phố Hải Phòng năm 2026 và Nghị quyết số 24/2025/NQ-HĐND ngày 13 tháng 11 năm 2025 của Hội đồng nhân dân thành phố quy định tỷ lệ phần trăm (%) phân chia nguồn thu tiền sử dụng đất giữa các cấp trên địa bàn thành phố hết hiệu lực kể từ ngày Nghị quyết này có hiệu lực thi hành.</w:t>
            </w:r>
          </w:p>
          <w:p w14:paraId="2900A5E2"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3. Quy định thưởng vượt thu cho ngân sách cấp xã đối với kết quả thực hiện dự toán thu ngân sách năm 2026 (nếu có) thực hiện thống nhất theo nguyên tắc, mức thưởng quy định tại Nghị quyết này.</w:t>
            </w:r>
          </w:p>
          <w:p w14:paraId="73DE2B00" w14:textId="5BAA22A9" w:rsidR="006C3FA5"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4. Việc thực hiện quy định tại Nghị quyết này đảm bảo thống nhất, phù hợp với quy định tại Nghị quyết của Quốc hội, Nghị quyết của Ủy ban Thường vụ Quốc hội và Văn bản quy định của cơ quan có thẩm quyền đối với các nội dung liên quan.</w:t>
            </w:r>
          </w:p>
        </w:tc>
        <w:tc>
          <w:tcPr>
            <w:tcW w:w="5954" w:type="dxa"/>
            <w:tcBorders>
              <w:top w:val="nil"/>
              <w:left w:val="nil"/>
              <w:bottom w:val="single" w:sz="4" w:space="0" w:color="auto"/>
              <w:right w:val="single" w:sz="4" w:space="0" w:color="auto"/>
            </w:tcBorders>
            <w:shd w:val="clear" w:color="000000" w:fill="FFFFFF"/>
            <w:hideMark/>
          </w:tcPr>
          <w:p w14:paraId="1836E2B5"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val="en-US" w:eastAsia="vi-VN"/>
                <w14:ligatures w14:val="none"/>
              </w:rPr>
            </w:pPr>
            <w:r w:rsidRPr="00C865B6">
              <w:rPr>
                <w:rFonts w:ascii="Times New Roman" w:eastAsia="Times New Roman" w:hAnsi="Times New Roman" w:cs="Times New Roman"/>
                <w:color w:val="000000"/>
                <w:kern w:val="0"/>
                <w:sz w:val="26"/>
                <w:szCs w:val="26"/>
                <w:lang w:eastAsia="vi-VN"/>
                <w14:ligatures w14:val="none"/>
              </w:rPr>
              <w:lastRenderedPageBreak/>
              <w:t>- Nội dung kế thừa: Cơ bản kế thừa nội dung về điều khoản thi hành.</w:t>
            </w:r>
          </w:p>
          <w:p w14:paraId="5113FC47"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val="en-US"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Nội dung sửa đổi, bổ sung: </w:t>
            </w:r>
          </w:p>
          <w:p w14:paraId="6669AB6A"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val="en-US" w:eastAsia="vi-VN"/>
                <w14:ligatures w14:val="none"/>
              </w:rPr>
            </w:pPr>
            <w:r w:rsidRPr="00C865B6">
              <w:rPr>
                <w:rFonts w:ascii="Times New Roman" w:eastAsia="Times New Roman" w:hAnsi="Times New Roman" w:cs="Times New Roman"/>
                <w:color w:val="000000"/>
                <w:kern w:val="0"/>
                <w:sz w:val="26"/>
                <w:szCs w:val="26"/>
                <w:lang w:eastAsia="vi-VN"/>
                <w14:ligatures w14:val="none"/>
              </w:rPr>
              <w:t>+ Thời điểm hiệu lực từ ngày 01/01/2027 và áp dụng từ năm ngân sách 2027.</w:t>
            </w:r>
          </w:p>
          <w:p w14:paraId="18242382" w14:textId="77777777" w:rsidR="00D67018"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val="en-US" w:eastAsia="vi-VN"/>
                <w14:ligatures w14:val="none"/>
              </w:rPr>
            </w:pPr>
            <w:r w:rsidRPr="00C865B6">
              <w:rPr>
                <w:rFonts w:ascii="Times New Roman" w:eastAsia="Times New Roman" w:hAnsi="Times New Roman" w:cs="Times New Roman"/>
                <w:color w:val="000000"/>
                <w:kern w:val="0"/>
                <w:sz w:val="26"/>
                <w:szCs w:val="26"/>
                <w:lang w:eastAsia="vi-VN"/>
                <w14:ligatures w14:val="none"/>
              </w:rPr>
              <w:t xml:space="preserve">+ Quy định tại Nghị quyết mới thay thế các quy định tại Nghị quyết số 31/2025/NQ-HĐND ngày 09 tháng 12 năm 2025 của Hội đồng nhân dân thành phố phân cấp nguồn thu, nhiệm vụ chi và tỷ lệ phần trăm (%) phân </w:t>
            </w:r>
            <w:r w:rsidRPr="00C865B6">
              <w:rPr>
                <w:rFonts w:ascii="Times New Roman" w:eastAsia="Times New Roman" w:hAnsi="Times New Roman" w:cs="Times New Roman"/>
                <w:color w:val="000000"/>
                <w:kern w:val="0"/>
                <w:sz w:val="26"/>
                <w:szCs w:val="26"/>
                <w:lang w:eastAsia="vi-VN"/>
                <w14:ligatures w14:val="none"/>
              </w:rPr>
              <w:lastRenderedPageBreak/>
              <w:t>chia các khoản thu giữa ngân sách thành phố và ngân sách cấp xã thành phố Hải Phòng năm 2026 và Nghị quyết số 24/2025/NQ-HĐND ngày 13 tháng 11 năm 2025 của Hội đồng nhân dân thành phố quy định tỷ lệ phần trăm (%) phân chia nguồn thu tiền sử dụng đất giữa các cấp trên địa bàn thành phố.</w:t>
            </w:r>
          </w:p>
          <w:p w14:paraId="2D249BE8" w14:textId="3BD93DC9" w:rsidR="006C3FA5" w:rsidRPr="00C865B6" w:rsidRDefault="006C3FA5" w:rsidP="00D67018">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Quy định thưởng vượt thu cho ngân sách cấp xã đối với kết quả thực hiện dự toán thu ngân sách năm 2026 (nếu có) thực hiện thống nhất theo nguyên tắc, mức thưởng quy định tại Nghị quyết này.</w:t>
            </w:r>
          </w:p>
        </w:tc>
      </w:tr>
      <w:tr w:rsidR="006C3FA5" w:rsidRPr="00C865B6" w14:paraId="681FB369" w14:textId="77777777" w:rsidTr="004B39B5">
        <w:trPr>
          <w:trHeight w:val="2531"/>
        </w:trPr>
        <w:tc>
          <w:tcPr>
            <w:tcW w:w="4537" w:type="dxa"/>
            <w:tcBorders>
              <w:top w:val="nil"/>
              <w:left w:val="single" w:sz="4" w:space="0" w:color="auto"/>
              <w:bottom w:val="single" w:sz="4" w:space="0" w:color="auto"/>
              <w:right w:val="single" w:sz="4" w:space="0" w:color="auto"/>
            </w:tcBorders>
            <w:shd w:val="clear" w:color="000000" w:fill="FFFFFF"/>
            <w:hideMark/>
          </w:tcPr>
          <w:p w14:paraId="1C22F5C0" w14:textId="77777777" w:rsidR="00B71A45" w:rsidRPr="00C865B6" w:rsidRDefault="006C3FA5" w:rsidP="00B71A45">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lastRenderedPageBreak/>
              <w:t>Điều 11. Tổ chức thực hiện</w:t>
            </w:r>
          </w:p>
          <w:p w14:paraId="774CCBD9" w14:textId="77777777" w:rsidR="00B71A45" w:rsidRPr="00C865B6" w:rsidRDefault="006C3FA5" w:rsidP="00B71A45">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Giao Ủy ban nhân dân thành phố tổ chức và chỉ đạo các cấp, các ngành, các đơn vị và các địa phương triển khai thực hiện Nghị quyết theo quy định.</w:t>
            </w:r>
          </w:p>
          <w:p w14:paraId="28D39D63" w14:textId="569A44C3" w:rsidR="006C3FA5" w:rsidRPr="00C865B6" w:rsidRDefault="006C3FA5" w:rsidP="00B71A45">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2. Giao Thường trực Hội đồng nhân dân thành phố, các Ban của Hội đồng nhân dân, Tổ Đại biểu Hội đồng nhân dân thành phố, Đại biểu Hội đồng nhân dân thành phố giám sát việc thực hiện Nghị quyết.</w:t>
            </w:r>
          </w:p>
        </w:tc>
        <w:tc>
          <w:tcPr>
            <w:tcW w:w="4536" w:type="dxa"/>
            <w:tcBorders>
              <w:top w:val="nil"/>
              <w:left w:val="nil"/>
              <w:bottom w:val="single" w:sz="4" w:space="0" w:color="auto"/>
              <w:right w:val="single" w:sz="4" w:space="0" w:color="auto"/>
            </w:tcBorders>
            <w:shd w:val="clear" w:color="000000" w:fill="FFFFFF"/>
            <w:hideMark/>
          </w:tcPr>
          <w:p w14:paraId="72E38ADB" w14:textId="77777777" w:rsidR="00B71A45" w:rsidRPr="00C865B6" w:rsidRDefault="006C3FA5" w:rsidP="00B71A45">
            <w:pPr>
              <w:spacing w:before="120" w:after="120" w:line="240" w:lineRule="auto"/>
              <w:jc w:val="both"/>
              <w:rPr>
                <w:rFonts w:ascii="Times New Roman" w:eastAsia="Times New Roman" w:hAnsi="Times New Roman" w:cs="Times New Roman"/>
                <w:b/>
                <w:bCs/>
                <w:color w:val="000000"/>
                <w:kern w:val="0"/>
                <w:sz w:val="26"/>
                <w:szCs w:val="26"/>
                <w:lang w:eastAsia="vi-VN"/>
                <w14:ligatures w14:val="none"/>
              </w:rPr>
            </w:pPr>
            <w:r w:rsidRPr="00C865B6">
              <w:rPr>
                <w:rFonts w:ascii="Times New Roman" w:eastAsia="Times New Roman" w:hAnsi="Times New Roman" w:cs="Times New Roman"/>
                <w:b/>
                <w:bCs/>
                <w:color w:val="000000"/>
                <w:kern w:val="0"/>
                <w:sz w:val="26"/>
                <w:szCs w:val="26"/>
                <w:lang w:eastAsia="vi-VN"/>
                <w14:ligatures w14:val="none"/>
              </w:rPr>
              <w:t>Điều 12. Tổ chức thực hiện</w:t>
            </w:r>
          </w:p>
          <w:p w14:paraId="47615123" w14:textId="77777777" w:rsidR="00B71A45" w:rsidRPr="00C865B6" w:rsidRDefault="006C3FA5" w:rsidP="00B71A45">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1. Giao Ủy ban nhân dân thành phố tổ chức và chỉ đạo các cấp, các ngành, các đơn vị và các địa phương triển khai thực hiện Nghị quyết theo quy định.</w:t>
            </w:r>
          </w:p>
          <w:p w14:paraId="594998BC" w14:textId="707804E9" w:rsidR="006C3FA5" w:rsidRPr="00C865B6" w:rsidRDefault="006C3FA5" w:rsidP="00B71A45">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2. Giao Thường trực Hội đồng nhân dân thành phố, các Ban của Hội đồng nhân dân, Tổ Đại biểu Hội đồng nhân dân thành phố, Đại biểu Hội đồng nhân dân thành phố giám sát việc thực hiện Nghị quyết.</w:t>
            </w:r>
          </w:p>
        </w:tc>
        <w:tc>
          <w:tcPr>
            <w:tcW w:w="5954" w:type="dxa"/>
            <w:tcBorders>
              <w:top w:val="nil"/>
              <w:left w:val="nil"/>
              <w:bottom w:val="single" w:sz="4" w:space="0" w:color="auto"/>
              <w:right w:val="single" w:sz="4" w:space="0" w:color="auto"/>
            </w:tcBorders>
            <w:shd w:val="clear" w:color="000000" w:fill="FFFFFF"/>
            <w:hideMark/>
          </w:tcPr>
          <w:p w14:paraId="4A7B48E2" w14:textId="77777777" w:rsidR="00B71A45" w:rsidRPr="00C865B6" w:rsidRDefault="006C3FA5" w:rsidP="00B71A45">
            <w:pPr>
              <w:spacing w:before="120" w:after="120" w:line="240" w:lineRule="auto"/>
              <w:jc w:val="both"/>
              <w:rPr>
                <w:rFonts w:ascii="Times New Roman" w:eastAsia="Times New Roman" w:hAnsi="Times New Roman" w:cs="Times New Roman"/>
                <w:color w:val="000000"/>
                <w:kern w:val="0"/>
                <w:sz w:val="26"/>
                <w:szCs w:val="26"/>
                <w:lang w:val="en-US" w:eastAsia="vi-VN"/>
                <w14:ligatures w14:val="none"/>
              </w:rPr>
            </w:pPr>
            <w:r w:rsidRPr="00C865B6">
              <w:rPr>
                <w:rFonts w:ascii="Times New Roman" w:eastAsia="Times New Roman" w:hAnsi="Times New Roman" w:cs="Times New Roman"/>
                <w:color w:val="000000"/>
                <w:kern w:val="0"/>
                <w:sz w:val="26"/>
                <w:szCs w:val="26"/>
                <w:lang w:eastAsia="vi-VN"/>
                <w14:ligatures w14:val="none"/>
              </w:rPr>
              <w:t>- Nội dung kế thừa: Kế thừa toàn bộ nội dung về tổ chức thực hiện.</w:t>
            </w:r>
          </w:p>
          <w:p w14:paraId="77753FDB" w14:textId="70DF8842" w:rsidR="006C3FA5" w:rsidRPr="00C865B6" w:rsidRDefault="006C3FA5" w:rsidP="00B71A45">
            <w:pPr>
              <w:spacing w:before="120" w:after="120" w:line="240" w:lineRule="auto"/>
              <w:jc w:val="both"/>
              <w:rPr>
                <w:rFonts w:ascii="Times New Roman" w:eastAsia="Times New Roman" w:hAnsi="Times New Roman" w:cs="Times New Roman"/>
                <w:color w:val="000000"/>
                <w:kern w:val="0"/>
                <w:sz w:val="26"/>
                <w:szCs w:val="26"/>
                <w:lang w:eastAsia="vi-VN"/>
                <w14:ligatures w14:val="none"/>
              </w:rPr>
            </w:pPr>
            <w:r w:rsidRPr="00C865B6">
              <w:rPr>
                <w:rFonts w:ascii="Times New Roman" w:eastAsia="Times New Roman" w:hAnsi="Times New Roman" w:cs="Times New Roman"/>
                <w:color w:val="000000"/>
                <w:kern w:val="0"/>
                <w:sz w:val="26"/>
                <w:szCs w:val="26"/>
                <w:lang w:eastAsia="vi-VN"/>
                <w14:ligatures w14:val="none"/>
              </w:rPr>
              <w:t>- Nội dung sửa đổi, bổ sung: Không có.</w:t>
            </w:r>
          </w:p>
        </w:tc>
      </w:tr>
    </w:tbl>
    <w:p w14:paraId="3439EF0F" w14:textId="77777777" w:rsidR="00855C5B" w:rsidRPr="00855C5B" w:rsidRDefault="00855C5B" w:rsidP="001F276D">
      <w:pPr>
        <w:spacing w:before="120" w:after="120" w:line="240" w:lineRule="auto"/>
        <w:jc w:val="center"/>
        <w:rPr>
          <w:rFonts w:ascii="Times New Roman" w:hAnsi="Times New Roman" w:cs="Times New Roman"/>
          <w:b/>
          <w:bCs/>
          <w:sz w:val="28"/>
          <w:szCs w:val="28"/>
        </w:rPr>
      </w:pPr>
    </w:p>
    <w:sectPr w:rsidR="00855C5B" w:rsidRPr="00855C5B" w:rsidSect="00794872">
      <w:pgSz w:w="16840" w:h="11907" w:orient="landscape"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308"/>
    <w:rsid w:val="00051CE4"/>
    <w:rsid w:val="001721F6"/>
    <w:rsid w:val="001F276D"/>
    <w:rsid w:val="001F37DD"/>
    <w:rsid w:val="0022393A"/>
    <w:rsid w:val="002815DB"/>
    <w:rsid w:val="002B05EB"/>
    <w:rsid w:val="0030139F"/>
    <w:rsid w:val="003610E0"/>
    <w:rsid w:val="003B218D"/>
    <w:rsid w:val="004422CE"/>
    <w:rsid w:val="00443B10"/>
    <w:rsid w:val="004B10BA"/>
    <w:rsid w:val="004B237A"/>
    <w:rsid w:val="004B39B5"/>
    <w:rsid w:val="00574308"/>
    <w:rsid w:val="006B08B3"/>
    <w:rsid w:val="006C3FA5"/>
    <w:rsid w:val="006C496D"/>
    <w:rsid w:val="00753347"/>
    <w:rsid w:val="00785D06"/>
    <w:rsid w:val="00794872"/>
    <w:rsid w:val="007A383C"/>
    <w:rsid w:val="007F3B9C"/>
    <w:rsid w:val="00855C5B"/>
    <w:rsid w:val="00877C96"/>
    <w:rsid w:val="008A65C7"/>
    <w:rsid w:val="008E39F5"/>
    <w:rsid w:val="00942C7B"/>
    <w:rsid w:val="00967463"/>
    <w:rsid w:val="009F713B"/>
    <w:rsid w:val="00A652C8"/>
    <w:rsid w:val="00A96894"/>
    <w:rsid w:val="00AD7E2F"/>
    <w:rsid w:val="00B26128"/>
    <w:rsid w:val="00B37B47"/>
    <w:rsid w:val="00B71A45"/>
    <w:rsid w:val="00B902D0"/>
    <w:rsid w:val="00C03B66"/>
    <w:rsid w:val="00C07026"/>
    <w:rsid w:val="00C26CC8"/>
    <w:rsid w:val="00C418B5"/>
    <w:rsid w:val="00C837DA"/>
    <w:rsid w:val="00C865B6"/>
    <w:rsid w:val="00CB78B1"/>
    <w:rsid w:val="00D2688D"/>
    <w:rsid w:val="00D67018"/>
    <w:rsid w:val="00D70AA8"/>
    <w:rsid w:val="00DA2770"/>
    <w:rsid w:val="00E20EB2"/>
    <w:rsid w:val="00EA6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A3037"/>
  <w15:chartTrackingRefBased/>
  <w15:docId w15:val="{CAE060F1-90BE-487B-AC75-2AB7A03EF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5743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43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43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43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43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4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308"/>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574308"/>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574308"/>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574308"/>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574308"/>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574308"/>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574308"/>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574308"/>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574308"/>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574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308"/>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574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308"/>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574308"/>
    <w:pPr>
      <w:spacing w:before="160"/>
      <w:jc w:val="center"/>
    </w:pPr>
    <w:rPr>
      <w:i/>
      <w:iCs/>
      <w:color w:val="404040" w:themeColor="text1" w:themeTint="BF"/>
    </w:rPr>
  </w:style>
  <w:style w:type="character" w:customStyle="1" w:styleId="QuoteChar">
    <w:name w:val="Quote Char"/>
    <w:basedOn w:val="DefaultParagraphFont"/>
    <w:link w:val="Quote"/>
    <w:uiPriority w:val="29"/>
    <w:rsid w:val="00574308"/>
    <w:rPr>
      <w:i/>
      <w:iCs/>
      <w:color w:val="404040" w:themeColor="text1" w:themeTint="BF"/>
      <w:lang w:val="vi-VN"/>
    </w:rPr>
  </w:style>
  <w:style w:type="paragraph" w:styleId="ListParagraph">
    <w:name w:val="List Paragraph"/>
    <w:basedOn w:val="Normal"/>
    <w:uiPriority w:val="34"/>
    <w:qFormat/>
    <w:rsid w:val="00574308"/>
    <w:pPr>
      <w:ind w:left="720"/>
      <w:contextualSpacing/>
    </w:pPr>
  </w:style>
  <w:style w:type="character" w:styleId="IntenseEmphasis">
    <w:name w:val="Intense Emphasis"/>
    <w:basedOn w:val="DefaultParagraphFont"/>
    <w:uiPriority w:val="21"/>
    <w:qFormat/>
    <w:rsid w:val="00574308"/>
    <w:rPr>
      <w:i/>
      <w:iCs/>
      <w:color w:val="2F5496" w:themeColor="accent1" w:themeShade="BF"/>
    </w:rPr>
  </w:style>
  <w:style w:type="paragraph" w:styleId="IntenseQuote">
    <w:name w:val="Intense Quote"/>
    <w:basedOn w:val="Normal"/>
    <w:next w:val="Normal"/>
    <w:link w:val="IntenseQuoteChar"/>
    <w:uiPriority w:val="30"/>
    <w:qFormat/>
    <w:rsid w:val="005743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4308"/>
    <w:rPr>
      <w:i/>
      <w:iCs/>
      <w:color w:val="2F5496" w:themeColor="accent1" w:themeShade="BF"/>
      <w:lang w:val="vi-VN"/>
    </w:rPr>
  </w:style>
  <w:style w:type="character" w:styleId="IntenseReference">
    <w:name w:val="Intense Reference"/>
    <w:basedOn w:val="DefaultParagraphFont"/>
    <w:uiPriority w:val="32"/>
    <w:qFormat/>
    <w:rsid w:val="00574308"/>
    <w:rPr>
      <w:b/>
      <w:bCs/>
      <w:smallCaps/>
      <w:color w:val="2F5496" w:themeColor="accent1" w:themeShade="BF"/>
      <w:spacing w:val="5"/>
    </w:rPr>
  </w:style>
  <w:style w:type="table" w:styleId="TableGrid">
    <w:name w:val="Table Grid"/>
    <w:basedOn w:val="TableNormal"/>
    <w:uiPriority w:val="39"/>
    <w:rsid w:val="00794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17</Pages>
  <Words>4218</Words>
  <Characters>24048</Characters>
  <Application>Microsoft Office Word</Application>
  <DocSecurity>0</DocSecurity>
  <Lines>200</Lines>
  <Paragraphs>56</Paragraphs>
  <ScaleCrop>false</ScaleCrop>
  <Company/>
  <LinksUpToDate>false</LinksUpToDate>
  <CharactersWithSpaces>28210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Ong Nhat</dc:creator>
  <cp:keywords/>
  <dc:description/>
  <cp:lastModifiedBy>Ong Nhat</cp:lastModifiedBy>
  <cp:revision>44</cp:revision>
  <cp:lastPrinted>2026-10-23T12:34:00Z</cp:lastPrinted>
  <dcterms:created xsi:type="dcterms:W3CDTF">2026-10-23T04:10:00Z</dcterms:created>
  <dcterms:modified xsi:type="dcterms:W3CDTF">2026-10-23T12:35:00Z</dcterms:modified>
</cp:coreProperties>
</file>