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gridCol w:w="6581"/>
      </w:tblGrid>
      <w:tr w:rsidR="003E2EFB" w:rsidRPr="00F84AF2" w14:paraId="6E7978F8" w14:textId="77777777" w:rsidTr="00EA2587">
        <w:trPr>
          <w:trHeight w:val="1151"/>
        </w:trPr>
        <w:tc>
          <w:tcPr>
            <w:tcW w:w="8156" w:type="dxa"/>
          </w:tcPr>
          <w:p w14:paraId="11AC8114" w14:textId="77777777" w:rsidR="002310DB" w:rsidRPr="00F84AF2" w:rsidRDefault="002310DB" w:rsidP="006F7119">
            <w:pPr>
              <w:jc w:val="center"/>
              <w:rPr>
                <w:rFonts w:cs="Times New Roman"/>
                <w:sz w:val="26"/>
              </w:rPr>
            </w:pPr>
            <w:r w:rsidRPr="00F84AF2">
              <w:rPr>
                <w:rFonts w:cs="Times New Roman"/>
                <w:sz w:val="26"/>
              </w:rPr>
              <w:t>UBND THÀNH PHỐ HẢI PHÒNG</w:t>
            </w:r>
          </w:p>
          <w:p w14:paraId="21E08BFF" w14:textId="781F52E9" w:rsidR="002310DB" w:rsidRPr="00F84AF2" w:rsidRDefault="002310DB" w:rsidP="006F7119">
            <w:pPr>
              <w:jc w:val="center"/>
              <w:rPr>
                <w:rFonts w:cs="Times New Roman"/>
                <w:b/>
                <w:sz w:val="24"/>
              </w:rPr>
            </w:pPr>
            <w:r w:rsidRPr="00F84AF2">
              <w:rPr>
                <w:rFonts w:cs="Times New Roman"/>
                <w:b/>
                <w:sz w:val="26"/>
              </w:rPr>
              <w:t>SỞ NỘI VỤ</w:t>
            </w:r>
          </w:p>
          <w:p w14:paraId="3E678429" w14:textId="64BCB9DD" w:rsidR="002310DB" w:rsidRPr="00F84AF2" w:rsidRDefault="00EA2587" w:rsidP="006F7119">
            <w:pPr>
              <w:jc w:val="center"/>
              <w:rPr>
                <w:rFonts w:cs="Times New Roman"/>
                <w:sz w:val="14"/>
              </w:rPr>
            </w:pPr>
            <w:r w:rsidRPr="00F84AF2">
              <w:rPr>
                <w:noProof/>
              </w:rPr>
              <mc:AlternateContent>
                <mc:Choice Requires="wps">
                  <w:drawing>
                    <wp:anchor distT="4294967295" distB="4294967295" distL="114300" distR="114300" simplePos="0" relativeHeight="251661312" behindDoc="0" locked="0" layoutInCell="1" allowOverlap="1" wp14:anchorId="4522AE71" wp14:editId="3C4577C1">
                      <wp:simplePos x="0" y="0"/>
                      <wp:positionH relativeFrom="column">
                        <wp:posOffset>2273935</wp:posOffset>
                      </wp:positionH>
                      <wp:positionV relativeFrom="paragraph">
                        <wp:posOffset>28245</wp:posOffset>
                      </wp:positionV>
                      <wp:extent cx="46101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C3CB5D8" id="_x0000_t32" coordsize="21600,21600" o:spt="32" o:oned="t" path="m,l21600,21600e" filled="f">
                      <v:path arrowok="t" fillok="f" o:connecttype="none"/>
                      <o:lock v:ext="edit" shapetype="t"/>
                    </v:shapetype>
                    <v:shape id="Straight Arrow Connector 4" o:spid="_x0000_s1026" type="#_x0000_t32" style="position:absolute;margin-left:179.05pt;margin-top:2.2pt;width:36.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"/>
                  </w:pict>
                </mc:Fallback>
              </mc:AlternateContent>
            </w:r>
          </w:p>
          <w:p w14:paraId="2C8ED02D" w14:textId="674F5AE3" w:rsidR="002310DB" w:rsidRPr="00F84AF2" w:rsidRDefault="002310DB" w:rsidP="006F7119">
            <w:pPr>
              <w:pStyle w:val="BodyText"/>
              <w:spacing w:before="120"/>
              <w:jc w:val="center"/>
              <w:rPr>
                <w:rFonts w:ascii="Times New Roman" w:hAnsi="Times New Roman"/>
                <w:bCs/>
                <w:spacing w:val="-4"/>
                <w:sz w:val="24"/>
                <w:u w:val="none"/>
              </w:rPr>
            </w:pPr>
          </w:p>
        </w:tc>
        <w:tc>
          <w:tcPr>
            <w:tcW w:w="6581" w:type="dxa"/>
          </w:tcPr>
          <w:p w14:paraId="7DD50A5D" w14:textId="77777777" w:rsidR="002310DB" w:rsidRPr="00F84AF2" w:rsidRDefault="002310DB" w:rsidP="006F7119">
            <w:pPr>
              <w:jc w:val="center"/>
              <w:rPr>
                <w:rFonts w:cs="Times New Roman"/>
                <w:b/>
                <w:sz w:val="26"/>
              </w:rPr>
            </w:pPr>
            <w:r w:rsidRPr="00F84AF2">
              <w:rPr>
                <w:rFonts w:cs="Times New Roman"/>
                <w:b/>
                <w:sz w:val="26"/>
              </w:rPr>
              <w:t>CỘNG HÒA XÃ HỘI CHỦ NGHĨA VIỆT NAM</w:t>
            </w:r>
          </w:p>
          <w:p w14:paraId="70FB7E94" w14:textId="77777777" w:rsidR="002310DB" w:rsidRPr="00F84AF2" w:rsidRDefault="002310DB" w:rsidP="006F7119">
            <w:pPr>
              <w:jc w:val="center"/>
              <w:rPr>
                <w:rFonts w:cs="Times New Roman"/>
                <w:b/>
              </w:rPr>
            </w:pPr>
            <w:r w:rsidRPr="00F84AF2">
              <w:rPr>
                <w:rFonts w:cs="Times New Roman"/>
                <w:b/>
              </w:rPr>
              <w:t>Độc lập - Tự do - Hạnh phúc</w:t>
            </w:r>
          </w:p>
          <w:p w14:paraId="7B33EA13" w14:textId="677EEC55" w:rsidR="002310DB" w:rsidRPr="00F84AF2" w:rsidRDefault="002310DB" w:rsidP="006F7119">
            <w:pPr>
              <w:jc w:val="center"/>
              <w:rPr>
                <w:rFonts w:cs="Times New Roman"/>
                <w:i/>
                <w:sz w:val="12"/>
              </w:rPr>
            </w:pPr>
            <w:r w:rsidRPr="00F84AF2">
              <w:rPr>
                <w:noProof/>
              </w:rPr>
              <mc:AlternateContent>
                <mc:Choice Requires="wps">
                  <w:drawing>
                    <wp:anchor distT="4294967295" distB="4294967295" distL="114300" distR="114300" simplePos="0" relativeHeight="251662336" behindDoc="0" locked="0" layoutInCell="1" allowOverlap="1" wp14:anchorId="13675944" wp14:editId="6C330890">
                      <wp:simplePos x="0" y="0"/>
                      <wp:positionH relativeFrom="column">
                        <wp:posOffset>924560</wp:posOffset>
                      </wp:positionH>
                      <wp:positionV relativeFrom="paragraph">
                        <wp:posOffset>26035</wp:posOffset>
                      </wp:positionV>
                      <wp:extent cx="2138680" cy="0"/>
                      <wp:effectExtent l="0" t="0" r="330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shape w14:anchorId="14378A2C" id="Straight Arrow Connector 3" o:spid="_x0000_s1026" type="#_x0000_t32" style="position:absolute;margin-left:72.8pt;margin-top:2.05pt;width:168.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"/>
                  </w:pict>
                </mc:Fallback>
              </mc:AlternateContent>
            </w:r>
          </w:p>
          <w:p w14:paraId="1FA1B607" w14:textId="508F1F61" w:rsidR="002310DB" w:rsidRPr="00F84AF2" w:rsidRDefault="002310DB" w:rsidP="00EA2587">
            <w:pPr>
              <w:spacing w:before="120"/>
              <w:jc w:val="center"/>
              <w:rPr>
                <w:rFonts w:cs="Times New Roman"/>
                <w:i/>
              </w:rPr>
            </w:pPr>
            <w:r w:rsidRPr="00F84AF2">
              <w:rPr>
                <w:rFonts w:cs="Times New Roman"/>
                <w:i/>
              </w:rPr>
              <w:t>Hải Phòng, ngày</w:t>
            </w:r>
            <w:r w:rsidR="00EA2587" w:rsidRPr="00F84AF2">
              <w:rPr>
                <w:rFonts w:cs="Times New Roman"/>
                <w:i/>
              </w:rPr>
              <w:t xml:space="preserve"> </w:t>
            </w:r>
            <w:r w:rsidR="00397D96" w:rsidRPr="00F84AF2">
              <w:rPr>
                <w:rFonts w:cs="Times New Roman"/>
                <w:i/>
              </w:rPr>
              <w:t xml:space="preserve">   </w:t>
            </w:r>
            <w:r w:rsidR="00EA2587" w:rsidRPr="00F84AF2">
              <w:rPr>
                <w:rFonts w:cs="Times New Roman"/>
                <w:i/>
              </w:rPr>
              <w:t xml:space="preserve"> </w:t>
            </w:r>
            <w:r w:rsidRPr="00F84AF2">
              <w:rPr>
                <w:rFonts w:cs="Times New Roman"/>
                <w:i/>
              </w:rPr>
              <w:t>tháng</w:t>
            </w:r>
            <w:r w:rsidR="00ED19B4" w:rsidRPr="00F84AF2">
              <w:rPr>
                <w:rFonts w:cs="Times New Roman"/>
                <w:i/>
              </w:rPr>
              <w:t xml:space="preserve"> </w:t>
            </w:r>
            <w:r w:rsidR="00397D96" w:rsidRPr="00F84AF2">
              <w:rPr>
                <w:rFonts w:cs="Times New Roman"/>
                <w:i/>
              </w:rPr>
              <w:t xml:space="preserve">    </w:t>
            </w:r>
            <w:r w:rsidR="00EA2587" w:rsidRPr="00F84AF2">
              <w:rPr>
                <w:rFonts w:cs="Times New Roman"/>
                <w:i/>
              </w:rPr>
              <w:t xml:space="preserve"> </w:t>
            </w:r>
            <w:r w:rsidRPr="00F84AF2">
              <w:rPr>
                <w:rFonts w:cs="Times New Roman"/>
                <w:i/>
              </w:rPr>
              <w:t>năm 2025</w:t>
            </w:r>
          </w:p>
          <w:p w14:paraId="11A7D3EA" w14:textId="4F186BED" w:rsidR="00EA2587" w:rsidRPr="00F84AF2" w:rsidRDefault="00EA2587" w:rsidP="00EA2587">
            <w:pPr>
              <w:spacing w:before="120"/>
              <w:jc w:val="center"/>
              <w:rPr>
                <w:rFonts w:cs="Times New Roman"/>
                <w:i/>
                <w:sz w:val="26"/>
              </w:rPr>
            </w:pPr>
          </w:p>
        </w:tc>
      </w:tr>
    </w:tbl>
    <w:p w14:paraId="35B78C20" w14:textId="77777777" w:rsidR="00397D96" w:rsidRPr="00F84AF2" w:rsidRDefault="002310DB" w:rsidP="00397D96">
      <w:pPr>
        <w:jc w:val="center"/>
        <w:rPr>
          <w:b/>
          <w:spacing w:val="-2"/>
          <w:sz w:val="24"/>
          <w:szCs w:val="24"/>
        </w:rPr>
      </w:pPr>
      <w:r w:rsidRPr="00F84AF2">
        <w:rPr>
          <w:rFonts w:cs="Times New Roman"/>
          <w:b/>
          <w:bCs/>
          <w:sz w:val="24"/>
          <w:szCs w:val="24"/>
        </w:rPr>
        <w:t>BẢN</w:t>
      </w:r>
      <w:r w:rsidR="008B27D5" w:rsidRPr="00F84AF2">
        <w:rPr>
          <w:rFonts w:cs="Times New Roman"/>
          <w:b/>
          <w:bCs/>
          <w:sz w:val="24"/>
          <w:szCs w:val="24"/>
        </w:rPr>
        <w:t xml:space="preserve"> SO SÁNH,</w:t>
      </w:r>
      <w:r w:rsidRPr="00F84AF2">
        <w:rPr>
          <w:rFonts w:cs="Times New Roman"/>
          <w:b/>
          <w:bCs/>
          <w:sz w:val="24"/>
          <w:szCs w:val="24"/>
        </w:rPr>
        <w:t xml:space="preserve"> </w:t>
      </w:r>
      <w:r w:rsidR="00032A95" w:rsidRPr="00F84AF2">
        <w:rPr>
          <w:rFonts w:cs="Times New Roman"/>
          <w:b/>
          <w:bCs/>
          <w:sz w:val="24"/>
          <w:szCs w:val="24"/>
        </w:rPr>
        <w:t xml:space="preserve">THUYẾT MINH DỰ THẢO </w:t>
      </w:r>
      <w:r w:rsidR="00397D96" w:rsidRPr="00F84AF2">
        <w:rPr>
          <w:b/>
          <w:spacing w:val="-2"/>
          <w:sz w:val="24"/>
          <w:szCs w:val="24"/>
        </w:rPr>
        <w:t xml:space="preserve">NGHỊ QUYẾT VỀ CÁC CHÍNH SÁCH THU HÚT, </w:t>
      </w:r>
    </w:p>
    <w:p w14:paraId="01FA0E13" w14:textId="4C88C342" w:rsidR="00397D96" w:rsidRPr="00F84AF2" w:rsidRDefault="00397D96" w:rsidP="00397D96">
      <w:pPr>
        <w:jc w:val="center"/>
        <w:rPr>
          <w:rFonts w:cs="Times New Roman"/>
          <w:b/>
          <w:bCs/>
          <w:sz w:val="24"/>
          <w:szCs w:val="24"/>
        </w:rPr>
      </w:pPr>
      <w:r w:rsidRPr="00F84AF2">
        <w:rPr>
          <w:b/>
          <w:spacing w:val="-2"/>
          <w:sz w:val="24"/>
          <w:szCs w:val="24"/>
        </w:rPr>
        <w:t>TRỌNG DỤNG NHÂN TÀI, NGUỒN NHÂN LỰC CHẤT LƯỢNG CAO</w:t>
      </w:r>
      <w:r w:rsidRPr="00F84AF2">
        <w:rPr>
          <w:b/>
          <w:spacing w:val="-2"/>
          <w:sz w:val="24"/>
          <w:szCs w:val="24"/>
          <w:lang w:val="vi-VN"/>
        </w:rPr>
        <w:t xml:space="preserve"> THÀNH PHỐ HẢI PHÒNG </w:t>
      </w:r>
    </w:p>
    <w:p w14:paraId="1AC7EB85" w14:textId="31A67A2F" w:rsidR="00397D96" w:rsidRPr="00F84AF2" w:rsidRDefault="00397D96" w:rsidP="00397D96">
      <w:pPr>
        <w:jc w:val="center"/>
        <w:rPr>
          <w:rFonts w:cs="Times New Roman"/>
          <w:b/>
          <w:bCs/>
          <w:sz w:val="24"/>
          <w:szCs w:val="24"/>
        </w:rPr>
      </w:pPr>
      <w:r w:rsidRPr="00F84AF2">
        <w:rPr>
          <w:b/>
          <w:spacing w:val="-2"/>
          <w:sz w:val="24"/>
          <w:szCs w:val="24"/>
          <w:lang w:val="vi-VN"/>
        </w:rPr>
        <w:t>ĐẾN NĂM 2030, TẦM NHÌN ĐẾN NĂM 2050</w:t>
      </w:r>
    </w:p>
    <w:p w14:paraId="61E8DB0B" w14:textId="5E684E94" w:rsidR="007833DD" w:rsidRPr="00F84AF2" w:rsidRDefault="007833DD" w:rsidP="006C14CE">
      <w:pPr>
        <w:jc w:val="center"/>
        <w:rPr>
          <w:rFonts w:cs="Times New Roman"/>
          <w:b/>
          <w:bCs/>
          <w:sz w:val="24"/>
          <w:szCs w:val="24"/>
        </w:rPr>
      </w:pPr>
    </w:p>
    <w:tbl>
      <w:tblPr>
        <w:tblStyle w:val="TableGrid"/>
        <w:tblW w:w="15021" w:type="dxa"/>
        <w:tblLook w:val="04A0" w:firstRow="1" w:lastRow="0" w:firstColumn="1" w:lastColumn="0" w:noHBand="0" w:noVBand="1"/>
      </w:tblPr>
      <w:tblGrid>
        <w:gridCol w:w="3823"/>
        <w:gridCol w:w="4110"/>
        <w:gridCol w:w="4962"/>
        <w:gridCol w:w="2126"/>
      </w:tblGrid>
      <w:tr w:rsidR="003E2EFB" w:rsidRPr="00F84AF2" w14:paraId="09B9A85D" w14:textId="77777777" w:rsidTr="00B21F7A">
        <w:trPr>
          <w:tblHeader/>
        </w:trPr>
        <w:tc>
          <w:tcPr>
            <w:tcW w:w="3823" w:type="dxa"/>
            <w:vAlign w:val="center"/>
          </w:tcPr>
          <w:p w14:paraId="34B82B65" w14:textId="39AA4232" w:rsidR="00B5448B" w:rsidRPr="00F84AF2" w:rsidRDefault="00397D96" w:rsidP="00397D96">
            <w:pPr>
              <w:spacing w:before="60"/>
              <w:ind w:firstLine="171"/>
              <w:jc w:val="center"/>
              <w:rPr>
                <w:rFonts w:cs="Times New Roman"/>
                <w:b/>
                <w:bCs/>
                <w:sz w:val="24"/>
                <w:szCs w:val="24"/>
              </w:rPr>
            </w:pPr>
            <w:r w:rsidRPr="00F84AF2">
              <w:rPr>
                <w:b/>
                <w:sz w:val="24"/>
                <w:szCs w:val="24"/>
              </w:rPr>
              <w:t>Nghị quyết 08/2019/NQ-HĐND của HĐND tỉnh Hải Dương (cũ)</w:t>
            </w:r>
          </w:p>
        </w:tc>
        <w:tc>
          <w:tcPr>
            <w:tcW w:w="4110" w:type="dxa"/>
            <w:vAlign w:val="center"/>
          </w:tcPr>
          <w:p w14:paraId="270246F2" w14:textId="7D25ABB9" w:rsidR="00B5448B" w:rsidRPr="00F84AF2" w:rsidRDefault="00397D96" w:rsidP="00B21F7A">
            <w:pPr>
              <w:spacing w:before="60"/>
              <w:ind w:firstLine="171"/>
              <w:jc w:val="center"/>
              <w:rPr>
                <w:rFonts w:cs="Times New Roman"/>
                <w:b/>
                <w:bCs/>
                <w:sz w:val="24"/>
                <w:szCs w:val="24"/>
              </w:rPr>
            </w:pPr>
            <w:r w:rsidRPr="00F84AF2">
              <w:rPr>
                <w:b/>
                <w:sz w:val="24"/>
                <w:szCs w:val="24"/>
              </w:rPr>
              <w:t>Nghị quyết 39/2024/NQ-HĐND của HĐND tỉnh Hải Dương (cũ)</w:t>
            </w:r>
          </w:p>
        </w:tc>
        <w:tc>
          <w:tcPr>
            <w:tcW w:w="4962" w:type="dxa"/>
            <w:vAlign w:val="center"/>
          </w:tcPr>
          <w:p w14:paraId="560FB51A" w14:textId="78E45958" w:rsidR="00B5448B" w:rsidRPr="00F84AF2" w:rsidRDefault="00B5448B" w:rsidP="00397D96">
            <w:pPr>
              <w:spacing w:before="60"/>
              <w:jc w:val="center"/>
              <w:rPr>
                <w:rFonts w:cs="Times New Roman"/>
                <w:b/>
                <w:bCs/>
                <w:sz w:val="24"/>
                <w:szCs w:val="24"/>
              </w:rPr>
            </w:pPr>
            <w:r w:rsidRPr="00F84AF2">
              <w:rPr>
                <w:rFonts w:cs="Times New Roman"/>
                <w:b/>
                <w:bCs/>
                <w:sz w:val="24"/>
                <w:szCs w:val="24"/>
              </w:rPr>
              <w:t>QUY ĐỊNH TẠI DỰ THẢO</w:t>
            </w:r>
          </w:p>
        </w:tc>
        <w:tc>
          <w:tcPr>
            <w:tcW w:w="2126" w:type="dxa"/>
            <w:vAlign w:val="center"/>
          </w:tcPr>
          <w:p w14:paraId="1865855B" w14:textId="6B31077A" w:rsidR="00B5448B" w:rsidRPr="00F84AF2" w:rsidRDefault="00B5448B" w:rsidP="005C4AB6">
            <w:pPr>
              <w:spacing w:before="60"/>
              <w:ind w:firstLine="34"/>
              <w:jc w:val="center"/>
              <w:rPr>
                <w:rFonts w:cs="Times New Roman"/>
                <w:b/>
                <w:bCs/>
                <w:sz w:val="24"/>
                <w:szCs w:val="24"/>
              </w:rPr>
            </w:pPr>
            <w:r w:rsidRPr="00F84AF2">
              <w:rPr>
                <w:rFonts w:cs="Times New Roman"/>
                <w:b/>
                <w:bCs/>
                <w:sz w:val="24"/>
                <w:szCs w:val="24"/>
              </w:rPr>
              <w:t>THUYẾT MINH</w:t>
            </w:r>
          </w:p>
        </w:tc>
      </w:tr>
      <w:tr w:rsidR="003E2EFB" w:rsidRPr="00F84AF2" w14:paraId="7B51A1FC" w14:textId="77777777" w:rsidTr="00422D88">
        <w:tc>
          <w:tcPr>
            <w:tcW w:w="3823" w:type="dxa"/>
            <w:vAlign w:val="center"/>
          </w:tcPr>
          <w:p w14:paraId="7038FCCD" w14:textId="54C528BF" w:rsidR="00397D96" w:rsidRPr="00F84AF2" w:rsidRDefault="00397D96" w:rsidP="00397D96">
            <w:pPr>
              <w:shd w:val="clear" w:color="auto" w:fill="FFFFFF"/>
              <w:spacing w:after="120"/>
              <w:rPr>
                <w:rFonts w:eastAsia="Times New Roman" w:cs="Times New Roman"/>
                <w:b/>
                <w:sz w:val="24"/>
                <w:szCs w:val="18"/>
              </w:rPr>
            </w:pPr>
            <w:r w:rsidRPr="00F84AF2">
              <w:rPr>
                <w:rFonts w:eastAsia="Times New Roman" w:cs="Times New Roman"/>
                <w:b/>
                <w:sz w:val="24"/>
                <w:szCs w:val="18"/>
              </w:rPr>
              <w:t>Điều 1. Phạm vi điều chỉnh, đối tượng áp dụng</w:t>
            </w:r>
          </w:p>
          <w:p w14:paraId="17F6E013" w14:textId="03D7287D"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1. Phạm vi điều chỉnh</w:t>
            </w:r>
          </w:p>
          <w:p w14:paraId="74FF033A"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Nghị quyết này quy định về chính sách thu hút nguồn nhân lực chất lượng cao và hỗ trợ đi đào tạo sau đại học, thưởng phong học hàm, tặng danh hiệu đối với cán bộ, công chức, viên chức trong các cơ quan Đảng Cộng sản Việt Nam; cơ quan hành chính Nhà nước cấp tỉnh, cấp huyện, cấp xã; đơn vị sự nghiệp công lập; Mặt trận Tổ quốc, các tổ chức chính trị - xã hội trên địa bàn tỉnh.</w:t>
            </w:r>
          </w:p>
          <w:p w14:paraId="762BCF76"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2. Đối tượng áp dụng</w:t>
            </w:r>
          </w:p>
          <w:p w14:paraId="09C2EAC4"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a) Thu hút nguồn nhân lực chất lượng cao về công tác tại tỉnh</w:t>
            </w:r>
          </w:p>
          <w:p w14:paraId="15B50F49"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 Giáo sư; Phó Giáo sư;</w:t>
            </w:r>
          </w:p>
          <w:p w14:paraId="5E183231"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 Tiến sĩ; Bác sĩ chuyên khoa II; Dược sĩ chuyên khoa II; Bác sĩ nội trú;</w:t>
            </w:r>
          </w:p>
          <w:p w14:paraId="614A775D"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lastRenderedPageBreak/>
              <w:t>- Giáo viên có thành tích bồi dưỡng học sinh đạt giải nhất các kỳ thi học sinh giỏi quốc gia, giải chính thức các kỳ thi học sinh giỏi khu vực, quốc tế; Huấn luyện viên đã đào tạo được vận động viên đoạt huy chương vàng ở các giải vô địch quốc gia, huy chương ở các giải vô địch quốc tế;</w:t>
            </w:r>
          </w:p>
          <w:p w14:paraId="00D20467"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 Người có tài năng, năng khiếu đặc biệt phù hợp với vị trí việc làm trong các ngành, lĩnh vực: Văn hóa, nghệ thuật, thể dục thể thao;</w:t>
            </w:r>
          </w:p>
          <w:p w14:paraId="13FFA030"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 Người tốt nghiệp đại học đạt loại giỏi ở trong nước hoặc đạt loại khá trở lên ở nước ngoài;</w:t>
            </w:r>
          </w:p>
          <w:p w14:paraId="50B110D4"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 Sinh viên tốt nghiệp xuất sắc, cán bộ khoa học trẻ theo quy định tại Điều 2 Nghị định số </w:t>
            </w:r>
            <w:hyperlink r:id="rId7" w:tgtFrame="_blank" w:tooltip="Nghị định 140/2017/NĐ-CP" w:history="1">
              <w:r w:rsidRPr="00F84AF2">
                <w:rPr>
                  <w:rFonts w:eastAsia="Times New Roman" w:cs="Times New Roman"/>
                  <w:sz w:val="24"/>
                  <w:szCs w:val="18"/>
                  <w:u w:val="single"/>
                  <w:lang w:val="vi-VN"/>
                </w:rPr>
                <w:t>140/2017/NĐ-CP</w:t>
              </w:r>
            </w:hyperlink>
            <w:r w:rsidRPr="00F84AF2">
              <w:rPr>
                <w:rFonts w:eastAsia="Times New Roman" w:cs="Times New Roman"/>
                <w:sz w:val="24"/>
                <w:szCs w:val="18"/>
                <w:lang w:val="vi-VN"/>
              </w:rPr>
              <w:t> ngày 05 tháng 12 năm 2017 của Chính phủ.</w:t>
            </w:r>
          </w:p>
          <w:p w14:paraId="33DF6D9F"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b) Hỗ trợ đi đào tạo sau đại học</w:t>
            </w:r>
          </w:p>
          <w:p w14:paraId="1D7D2B67"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Cán bộ, công chức, viên chức được hưởng hỗ trợ khi được cấp có thẩm quyền cử đi đào tạo Tiến sĩ, Bác sĩ chuyên khoa II, Dược sĩ chuyên khoa II và được cấp bằng Tiến sĩ, Bác sĩ chuyên khoa II, Dược sĩ chuyên khoa II.</w:t>
            </w:r>
          </w:p>
          <w:p w14:paraId="65F6E28F"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c) Thưởng phong học hàm, tặng danh hiệu</w:t>
            </w:r>
          </w:p>
          <w:p w14:paraId="4B5E877A" w14:textId="77777777" w:rsidR="00397D96"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lastRenderedPageBreak/>
              <w:t>- Thưởng phong học hàm: Cán bộ, công chức, viên chức được Nhà nước phong học hàm Giáo sư, Phó Giáo sư;</w:t>
            </w:r>
          </w:p>
          <w:p w14:paraId="1E45CA42" w14:textId="65050F05" w:rsidR="00F74D68" w:rsidRPr="00F84AF2" w:rsidRDefault="00397D96" w:rsidP="00397D96">
            <w:pPr>
              <w:shd w:val="clear" w:color="auto" w:fill="FFFFFF"/>
              <w:spacing w:after="120"/>
              <w:rPr>
                <w:rFonts w:eastAsia="Times New Roman" w:cs="Times New Roman"/>
                <w:sz w:val="24"/>
                <w:szCs w:val="18"/>
              </w:rPr>
            </w:pPr>
            <w:r w:rsidRPr="00F84AF2">
              <w:rPr>
                <w:rFonts w:eastAsia="Times New Roman" w:cs="Times New Roman"/>
                <w:sz w:val="24"/>
                <w:szCs w:val="18"/>
                <w:lang w:val="vi-VN"/>
              </w:rPr>
              <w:t>- Tặng danh hiệu: Cán bộ, công chức, viên chức được Nhà nước tặng danh hiệu Nhà giáo nhân dân, Thầy thuốc nhân dân, Nghệ sỹ nhân dân, Nghệ nhân nhân dân.</w:t>
            </w:r>
          </w:p>
        </w:tc>
        <w:tc>
          <w:tcPr>
            <w:tcW w:w="4110" w:type="dxa"/>
          </w:tcPr>
          <w:p w14:paraId="6D1917A6" w14:textId="37D25A02" w:rsidR="00397D96" w:rsidRPr="00F84AF2" w:rsidRDefault="00397D96" w:rsidP="00397D96">
            <w:pPr>
              <w:pStyle w:val="NormalWeb"/>
              <w:shd w:val="clear" w:color="auto" w:fill="FFFFFF"/>
              <w:spacing w:before="0" w:beforeAutospacing="0" w:after="120" w:afterAutospacing="0"/>
              <w:rPr>
                <w:rFonts w:eastAsiaTheme="minorHAnsi" w:cstheme="minorBidi"/>
                <w:b/>
                <w:szCs w:val="28"/>
                <w:lang w:eastAsia="vi-VN"/>
              </w:rPr>
            </w:pPr>
            <w:r w:rsidRPr="00F84AF2">
              <w:rPr>
                <w:rFonts w:eastAsiaTheme="minorHAnsi" w:cstheme="minorBidi"/>
                <w:b/>
                <w:szCs w:val="28"/>
                <w:lang w:eastAsia="vi-VN"/>
              </w:rPr>
              <w:lastRenderedPageBreak/>
              <w:t>Điều 1. Phạm vi điều chỉnh</w:t>
            </w:r>
          </w:p>
          <w:p w14:paraId="6BE83D64" w14:textId="1D392AB8"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Quy định này quy định nội dung, điều kiện, mức hỗ trợ đào tạo, thu hút, đãi ngộ đối với công chức, viên chức, người làm việc giữ chức danh nghề nghiệp về y tế (sau đây gọi là nhân viên y tế) tại các cơ quan, đơn vị sự nghiệp công lập và Trạm Y tế xã, phường, thị trấn (sau đây gọi là Trạm Y tế tuyến xã) thuộc phạm vi quản lý của tỉnh Hải Dương, giai đoạn 2025-2030.</w:t>
            </w:r>
          </w:p>
          <w:p w14:paraId="4C00B091" w14:textId="65F506DC" w:rsidR="00397D96" w:rsidRPr="00F84AF2" w:rsidRDefault="00397D96" w:rsidP="00397D96">
            <w:pPr>
              <w:pStyle w:val="NormalWeb"/>
              <w:shd w:val="clear" w:color="auto" w:fill="FFFFFF"/>
              <w:spacing w:before="0" w:beforeAutospacing="0" w:after="120" w:afterAutospacing="0"/>
              <w:rPr>
                <w:rFonts w:eastAsiaTheme="minorHAnsi" w:cstheme="minorBidi"/>
                <w:b/>
                <w:szCs w:val="28"/>
                <w:lang w:eastAsia="vi-VN"/>
              </w:rPr>
            </w:pPr>
            <w:r w:rsidRPr="00F84AF2">
              <w:rPr>
                <w:rFonts w:eastAsiaTheme="minorHAnsi" w:cstheme="minorBidi"/>
                <w:b/>
                <w:szCs w:val="28"/>
                <w:lang w:eastAsia="vi-VN"/>
              </w:rPr>
              <w:t>Điều 2. Đối tượng áp dụng</w:t>
            </w:r>
          </w:p>
          <w:p w14:paraId="19E88DAF" w14:textId="554D12DA"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1. Chính sách hỗ trợ đào tạo</w:t>
            </w:r>
          </w:p>
          <w:p w14:paraId="7CAE5442" w14:textId="27D553E9"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a) Đào tạo cập nhật kiến thức y khoa liên tục, đào tạo chuyên khoa cơ bản, đào tạo chuyên khoa sâu</w:t>
            </w:r>
          </w:p>
          <w:p w14:paraId="1CE42140" w14:textId="7030E029"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Nhân viên y tế đang làm việc tại các đơn vị sự nghiệp công lập được cơ quan, đơn vị cử đi học theo kế hoạch, chương trình đào tạo, tài liệu được cơ quan có thẩm quyền xây dựng, thẩm định và ban hành.</w:t>
            </w:r>
          </w:p>
          <w:p w14:paraId="7F367405" w14:textId="6054DC68"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lastRenderedPageBreak/>
              <w:t>b) Đào tạo đại học</w:t>
            </w:r>
          </w:p>
          <w:p w14:paraId="188A413E" w14:textId="7B455BE1"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Nhân viên y tế có trình độ y sĩ trung cấp, y sĩ cao đẳng đang làm việc tại các Trạm Y tế tuyến xã hoặc đang làm việc tại các chuyên ngành tâm thần, giải phẫu bệnh, pháp y, pháp y tâm thần, truyền nhiễm và hồi sức cấp cứu của các bệnh viện chuyên khoa, Trung tâm Kiểm soát bệnh tật tỉnh, Trung tâm Pháp y, Trung tâm Y tế tuyến huyện và các đơn vị sự nghiệp công lập trực thuộc Sở Lao động - Thương binh và Xã hội được cử đi học lên bác sĩ y khoa.</w:t>
            </w:r>
          </w:p>
          <w:p w14:paraId="0C30F633" w14:textId="184D9A77"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c) Đào tạo sau đại học</w:t>
            </w:r>
          </w:p>
          <w:p w14:paraId="3A36A306" w14:textId="2AE8A9E5"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Bác sĩ đa khoa, bác sĩ y khoa, bác sĩ y học dự phòng, bác sĩ y học cổ truyền đang công tác tại các cơ quan, đơn vị được cử tham gia đào tạo trình độ thạc sĩ, tiến sĩ, bác sĩ nội trú, bác sĩ chuyên khoa I, chuyên khoa II.</w:t>
            </w:r>
          </w:p>
          <w:p w14:paraId="22EB9F6E" w14:textId="7A8D2E1C"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2. Chính sách thu hút, đãi ngộ</w:t>
            </w:r>
          </w:p>
          <w:p w14:paraId="0338A28A" w14:textId="77777777" w:rsidR="00397D96"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a) Chính sách thu hút: Bác sĩ đa khoa hoặc bác sĩ y khoa; Bác sĩ có trình độ Thạc sĩ, Tiến sĩ, Nội trú, Chuyên khoa I, Chuyên khoa II; Dược sĩ có trình độ Thạc sĩ, Tiến sĩ, Chuyên khoa I, Chuyên khoa II.</w:t>
            </w:r>
          </w:p>
          <w:p w14:paraId="6559A118" w14:textId="0EC052E4" w:rsidR="00F74D68" w:rsidRPr="00F84AF2" w:rsidRDefault="00397D96" w:rsidP="00397D96">
            <w:pPr>
              <w:pStyle w:val="NormalWeb"/>
              <w:shd w:val="clear" w:color="auto" w:fill="FFFFFF"/>
              <w:spacing w:before="0" w:beforeAutospacing="0" w:after="120" w:afterAutospacing="0"/>
              <w:rPr>
                <w:rFonts w:eastAsiaTheme="minorHAnsi" w:cstheme="minorBidi"/>
                <w:szCs w:val="28"/>
                <w:lang w:eastAsia="vi-VN"/>
              </w:rPr>
            </w:pPr>
            <w:r w:rsidRPr="00F84AF2">
              <w:rPr>
                <w:rFonts w:eastAsiaTheme="minorHAnsi" w:cstheme="minorBidi"/>
                <w:szCs w:val="28"/>
                <w:lang w:eastAsia="vi-VN"/>
              </w:rPr>
              <w:t>b) Chính sách đãi ngộ: bác sĩ công tác tại Trạm Y tế tuyến xã.</w:t>
            </w:r>
          </w:p>
        </w:tc>
        <w:tc>
          <w:tcPr>
            <w:tcW w:w="4962" w:type="dxa"/>
          </w:tcPr>
          <w:p w14:paraId="7441FE6A" w14:textId="77777777" w:rsidR="00397D96" w:rsidRPr="00F84AF2" w:rsidRDefault="00397D96" w:rsidP="00397D96">
            <w:pPr>
              <w:spacing w:after="120"/>
              <w:jc w:val="both"/>
              <w:rPr>
                <w:b/>
                <w:iCs/>
                <w:sz w:val="24"/>
                <w:szCs w:val="28"/>
              </w:rPr>
            </w:pPr>
            <w:r w:rsidRPr="00F84AF2">
              <w:rPr>
                <w:b/>
                <w:iCs/>
                <w:sz w:val="24"/>
                <w:szCs w:val="28"/>
              </w:rPr>
              <w:lastRenderedPageBreak/>
              <w:t>Điều 1. Phạm vi điều chỉnh</w:t>
            </w:r>
          </w:p>
          <w:p w14:paraId="22CA0FFC" w14:textId="77777777" w:rsidR="00397D96" w:rsidRPr="00F84AF2" w:rsidRDefault="00397D96" w:rsidP="00397D96">
            <w:pPr>
              <w:spacing w:after="120"/>
              <w:jc w:val="both"/>
              <w:rPr>
                <w:sz w:val="24"/>
                <w:szCs w:val="28"/>
              </w:rPr>
            </w:pPr>
            <w:r w:rsidRPr="00F84AF2">
              <w:rPr>
                <w:sz w:val="24"/>
                <w:szCs w:val="28"/>
              </w:rPr>
              <w:t xml:space="preserve">Nghị quyết </w:t>
            </w:r>
            <w:r w:rsidRPr="00F84AF2">
              <w:rPr>
                <w:sz w:val="24"/>
                <w:szCs w:val="28"/>
                <w:lang w:val="vi-VN"/>
              </w:rPr>
              <w:t xml:space="preserve">quy định </w:t>
            </w:r>
            <w:r w:rsidRPr="00F84AF2">
              <w:rPr>
                <w:sz w:val="24"/>
                <w:szCs w:val="28"/>
              </w:rPr>
              <w:t>các chính sách thu hút, trọng dụng nhân tài, nguồn nhân lực chất lượng cao thành phố Hải Phòng đến năm 2030, tầm nhìn đến năm 2050 vào làm việc trong cơ quan, đơn vị thuộc thành phố, gồm:</w:t>
            </w:r>
          </w:p>
          <w:p w14:paraId="3CD40A8B" w14:textId="77777777" w:rsidR="00397D96" w:rsidRPr="00F84AF2" w:rsidRDefault="00397D96" w:rsidP="00397D96">
            <w:pPr>
              <w:spacing w:after="120"/>
              <w:jc w:val="both"/>
              <w:rPr>
                <w:strike/>
                <w:sz w:val="24"/>
                <w:szCs w:val="28"/>
              </w:rPr>
            </w:pPr>
            <w:r w:rsidRPr="00F84AF2">
              <w:rPr>
                <w:sz w:val="24"/>
                <w:szCs w:val="28"/>
              </w:rPr>
              <w:t xml:space="preserve">1. Các cơ quan Đảng, Mặt trận Tổ quốc Việt Nam, các tổ chức chính trị - xã hội và đơn vị sự nghiệp công lậptrực thuộc Thành ủy Hải Phòng; </w:t>
            </w:r>
          </w:p>
          <w:p w14:paraId="2DA541BA" w14:textId="77777777" w:rsidR="00397D96" w:rsidRPr="00F84AF2" w:rsidRDefault="00397D96" w:rsidP="00397D96">
            <w:pPr>
              <w:spacing w:after="120"/>
              <w:jc w:val="both"/>
              <w:rPr>
                <w:sz w:val="24"/>
                <w:szCs w:val="28"/>
              </w:rPr>
            </w:pPr>
            <w:r w:rsidRPr="00F84AF2">
              <w:rPr>
                <w:sz w:val="24"/>
                <w:szCs w:val="28"/>
              </w:rPr>
              <w:t>2. Các cơ quan, tổ chức thuộc Hội đồng nhân dân thành phố Hải Phòng, Hội đồng nhân dân cấp xã thuộc thành phố Hải Phòng;</w:t>
            </w:r>
          </w:p>
          <w:p w14:paraId="37D73E22" w14:textId="77777777" w:rsidR="00397D96" w:rsidRPr="00F84AF2" w:rsidRDefault="00397D96" w:rsidP="00397D96">
            <w:pPr>
              <w:spacing w:after="120"/>
              <w:jc w:val="both"/>
              <w:rPr>
                <w:sz w:val="24"/>
                <w:szCs w:val="28"/>
              </w:rPr>
            </w:pPr>
            <w:r w:rsidRPr="00F84AF2">
              <w:rPr>
                <w:sz w:val="24"/>
                <w:szCs w:val="28"/>
              </w:rPr>
              <w:t>3. Các cơ quan hành chính, đơn vị sự nghiệp công lập thuộc phạm vi quản lý của Ủy ban nhân dân thành phố Hải Phòng và Ủy ban nhân dân cấp xã thuộc thành phố Hải Phòng (trừ các cơ quan, đơn vị trực thuộc Trung ương đóng trên địa bàn thành phố Hải Phòng và các cơ quan, đơn vị ngành dọc trực thuộc lực lượng vũ trang nhân dân).</w:t>
            </w:r>
          </w:p>
          <w:p w14:paraId="577775B8" w14:textId="77777777" w:rsidR="00397D96" w:rsidRPr="00F84AF2" w:rsidRDefault="00397D96" w:rsidP="00397D96">
            <w:pPr>
              <w:spacing w:after="120"/>
              <w:jc w:val="both"/>
              <w:rPr>
                <w:b/>
                <w:bCs/>
                <w:iCs/>
                <w:sz w:val="24"/>
                <w:szCs w:val="28"/>
              </w:rPr>
            </w:pPr>
            <w:r w:rsidRPr="00F84AF2">
              <w:rPr>
                <w:b/>
                <w:bCs/>
                <w:iCs/>
                <w:sz w:val="24"/>
                <w:szCs w:val="28"/>
              </w:rPr>
              <w:t>Điều 2. Đối tượng áp dụng</w:t>
            </w:r>
          </w:p>
          <w:p w14:paraId="1CEBE5BE" w14:textId="77777777" w:rsidR="00397D96" w:rsidRPr="00F84AF2" w:rsidRDefault="00397D96" w:rsidP="00397D96">
            <w:pPr>
              <w:spacing w:after="120"/>
              <w:jc w:val="both"/>
              <w:rPr>
                <w:sz w:val="24"/>
                <w:szCs w:val="28"/>
                <w:lang w:eastAsia="vi-VN"/>
              </w:rPr>
            </w:pPr>
            <w:r w:rsidRPr="00F84AF2">
              <w:rPr>
                <w:sz w:val="24"/>
                <w:szCs w:val="28"/>
                <w:lang w:eastAsia="vi-VN"/>
              </w:rPr>
              <w:t xml:space="preserve">Nghị quyết áp dụng đối với nhân tài, nguồn nhân lực chất lượng cao trong các lĩnh vực y tế; giáo dục; lãnh đạo, quản lý; khoa học và công nghệ; </w:t>
            </w:r>
            <w:r w:rsidRPr="00F84AF2">
              <w:rPr>
                <w:sz w:val="24"/>
                <w:szCs w:val="28"/>
                <w:lang w:eastAsia="vi-VN"/>
              </w:rPr>
              <w:lastRenderedPageBreak/>
              <w:t>công nghệ thông tin và truyền thông; công nghệ sinh học; kinh tế biển; du lịch và dịch vụ, cơ khí chế tạo, chế biến, điện tử, viễn thông; dịch vụ logistics; khoa học và công nghệ biển, công nghiệp công nghệ cao, nông nghiệp công nghệ cao, kinh tế tuần hoàn; phát triển và quản lý đô thị; quản lý quy hoạch kiến trúc và các lĩnh vực khác theo nhu cầu phát triển của thành phố trong giai đoạn 2025 - 2030, tầm nhìn đến 2050; gồm:</w:t>
            </w:r>
          </w:p>
          <w:p w14:paraId="20D971F5" w14:textId="77777777" w:rsidR="00397D96" w:rsidRPr="00F84AF2" w:rsidRDefault="00397D96" w:rsidP="00397D96">
            <w:pPr>
              <w:spacing w:after="120"/>
              <w:jc w:val="both"/>
              <w:rPr>
                <w:sz w:val="24"/>
                <w:szCs w:val="28"/>
                <w:lang w:eastAsia="vi-VN"/>
              </w:rPr>
            </w:pPr>
            <w:r w:rsidRPr="00F84AF2">
              <w:rPr>
                <w:sz w:val="24"/>
                <w:szCs w:val="28"/>
                <w:lang w:eastAsia="vi-VN"/>
              </w:rPr>
              <w:t>1. Học sinh, sinh viên có thành tích học tập, tốt nghiệp loại giỏi, loại xuất sắc, có tố chất, năng khiếu nổi trội từ các cơ sở giáo dục, đào tạo.</w:t>
            </w:r>
          </w:p>
          <w:p w14:paraId="50F585DD" w14:textId="77777777" w:rsidR="00397D96" w:rsidRPr="00F84AF2" w:rsidRDefault="00397D96" w:rsidP="00397D96">
            <w:pPr>
              <w:spacing w:after="120"/>
              <w:jc w:val="both"/>
              <w:rPr>
                <w:sz w:val="24"/>
                <w:szCs w:val="28"/>
                <w:lang w:eastAsia="vi-VN"/>
              </w:rPr>
            </w:pPr>
            <w:r w:rsidRPr="00F84AF2">
              <w:rPr>
                <w:sz w:val="24"/>
                <w:szCs w:val="28"/>
                <w:lang w:eastAsia="vi-VN"/>
              </w:rPr>
              <w:t>2. Những người có học vị, học hàm thạc sỹ, bác sĩ chuyên khoa cấp I, bác sĩ nội trú, dược sĩ chuyên khoa cấp I chuyên ngành y học, dược học (sau đây gọi là thạc sĩ và tương đương); tiến sỹ, bác sĩ chuyên khoa cấp II, dược sĩ chuyên khoa cấp II chuyên ngành y học, dược học (sau đây gọi là tiến sĩ và tương đương) giáo sư, phó giáo sư; cá nhân có các công trình nghiên cứu được công nhận và ứng dụng hiệu quả cao vào đời sống thực tiễn.</w:t>
            </w:r>
          </w:p>
          <w:p w14:paraId="761D6286" w14:textId="77777777" w:rsidR="00397D96" w:rsidRPr="00F84AF2" w:rsidRDefault="00397D96" w:rsidP="00397D96">
            <w:pPr>
              <w:spacing w:after="120"/>
              <w:jc w:val="both"/>
              <w:rPr>
                <w:sz w:val="24"/>
                <w:szCs w:val="28"/>
                <w:lang w:eastAsia="vi-VN"/>
              </w:rPr>
            </w:pPr>
            <w:r w:rsidRPr="00F84AF2">
              <w:rPr>
                <w:sz w:val="24"/>
                <w:szCs w:val="28"/>
                <w:lang w:eastAsia="vi-VN"/>
              </w:rPr>
              <w:t>3. Cán bộ, công chức, viên chức và người lao động đang công tác tại cơ quan, tổ chức, đơn vị của Đảng, Nhà nước, Mặt trận Tổ quốc Việt Nam và các tổ chức chính trị - xã hội có năng lực nổi trội, luôn hoàn thành tốt, hoàn thành xuất sắc nhiệm vụ, công vụ.</w:t>
            </w:r>
          </w:p>
          <w:p w14:paraId="60599674" w14:textId="77777777" w:rsidR="00397D96" w:rsidRPr="00F84AF2" w:rsidRDefault="00397D96" w:rsidP="00397D96">
            <w:pPr>
              <w:spacing w:after="120"/>
              <w:jc w:val="both"/>
              <w:rPr>
                <w:sz w:val="24"/>
                <w:szCs w:val="28"/>
                <w:lang w:eastAsia="vi-VN"/>
              </w:rPr>
            </w:pPr>
            <w:r w:rsidRPr="00F84AF2">
              <w:rPr>
                <w:sz w:val="24"/>
                <w:szCs w:val="28"/>
                <w:lang w:eastAsia="vi-VN"/>
              </w:rPr>
              <w:t xml:space="preserve">4. Chuyên gia, nhà khoa học, người có tài năng, nhà quản lý, người lao động trong nước có trình độ cao năng lực vượt trội và kinh nghiệm thực tiễn </w:t>
            </w:r>
            <w:r w:rsidRPr="00F84AF2">
              <w:rPr>
                <w:sz w:val="24"/>
                <w:szCs w:val="28"/>
                <w:lang w:eastAsia="vi-VN"/>
              </w:rPr>
              <w:lastRenderedPageBreak/>
              <w:t>đang làm việc ở các lĩnh vực, khu vực, địa bàn khác.</w:t>
            </w:r>
          </w:p>
          <w:p w14:paraId="66377A89" w14:textId="1F055DD8" w:rsidR="00397D96" w:rsidRPr="00F84AF2" w:rsidRDefault="00397D96" w:rsidP="00397D96">
            <w:pPr>
              <w:spacing w:after="120"/>
              <w:rPr>
                <w:rFonts w:cs="Times New Roman"/>
                <w:bCs/>
                <w:sz w:val="24"/>
                <w:szCs w:val="24"/>
              </w:rPr>
            </w:pPr>
          </w:p>
          <w:p w14:paraId="766D0C08" w14:textId="25DB1C25" w:rsidR="00F74D68" w:rsidRPr="00F84AF2" w:rsidRDefault="00F74D68" w:rsidP="00397D96">
            <w:pPr>
              <w:spacing w:after="120"/>
              <w:rPr>
                <w:rFonts w:cs="Times New Roman"/>
                <w:bCs/>
                <w:sz w:val="24"/>
                <w:szCs w:val="24"/>
              </w:rPr>
            </w:pPr>
            <w:r w:rsidRPr="00F84AF2">
              <w:rPr>
                <w:rFonts w:cs="Times New Roman"/>
                <w:bCs/>
                <w:sz w:val="24"/>
                <w:szCs w:val="24"/>
              </w:rPr>
              <w:t xml:space="preserve"> </w:t>
            </w:r>
          </w:p>
        </w:tc>
        <w:tc>
          <w:tcPr>
            <w:tcW w:w="2126" w:type="dxa"/>
          </w:tcPr>
          <w:p w14:paraId="507388BD" w14:textId="7E0C3A62" w:rsidR="00F74D68" w:rsidRPr="00F84AF2" w:rsidRDefault="00BA0E06" w:rsidP="00BA0E06">
            <w:pPr>
              <w:spacing w:after="120"/>
              <w:jc w:val="both"/>
              <w:rPr>
                <w:rFonts w:cs="Times New Roman"/>
                <w:bCs/>
                <w:sz w:val="24"/>
                <w:szCs w:val="24"/>
              </w:rPr>
            </w:pPr>
            <w:r w:rsidRPr="00F84AF2">
              <w:rPr>
                <w:rFonts w:cs="Times New Roman"/>
                <w:bCs/>
                <w:sz w:val="24"/>
                <w:szCs w:val="24"/>
              </w:rPr>
              <w:lastRenderedPageBreak/>
              <w:t>Dự thảo Nghị quyết tập trung vào 4 nhóm đối tượng áp dụng cho nhiều lĩnh vực khác nhau theo nhu cầu phát triển của thành phố</w:t>
            </w:r>
          </w:p>
        </w:tc>
      </w:tr>
      <w:tr w:rsidR="003E2EFB" w:rsidRPr="00F84AF2" w14:paraId="2D4A4370" w14:textId="77777777" w:rsidTr="00422D88">
        <w:tc>
          <w:tcPr>
            <w:tcW w:w="3823" w:type="dxa"/>
            <w:vAlign w:val="center"/>
          </w:tcPr>
          <w:p w14:paraId="3FBE44D4" w14:textId="77777777" w:rsidR="00F74D68" w:rsidRPr="00F84AF2" w:rsidRDefault="00422D88" w:rsidP="00F74D68">
            <w:pPr>
              <w:shd w:val="clear" w:color="auto" w:fill="FFFFFF"/>
              <w:spacing w:before="60"/>
              <w:rPr>
                <w:rFonts w:eastAsia="Times New Roman" w:cs="Times New Roman"/>
                <w:b/>
                <w:bCs/>
                <w:sz w:val="24"/>
                <w:szCs w:val="24"/>
              </w:rPr>
            </w:pPr>
            <w:r w:rsidRPr="00F84AF2">
              <w:rPr>
                <w:rFonts w:eastAsia="Times New Roman" w:cs="Times New Roman"/>
                <w:b/>
                <w:bCs/>
                <w:sz w:val="24"/>
                <w:szCs w:val="24"/>
              </w:rPr>
              <w:lastRenderedPageBreak/>
              <w:t>Điều 2. Chính sách thu hút nguồn nhân lực chất lượng cao</w:t>
            </w:r>
          </w:p>
          <w:p w14:paraId="71A8A9AB" w14:textId="6FE1069E"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1. Điều kiện, tiêu chuẩn</w:t>
            </w:r>
          </w:p>
          <w:p w14:paraId="0BAEA2F0" w14:textId="2702DB96"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a) Là công dân Việt Nam;</w:t>
            </w:r>
          </w:p>
          <w:p w14:paraId="2F9B9ED7" w14:textId="79638580"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b) Có phẩm chất đạo đức tốt; có đủ sức khỏe để hoàn thành nhiệm vụ được giao;</w:t>
            </w:r>
          </w:p>
          <w:p w14:paraId="51729604" w14:textId="5AB2733C"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c) Tốt nghiệp đại học, có chuyên ngành đào tạo đại học hoặc đào tạo sau đại học phù hợp với chuyên môn, nghiệp vụ của vị trí việc làm thu hút;</w:t>
            </w:r>
          </w:p>
          <w:p w14:paraId="66A28932" w14:textId="1FEAA713"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 xml:space="preserve">d) Còn ít nhất 10 năm công tác cho đến khi đủ tuổi nghỉ hưu theo quy định đối với các đối tượng thu hút: Giáo sư; Phó Giáo sư; Tiến sĩ; Bác sĩ chuyên khoa II; Dược sĩ chuyên khoa II; Bác sĩ nội trú; Giáo viên có thành tích bồi dưỡng học sinh đạt giải nhất các kỳ thi học sinh giỏi quốc gia, giải chính thức các kỳ thi học sinh giỏi khu vực, quốc tế; Huấn luyện viên đã đào tạo được vận động viên đoạt huy </w:t>
            </w:r>
            <w:r w:rsidRPr="00F84AF2">
              <w:rPr>
                <w:rFonts w:eastAsia="Times New Roman" w:cs="Times New Roman"/>
                <w:bCs/>
                <w:sz w:val="24"/>
                <w:szCs w:val="24"/>
              </w:rPr>
              <w:lastRenderedPageBreak/>
              <w:t>chương vàng ở các giải vô địch quốc gia, huy chương ở các giải vô địch quốc tế;</w:t>
            </w:r>
          </w:p>
          <w:p w14:paraId="445A28FB" w14:textId="22C38D77"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đ) Có cam kết công tác lâu dài tại tỉnh từ 10 năm trở lên (đối với đối tượng được hỗ trợ bằng tiền một lần).</w:t>
            </w:r>
          </w:p>
          <w:p w14:paraId="0C69DA56" w14:textId="68D1FB6C"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2. Phương thức thu hút</w:t>
            </w:r>
          </w:p>
          <w:p w14:paraId="4DFC2787" w14:textId="758FFA08"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a) Tiếp nhận trực tiếp bằng quyết định của cấp có thẩm quyền: Đối với cán bộ, công chức, viên chức đang công tác tại các cơ quan Đảng Cộng sản Việt Nam; cơ quan hành chính Nhà nước cấp tỉnh, cấp huyện; đơn vị sự nghiệp công lập; Ủy ban Mặt trận Tổ quốc, các tổ chức chính trị - xã hội ở ngoài tỉnh;</w:t>
            </w:r>
          </w:p>
          <w:p w14:paraId="5D77812F" w14:textId="7BD0A833"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b) Tuyển dụng viên chức theo quy định của pháp luật bằng hình thức xét tiếp nhận vào viên chức đối với người có tài năng, năng khiếu đặc biệt phù hợp với vị trí việc làm trong các ngành, lĩnh vực: Văn hóa, nghệ thuật, thể dục thể thao;</w:t>
            </w:r>
          </w:p>
          <w:p w14:paraId="4380A697" w14:textId="62978C04"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c) Tuyển dụng không qua thi tuyển để trở thành công chức cấp xã đối với người tốt nghiệp đại học đạt loại giỏi ở trong nước hoặc đạt loại khá trở lên ở nước ngoài theo quy định;</w:t>
            </w:r>
          </w:p>
          <w:p w14:paraId="10919C83" w14:textId="4CF0E952"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 xml:space="preserve">d) Thu hút thông qua xét tuyển đối với sinh viên tốt nghiệp xuất sắc, cán bộ khoa học trẻ theo quy định tại </w:t>
            </w:r>
            <w:r w:rsidRPr="00F84AF2">
              <w:rPr>
                <w:rFonts w:eastAsia="Times New Roman" w:cs="Times New Roman"/>
                <w:bCs/>
                <w:sz w:val="24"/>
                <w:szCs w:val="24"/>
              </w:rPr>
              <w:lastRenderedPageBreak/>
              <w:t>Điều 2 Nghị định số 140/2017/NĐ-CP ngày 05 tháng 12 năm 2017 của Chính phủ.</w:t>
            </w:r>
          </w:p>
          <w:p w14:paraId="27E9067D" w14:textId="19DC48F1"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3. Mức thu hút</w:t>
            </w:r>
          </w:p>
          <w:p w14:paraId="7D1756AE" w14:textId="520ADE84"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a) Hỗ trợ bằng tiền một lần, cụ thể như sau:</w:t>
            </w:r>
          </w:p>
          <w:p w14:paraId="6055E83D" w14:textId="1BFFF221"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 Giáo sư: 120 lần mức lương cơ sở;</w:t>
            </w:r>
          </w:p>
          <w:p w14:paraId="5D4E219C" w14:textId="22202E40"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 Phó Giáo sư: 100 lần mức lương cơ sở;</w:t>
            </w:r>
          </w:p>
          <w:p w14:paraId="6B0CE68E" w14:textId="106A9624"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 Tiến sĩ y khoa; Tiến sĩ dược học; Bác sĩ nội trú: 100 lần mức lương cơ sở;</w:t>
            </w:r>
          </w:p>
          <w:p w14:paraId="3A25D769" w14:textId="1290CF0B"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 Bác sĩ chuyên khoa II; Dược sĩ chuyên khoa II; Tiến sĩ không thuộc lĩnh vực y khoa, dược học: 80 lần mức lương cơ sở;</w:t>
            </w:r>
          </w:p>
          <w:p w14:paraId="2FFBC990" w14:textId="36795B50"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 Giáo viên có thành tích bồi dưỡng học sinh đạt giải nhất các kỳ thi học sinh giỏi quốc gia, giải chính thức các kỳ thi học sinh giỏi khu vực, quốc tế; Huấn luyện viên đã đào tạo được vận động viên đoạt huy chương vàng ở các giải vô địch quốc gia, huy chương ở các giải vô địch quốc tế: 40 lần mức lương cơ sở.</w:t>
            </w:r>
          </w:p>
          <w:p w14:paraId="153E878C" w14:textId="34A29615"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 xml:space="preserve">b) Đối với sinh viên tốt nghiệp xuất sắc, cán bộ khoa học trẻ theo quy định tại Điều 2 Nghị định số 140/2017/NĐ-CP ngày 05 tháng 12 năm 2017 của Chính phủ, sau khi được tuyển dụng, ngoài việc được </w:t>
            </w:r>
            <w:r w:rsidRPr="00F84AF2">
              <w:rPr>
                <w:rFonts w:eastAsia="Times New Roman" w:cs="Times New Roman"/>
                <w:bCs/>
                <w:sz w:val="24"/>
                <w:szCs w:val="24"/>
              </w:rPr>
              <w:lastRenderedPageBreak/>
              <w:t>hưởng theo chế độ quy định tại Nghị định số 140/2017/NĐ-CP ngày 05 tháng 12 năm 2017 của Chính phủ còn được hỗ trợ bằng tiền một lần theo điểm a Khoản này.</w:t>
            </w:r>
          </w:p>
          <w:p w14:paraId="0129E10C" w14:textId="77777777" w:rsidR="00422D88" w:rsidRPr="00F84AF2" w:rsidRDefault="00422D88" w:rsidP="00422D88">
            <w:pPr>
              <w:shd w:val="clear" w:color="auto" w:fill="FFFFFF"/>
              <w:spacing w:before="60"/>
              <w:rPr>
                <w:rFonts w:eastAsia="Times New Roman" w:cs="Times New Roman"/>
                <w:bCs/>
                <w:sz w:val="24"/>
                <w:szCs w:val="24"/>
              </w:rPr>
            </w:pPr>
            <w:r w:rsidRPr="00F84AF2">
              <w:rPr>
                <w:rFonts w:eastAsia="Times New Roman" w:cs="Times New Roman"/>
                <w:bCs/>
                <w:sz w:val="24"/>
                <w:szCs w:val="24"/>
              </w:rPr>
              <w:t>c) Các đối tượng thu hút là Giáo sư; Phó Giáo sư; Tiến sĩ; Bác sĩ chuyên khoa II; Dược sĩ chuyên khoa II; Bác sĩ nội trú; Giáo viên có thành tích bồi dưỡng học sinh đạt giải nhất các kỳ thi học sinh giỏi quốc gia, giải chính thức các kỳ thi học sinh giỏi khu vực, quốc tế; Huấn luyện viên đã đào tạo được vận động viên đoạt huy chương vàng ở các giải vô địch quốc gia, huy chương ở các giải vô địch quốc tế, nếu có nhu cầu, được ưu tiên mua, thuê nhà ở xã hội theo quy định của Ủy ban nhân dân tỉnh.</w:t>
            </w:r>
          </w:p>
          <w:p w14:paraId="2C08BEA7" w14:textId="0BF65215" w:rsidR="00BA0E06" w:rsidRPr="00F84AF2" w:rsidRDefault="00BA0E06" w:rsidP="00BA0E06">
            <w:pPr>
              <w:shd w:val="clear" w:color="auto" w:fill="FFFFFF"/>
              <w:spacing w:before="60"/>
              <w:rPr>
                <w:rFonts w:eastAsia="Times New Roman" w:cs="Times New Roman"/>
                <w:b/>
                <w:bCs/>
                <w:sz w:val="24"/>
                <w:szCs w:val="24"/>
              </w:rPr>
            </w:pPr>
            <w:r w:rsidRPr="00F84AF2">
              <w:rPr>
                <w:rFonts w:eastAsia="Times New Roman" w:cs="Times New Roman"/>
                <w:b/>
                <w:bCs/>
                <w:sz w:val="24"/>
                <w:szCs w:val="24"/>
              </w:rPr>
              <w:t>Điều 4. Mức thưởng khi được phong học hàm, tặng danh hiệu</w:t>
            </w:r>
          </w:p>
          <w:p w14:paraId="5BD94DDA" w14:textId="3307E15B" w:rsidR="00BA0E06" w:rsidRPr="00F84AF2" w:rsidRDefault="00BA0E06" w:rsidP="00BA0E06">
            <w:pPr>
              <w:shd w:val="clear" w:color="auto" w:fill="FFFFFF"/>
              <w:spacing w:before="60"/>
              <w:rPr>
                <w:rFonts w:eastAsia="Times New Roman" w:cs="Times New Roman"/>
                <w:bCs/>
                <w:sz w:val="24"/>
                <w:szCs w:val="24"/>
              </w:rPr>
            </w:pPr>
            <w:r w:rsidRPr="00F84AF2">
              <w:rPr>
                <w:rFonts w:eastAsia="Times New Roman" w:cs="Times New Roman"/>
                <w:bCs/>
                <w:sz w:val="24"/>
                <w:szCs w:val="24"/>
              </w:rPr>
              <w:t>1. Giáo sư: 120 lần mức lương cơ sở;</w:t>
            </w:r>
          </w:p>
          <w:p w14:paraId="3C97DC40" w14:textId="607A5825" w:rsidR="00BA0E06" w:rsidRPr="00F84AF2" w:rsidRDefault="00BA0E06" w:rsidP="00BA0E06">
            <w:pPr>
              <w:shd w:val="clear" w:color="auto" w:fill="FFFFFF"/>
              <w:spacing w:before="60"/>
              <w:rPr>
                <w:rFonts w:eastAsia="Times New Roman" w:cs="Times New Roman"/>
                <w:bCs/>
                <w:sz w:val="24"/>
                <w:szCs w:val="24"/>
              </w:rPr>
            </w:pPr>
            <w:r w:rsidRPr="00F84AF2">
              <w:rPr>
                <w:rFonts w:eastAsia="Times New Roman" w:cs="Times New Roman"/>
                <w:bCs/>
                <w:sz w:val="24"/>
                <w:szCs w:val="24"/>
              </w:rPr>
              <w:t>2. Phó Giáo sư: 100 lần mức lương cơ sở;</w:t>
            </w:r>
          </w:p>
          <w:p w14:paraId="1A7FDA39" w14:textId="6E18F9E1" w:rsidR="00BA0E06" w:rsidRPr="00F84AF2" w:rsidRDefault="00BA0E06" w:rsidP="00BA0E06">
            <w:pPr>
              <w:shd w:val="clear" w:color="auto" w:fill="FFFFFF"/>
              <w:spacing w:before="60"/>
              <w:rPr>
                <w:rFonts w:eastAsia="Times New Roman" w:cs="Times New Roman"/>
                <w:bCs/>
                <w:sz w:val="24"/>
                <w:szCs w:val="24"/>
              </w:rPr>
            </w:pPr>
            <w:r w:rsidRPr="00F84AF2">
              <w:rPr>
                <w:rFonts w:eastAsia="Times New Roman" w:cs="Times New Roman"/>
                <w:bCs/>
                <w:sz w:val="24"/>
                <w:szCs w:val="24"/>
              </w:rPr>
              <w:t>3. Nhà giáo nhân dân, Thầy thuốc nhân dân, Nghệ sỹ nhân dân: 30 lần mức lương cơ sở;</w:t>
            </w:r>
          </w:p>
          <w:p w14:paraId="1977A67E" w14:textId="35E36E16" w:rsidR="00BA0E06" w:rsidRPr="00F84AF2" w:rsidRDefault="00BA0E06" w:rsidP="00BA0E06">
            <w:pPr>
              <w:shd w:val="clear" w:color="auto" w:fill="FFFFFF"/>
              <w:spacing w:before="60"/>
              <w:rPr>
                <w:rFonts w:eastAsia="Times New Roman" w:cs="Times New Roman"/>
                <w:bCs/>
                <w:sz w:val="24"/>
                <w:szCs w:val="24"/>
              </w:rPr>
            </w:pPr>
            <w:r w:rsidRPr="00F84AF2">
              <w:rPr>
                <w:rFonts w:eastAsia="Times New Roman" w:cs="Times New Roman"/>
                <w:bCs/>
                <w:sz w:val="24"/>
                <w:szCs w:val="24"/>
              </w:rPr>
              <w:t>4. Nghệ nhân nhân dân: 20 lần mức lương cơ sở.</w:t>
            </w:r>
          </w:p>
        </w:tc>
        <w:tc>
          <w:tcPr>
            <w:tcW w:w="4110" w:type="dxa"/>
          </w:tcPr>
          <w:p w14:paraId="63DC067D" w14:textId="118DF88D" w:rsidR="00422D88" w:rsidRPr="00F84AF2" w:rsidRDefault="00422D88" w:rsidP="00422D88">
            <w:pPr>
              <w:pStyle w:val="BodyText3"/>
              <w:spacing w:before="60"/>
              <w:rPr>
                <w:rFonts w:cs="Times New Roman"/>
                <w:b/>
                <w:bCs/>
                <w:sz w:val="24"/>
                <w:szCs w:val="24"/>
                <w:lang w:val="vi-VN"/>
              </w:rPr>
            </w:pPr>
            <w:r w:rsidRPr="00F84AF2">
              <w:rPr>
                <w:rFonts w:cs="Times New Roman"/>
                <w:b/>
                <w:bCs/>
                <w:sz w:val="24"/>
                <w:szCs w:val="24"/>
                <w:lang w:val="vi-VN"/>
              </w:rPr>
              <w:lastRenderedPageBreak/>
              <w:t>Điều 6. Điều kiện thu hút</w:t>
            </w:r>
          </w:p>
          <w:p w14:paraId="7815BD55" w14:textId="4E7445B7"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Đối tượng thu hút quy định tại điểm a khoản 2 Điều 2 Quy định này phải đáp ứng các điều kiện sau:</w:t>
            </w:r>
          </w:p>
          <w:p w14:paraId="1D264FFC" w14:textId="04AEA344"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1. Có trình độ chuyên môn, nghiệp vụ phù hợp, đáp ứng với vị trí việc làm tại các cơ quan, đơn vị sự nghiệp công lập thuộc phạm vi quản lý nhà nước của tỉnh và đảm bảo tiêu chuẩn chức danh nghề nghiệp theo quy định của pháp luật;</w:t>
            </w:r>
          </w:p>
          <w:p w14:paraId="16573B26" w14:textId="60D51749"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 xml:space="preserve">2. Đã có văn bằng, chứng chỉ tốt nghiệp đại học, sau đại học tại các cơ sở giáo dục được Cục Quản lý chất lượng - Bộ Giáo dục &amp; Đào tạo đánh giá, công nhận đạt chuẩn chất lượng giáo dục; các chương trình đào tạo và điều kiện đảm bảo đào tạo chuyên ngành được thẩm định đạt yêu cầu; trường hợp đào tạo tại các cơ sở giáo dục đại học ở nước ngoài </w:t>
            </w:r>
            <w:r w:rsidRPr="00F84AF2">
              <w:rPr>
                <w:rFonts w:cs="Times New Roman"/>
                <w:bCs/>
                <w:sz w:val="24"/>
                <w:szCs w:val="24"/>
                <w:lang w:val="vi-VN"/>
              </w:rPr>
              <w:lastRenderedPageBreak/>
              <w:t>phải phù hợp với quy định của pháp luật Việt Nam;</w:t>
            </w:r>
          </w:p>
          <w:p w14:paraId="222C9BB1" w14:textId="2021A0C6"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3. Còn ít nhất 10 năm công tác cho đến khi đủ tuổi nghỉ hưu theo quy định và cam kết công tác ít nhất 10 năm (120 tháng) tại cơ quan, đơn vị được tuyển dụng;</w:t>
            </w:r>
          </w:p>
          <w:p w14:paraId="367FA77F" w14:textId="4E1517AA"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4. Không áp dụng đối với công chức, viên chức xin thôi việc, bỏ việc hoặc chuyển công tác ra khỏi cơ quan, đơn vị sự nghiệp công lập trong tỉnh kể từ ngày Nghị quyết này có hiệu lực, được tuyển dụng trở lại làm việc.</w:t>
            </w:r>
          </w:p>
          <w:p w14:paraId="50F1B8AB" w14:textId="0661CA08" w:rsidR="00422D88" w:rsidRPr="00F84AF2" w:rsidRDefault="00422D88" w:rsidP="00422D88">
            <w:pPr>
              <w:pStyle w:val="BodyText3"/>
              <w:spacing w:before="60"/>
              <w:rPr>
                <w:rFonts w:cs="Times New Roman"/>
                <w:b/>
                <w:bCs/>
                <w:sz w:val="24"/>
                <w:szCs w:val="24"/>
                <w:lang w:val="vi-VN"/>
              </w:rPr>
            </w:pPr>
            <w:r w:rsidRPr="00F84AF2">
              <w:rPr>
                <w:rFonts w:cs="Times New Roman"/>
                <w:b/>
                <w:bCs/>
                <w:sz w:val="24"/>
                <w:szCs w:val="24"/>
                <w:lang w:val="vi-VN"/>
              </w:rPr>
              <w:t>Điều 7. Mức thu hút</w:t>
            </w:r>
          </w:p>
          <w:p w14:paraId="774D6CD9" w14:textId="7D73A29A"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1. Bác sĩ về làm việc tại Trạm Y tế tuyến xã; Trung tâm nuôi dưỡng tâm thần, người có công và xã hội tỉnh; Cơ sở cai nghiện ma túy tỉnh:</w:t>
            </w:r>
          </w:p>
          <w:p w14:paraId="24964B1F" w14:textId="239D0212"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a) Bác sĩ sau đại học: 400 triệu đồng/người.</w:t>
            </w:r>
          </w:p>
          <w:p w14:paraId="2C35CDAC" w14:textId="7402A388"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b) Bác sĩ đa khoa hoặc Bác sĩ Y khoa: 300 triệu đồng/người.</w:t>
            </w:r>
          </w:p>
          <w:p w14:paraId="13F72828" w14:textId="056873EF"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2. Bác sĩ về làm việc ở các chuyên khoa chuyên ngành tâm thần, giải phẫu bệnh, pháp y, pháp y tâm thần, truyền nhiễm và hồi sức cấp cứu tại các Bệnh viện, Trung tâm y tế, Trung tâm Pháp y (trừ các khoa, phòng tại các đơn vị thuộc khoản 4 Điều này):</w:t>
            </w:r>
          </w:p>
          <w:p w14:paraId="370D970D" w14:textId="65C46573"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lastRenderedPageBreak/>
              <w:t>a) Tiến sĩ, bác sĩ chuyên khoa II: 500 triệu đồng/người.</w:t>
            </w:r>
          </w:p>
          <w:p w14:paraId="0C8F5563" w14:textId="266084CE"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b) Bác sĩ nội trú: 400 triệu đồng/người.</w:t>
            </w:r>
          </w:p>
          <w:p w14:paraId="21AE5A85" w14:textId="66CA8BF3"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c) Thạc sĩ, bác sĩ chuyên khoa I: 300 triệu đồng/người.</w:t>
            </w:r>
          </w:p>
          <w:p w14:paraId="229DB23E" w14:textId="69AFBB35"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d) Bác sĩ đa khoa hoặc bác sĩ Y khoa: 200 triệu đồng/người.</w:t>
            </w:r>
          </w:p>
          <w:p w14:paraId="1FBF053E" w14:textId="2524E340"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3. Bác sĩ về làm việc tại Chi cục An toàn vệ sinh thực phẩm, Chi cục Dân số; Bệnh viện Phục hồi chức năng, Bệnh viện Y học cổ truyền, Trung tâm Kiểm soát bệnh tật; Bệnh viện Phổi, Bệnh viện Bệnh Nhiệt đới, Bệnh viện Tâm thần, Trung tâm Y tế huyện, thị xã, thành phố (trừ các khoa, phòng thuộc khoản 2 Điều này):</w:t>
            </w:r>
          </w:p>
          <w:p w14:paraId="648103A3" w14:textId="70085631"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a) Tiến sĩ, bác sĩ chuyên khoa II: 400 triệu đồng/người.</w:t>
            </w:r>
          </w:p>
          <w:p w14:paraId="666987F6" w14:textId="317D8F39"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b) Bác sĩ nội trú: 300 triệu đồng/người.</w:t>
            </w:r>
          </w:p>
          <w:p w14:paraId="6BC24FA9" w14:textId="5BA71ECF"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c) Thạc sĩ, bác sĩ chuyên khoa I: 250 triệu đồng/người.</w:t>
            </w:r>
          </w:p>
          <w:p w14:paraId="25C415AE" w14:textId="57A74AD7"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d) Bác sĩ đa khoa hoặc bác sĩ Y khoa: 150 triệu đồng/người.</w:t>
            </w:r>
          </w:p>
          <w:p w14:paraId="53078F37" w14:textId="08599E48"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4. Bác sĩ về làm việc tại Bệnh viện Đa khoa tỉnh, Bệnh viện Phụ sản, Bệnh viện Mắt và Da liễu, Bệnh viện Nhi, Ban Bảo vệ chăm sóc sức khỏe cán bộ:</w:t>
            </w:r>
          </w:p>
          <w:p w14:paraId="0B659915" w14:textId="2811D924"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lastRenderedPageBreak/>
              <w:t>a) Tiến sĩ, bác sĩ chuyên khoa II: 300 triệu đồng/người.</w:t>
            </w:r>
          </w:p>
          <w:p w14:paraId="67833F4E" w14:textId="55CD4FE8"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b) Bác sĩ nội trú: 250 triệu đồng/người.</w:t>
            </w:r>
          </w:p>
          <w:p w14:paraId="455C59C2" w14:textId="10AE57A8"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c) Thạc sĩ, bác sĩ chuyên khoa I: 200 triệu đồng/người.</w:t>
            </w:r>
          </w:p>
          <w:p w14:paraId="3E5E7D68" w14:textId="364836E9"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5. Thu hút Dược sĩ về công tác tại các đơn vị sự nghiệp y tế công lập:</w:t>
            </w:r>
          </w:p>
          <w:p w14:paraId="294701A1" w14:textId="7B3C1504" w:rsidR="00422D88" w:rsidRPr="00F84AF2" w:rsidRDefault="00422D88" w:rsidP="00422D88">
            <w:pPr>
              <w:pStyle w:val="BodyText3"/>
              <w:spacing w:before="60"/>
              <w:rPr>
                <w:rFonts w:cs="Times New Roman"/>
                <w:bCs/>
                <w:sz w:val="24"/>
                <w:szCs w:val="24"/>
                <w:lang w:val="vi-VN"/>
              </w:rPr>
            </w:pPr>
            <w:r w:rsidRPr="00F84AF2">
              <w:rPr>
                <w:rFonts w:cs="Times New Roman"/>
                <w:bCs/>
                <w:sz w:val="24"/>
                <w:szCs w:val="24"/>
                <w:lang w:val="vi-VN"/>
              </w:rPr>
              <w:t>a) Tiến sĩ, dược sĩ chuyên khoa II: 300 triệu đồng/người.</w:t>
            </w:r>
          </w:p>
          <w:p w14:paraId="4434D9B8" w14:textId="24164C2A" w:rsidR="00F74D68" w:rsidRPr="00F84AF2" w:rsidRDefault="00422D88" w:rsidP="00422D88">
            <w:pPr>
              <w:pStyle w:val="BodyText3"/>
              <w:spacing w:before="60" w:after="0"/>
              <w:rPr>
                <w:rFonts w:cs="Times New Roman"/>
                <w:bCs/>
                <w:sz w:val="24"/>
                <w:szCs w:val="24"/>
                <w:lang w:val="vi-VN"/>
              </w:rPr>
            </w:pPr>
            <w:r w:rsidRPr="00F84AF2">
              <w:rPr>
                <w:rFonts w:cs="Times New Roman"/>
                <w:bCs/>
                <w:sz w:val="24"/>
                <w:szCs w:val="24"/>
                <w:lang w:val="vi-VN"/>
              </w:rPr>
              <w:t>b) Thạc sĩ, dược sĩ chuyên khoa I: 200 triệu đồng/người.</w:t>
            </w:r>
          </w:p>
        </w:tc>
        <w:tc>
          <w:tcPr>
            <w:tcW w:w="4962" w:type="dxa"/>
          </w:tcPr>
          <w:p w14:paraId="7DCADEC0" w14:textId="77777777" w:rsidR="00422D88" w:rsidRPr="00F84AF2" w:rsidRDefault="00422D88" w:rsidP="00422D88">
            <w:pPr>
              <w:pStyle w:val="BodyText3"/>
              <w:spacing w:before="60"/>
              <w:rPr>
                <w:rFonts w:cs="Times New Roman"/>
                <w:b/>
                <w:sz w:val="24"/>
                <w:szCs w:val="24"/>
              </w:rPr>
            </w:pPr>
            <w:r w:rsidRPr="00F84AF2">
              <w:rPr>
                <w:rFonts w:cs="Times New Roman"/>
                <w:b/>
                <w:sz w:val="24"/>
                <w:szCs w:val="24"/>
              </w:rPr>
              <w:lastRenderedPageBreak/>
              <w:t>Điều 3. Chính sách học bổng đối với học sinh</w:t>
            </w:r>
          </w:p>
          <w:p w14:paraId="6AD07252"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1. Đối tượng và điều kiện áp dụng</w:t>
            </w:r>
          </w:p>
          <w:p w14:paraId="59BE9652"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Học sinh đạt giải Nhất, Nhì, Ba trong các kỳ thi chọn Học sinh giỏi và nghiên cứu khoa học cấp quốc gia, Huy chương Vàng, Huy chương Bạc, Huy chương Đồng các kỳ thi chọn Học sinh giỏi cấp quốc tế; cam kết học tập, tốt nghiệp loại giỏi trở lên các trường Đại học trong và ngoài nước; cam kết sau khi ra trường làm việc tại cơ quan, đơn vị của thành phố tối thiểu là 05 năm.</w:t>
            </w:r>
          </w:p>
          <w:p w14:paraId="7F999C3B"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2. Chính sách áp dụng:</w:t>
            </w:r>
          </w:p>
          <w:p w14:paraId="430B7879"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 Thành phố cấp học bổng 100% học phí học tập và hỗ trợ chi phí sinh hoạt bậc đại học cho học sinh.</w:t>
            </w:r>
          </w:p>
          <w:p w14:paraId="2A19894F"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3. Trường hợp các đối tượng quy định tại điểm a, điểm b khoản 1 Điều này sau tốt nghiệp 02 năm nếu không công tác tại các cơ quan nhà nước của thành phố hoặc không thực hiện như cam kết do chủ quan của cá nhân thì phải hoàn trả, đền bù kinh phí đã được hỗ trợ.</w:t>
            </w:r>
          </w:p>
          <w:p w14:paraId="30B55CE3" w14:textId="77777777" w:rsidR="00422D88" w:rsidRPr="00F84AF2" w:rsidRDefault="00422D88" w:rsidP="00422D88">
            <w:pPr>
              <w:pStyle w:val="BodyText3"/>
              <w:spacing w:before="60"/>
              <w:rPr>
                <w:rFonts w:cs="Times New Roman"/>
                <w:b/>
                <w:sz w:val="24"/>
                <w:szCs w:val="24"/>
              </w:rPr>
            </w:pPr>
            <w:r w:rsidRPr="00F84AF2">
              <w:rPr>
                <w:rFonts w:cs="Times New Roman"/>
                <w:b/>
                <w:sz w:val="24"/>
                <w:szCs w:val="24"/>
              </w:rPr>
              <w:lastRenderedPageBreak/>
              <w:t>Điều 4. Chính sách học bổng đối với sinh viên</w:t>
            </w:r>
          </w:p>
          <w:p w14:paraId="38B94B5B"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1. Đối tượng và điều kiện áp dụng</w:t>
            </w:r>
          </w:p>
          <w:p w14:paraId="378CA233"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Sinh viên tốt nghiệp loại xuất sắc các trường Đại học trong và ngoài nước đại học đúng các ngành, nghề phục vụ cho sự phát triển của Thành phố; cam kết sau khi ra trường làm việc tại cơ quan, đơn vị của thành phố tối thiểu là 05 năm.</w:t>
            </w:r>
          </w:p>
          <w:p w14:paraId="29374496"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2. Chính sách áp dụng:</w:t>
            </w:r>
          </w:p>
          <w:p w14:paraId="484F01F6"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 Thành phố cấp học bổng 100% học phí học tập và hỗ trợ chi phí sinh hoạt bậc sau đại học cho sinh viên.</w:t>
            </w:r>
          </w:p>
          <w:p w14:paraId="1A0B218C"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b) Trường hợp đối tượng quy định tại khoản 1 Điều này sau tốt nghiệp 02 năm nếu không công tác tại các cơ quan nhà nước của thành phố hoặc không thực hiện như cam kết do chủ quan cá nhân thì phải hoàn trả, đền bù kinh phí đã được hỗ trợ.</w:t>
            </w:r>
          </w:p>
          <w:p w14:paraId="3812AFE8" w14:textId="77777777" w:rsidR="00422D88" w:rsidRPr="00F84AF2" w:rsidRDefault="00422D88" w:rsidP="00422D88">
            <w:pPr>
              <w:pStyle w:val="BodyText3"/>
              <w:spacing w:before="60"/>
              <w:rPr>
                <w:rFonts w:cs="Times New Roman"/>
                <w:b/>
                <w:sz w:val="24"/>
                <w:szCs w:val="24"/>
              </w:rPr>
            </w:pPr>
            <w:r w:rsidRPr="00F84AF2">
              <w:rPr>
                <w:rFonts w:cs="Times New Roman"/>
                <w:b/>
                <w:sz w:val="24"/>
                <w:szCs w:val="24"/>
              </w:rPr>
              <w:t>Điều 5. Chính sách hỗ trợ một lần</w:t>
            </w:r>
          </w:p>
          <w:p w14:paraId="3FF32C07"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1. Đối tượng và điều kiện áp dụng</w:t>
            </w:r>
          </w:p>
          <w:p w14:paraId="6EECCCBA"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Nhân tài, nguồn lực chất lượng cao sau khi được tuyển dụng, tiếp nhận và cam kết làm việc cho Thành phố ít nhất từ 5 năm trở lên hoặc theo quy định của Thành phố tại thời điểm cam kết được hỗ trợ kinh phí một lần với mức khác nhau theo từng đối tượng. Các đối tượng này phải đúng với ngành, nghề thành phố cần thu hút theo từng năm, từng thời kỳ. </w:t>
            </w:r>
          </w:p>
          <w:p w14:paraId="0D76E0A7"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lastRenderedPageBreak/>
              <w:t>2. Chính sách áp dụng: Được hưởng kinh phí hỗ trợ một lần sau khi được tuyển dụng, tiếp nhận như sau:</w:t>
            </w:r>
          </w:p>
          <w:p w14:paraId="24951B7F"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 Sinh viên tốt nghiệp xuất sắc: 150 triệu đồng.</w:t>
            </w:r>
          </w:p>
          <w:p w14:paraId="074C8CCA"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b)  Người có trình độ Thạc sĩ, Bác sĩ chuyên khoa cấp I và tương đương: 200 triệu đồng.</w:t>
            </w:r>
          </w:p>
          <w:p w14:paraId="1EC1D6F5"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c)  Người có trình độ Tiến sỹ, Bác sĩ chuyên khoa cấp II và tương đương: 300 triệu đồng.</w:t>
            </w:r>
          </w:p>
          <w:p w14:paraId="0D6049FA"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d) Người có trình độ Phó Giáo sư và tương đương: 400 triệu đồng.</w:t>
            </w:r>
          </w:p>
          <w:p w14:paraId="4202AE8C"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đ)  Người có trình độ Giáo sư và tương đương: 500 triệu đồng.</w:t>
            </w:r>
          </w:p>
          <w:p w14:paraId="7BEF0992"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e) Đối với các trường hợp khác (người có năng lực vượt trội, thành tích đặc biệt xuất sắc, năng khiếu chuyên biệt, chuyên gia đầu ngành ,…): Tùy từng tường hợp được hỗ trợ một lần nhưng không vượt quá 500 triệu đồng, bảo đảm sức cạnh tranh so với các tỉnh, thành phố khác.</w:t>
            </w:r>
          </w:p>
          <w:p w14:paraId="1C4F28A4"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Thí điểm hỗ trợ kinh phí đối với chuyên gia đầu ngành, nhà khoa học, cá nhân có năng lực đặc biệt, cống hiến nổi bật cho thành phố.</w:t>
            </w:r>
          </w:p>
          <w:p w14:paraId="23D6E622" w14:textId="77777777" w:rsidR="00422D88" w:rsidRPr="00F84AF2" w:rsidRDefault="00422D88" w:rsidP="00422D88">
            <w:pPr>
              <w:pStyle w:val="BodyText3"/>
              <w:spacing w:before="60"/>
              <w:rPr>
                <w:rFonts w:cs="Times New Roman"/>
                <w:b/>
                <w:sz w:val="24"/>
                <w:szCs w:val="24"/>
              </w:rPr>
            </w:pPr>
            <w:r w:rsidRPr="00F84AF2">
              <w:rPr>
                <w:rFonts w:cs="Times New Roman"/>
                <w:b/>
                <w:sz w:val="24"/>
                <w:szCs w:val="24"/>
              </w:rPr>
              <w:t>Điều 6. Chính sách về tiền lương và thu nhập</w:t>
            </w:r>
          </w:p>
          <w:p w14:paraId="064775EE"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1. Ngoài được hưởng chính sách tiền lương, phụ cấp theo quy định pháp luật hiện hành, cá nhân có đủ tiêu chuẩn, điều kiện thuộc đối tượng thu hút tại Điều 6 Nghị quyết nàycòn được hưởng chính sách hỗ trợ về thu nhập hàng tháng theo các mức như sau:</w:t>
            </w:r>
          </w:p>
          <w:p w14:paraId="7E83DB30"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lastRenderedPageBreak/>
              <w:t>a) Sinh viên tốt nghiệp xuất sắc: 1.5 lần mức lương tối thiểu vùng.</w:t>
            </w:r>
          </w:p>
          <w:p w14:paraId="237CB554"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b) người có trình độ Thạc sĩ và tương đương: 02 lần mức lương tối thiểu vùng.</w:t>
            </w:r>
          </w:p>
          <w:p w14:paraId="024518C8"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c) Người có trình độ Phó Giáo sư và tương đương trở lên: 04 lần mức lương tối thiểu vùng.</w:t>
            </w:r>
          </w:p>
          <w:p w14:paraId="2FD46C27"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d) Người có trình độ Tiến sĩ và tương đương: 03 lần mức lương tối thiểu vùng.</w:t>
            </w:r>
          </w:p>
          <w:p w14:paraId="0345D031"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đ) Người có trình độ, năng lực vượt trội và kinh nghiệm thực tiễn đang làm việc ở các lĩnh vực, khu vực, địa bàn khác về công tác tại các cơ quan, đơn vị của thành phố: 02 lần mức lương tối thiểu vùng.</w:t>
            </w:r>
          </w:p>
          <w:p w14:paraId="28509EE0"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e) Nhà khoa học, chuyên gia thu hút theo nhiệm vụ, theo đơn đặt hàng: Tùy theo tính chất công việc, thời gian thực hiện nhiệm vụ theo hợp đồng được hỗ trợ thu nhập bằng không quá 05 lần mức lương tối thiểu vùng.</w:t>
            </w:r>
          </w:p>
          <w:p w14:paraId="37EBBE43"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2. Mức hỗ trợ thu nhập nêu tại khoản 1 Điều 7 được chi trả căn cứ kết quả đánh giá, xếp loại chất lượng theo hiệu quả công việc hàng năm, cụ thể:</w:t>
            </w:r>
          </w:p>
          <w:p w14:paraId="69EED45F"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a) Trường hợp đánh giá hàng năm hoàn thành xuất sắc nhiệm vụ thì được hưởng 100% mức thu nhập; </w:t>
            </w:r>
          </w:p>
          <w:p w14:paraId="0A563E05"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b) Trường hợp hoàn thành tốt nhiệm vụ thì được hưởng 50% của loại hoàn thành xuất sắc nhiệm vụ. </w:t>
            </w:r>
          </w:p>
          <w:p w14:paraId="299602CF"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lastRenderedPageBreak/>
              <w:t>c) Trường hợp hoàn thành nhiệm vụ trở xuống thì không được hưởng chính sách hỗ trợ về thu nhập.</w:t>
            </w:r>
          </w:p>
          <w:p w14:paraId="7AF6937E"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3. Thời gian áp dụng:</w:t>
            </w:r>
          </w:p>
          <w:p w14:paraId="60852FE0"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 Chính sách hỗ trợ thu nhập được áp dụng sau khi hoàn thành thời gian tập sự và được thực hiện trong vòng 05 - 10 năm (tùy theo ngành, lĩnh vực cụ thể do Hội đồng xét chọn quyết định) kể từ ngày được bổ nhiệm xếp ngạch công chức, bổ nhiệm chức danh nghề nghiệp viên chức (đối với các trường hợp mới được tuyển dụng) hoặc kể từ ngày được cấp có thẩm quyền quyết định đối tượng áp dụng chính sách hỗ trợ thu nhập (đối với các trường hợp đang là cán bộ, công chức, viên chức).</w:t>
            </w:r>
          </w:p>
          <w:p w14:paraId="708A7BD0"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Sau thời hạn nêu trên, trường hợp được đánh giá, xếp loại chất lượng hằng năm từ hoàn thành tốt nhiệm vụ trở lên, cơ quan, đơn vị có thẩm quyền xem xét, gia hạn thời gian hưởng chính sách cho 05 năm tiếp theo.</w:t>
            </w:r>
          </w:p>
          <w:p w14:paraId="0BBCD9CB"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b) Trường hợp sinh viên tốt nghiệp xuất sắc và người có trình độ cao được bầu cử, bổ nhiệm chức danh, chức vụ lãnh đạo, quản lý cấp cao hơn thì vẫn được tiếp tục hưởng chính sách này.</w:t>
            </w:r>
          </w:p>
          <w:p w14:paraId="66FC04B4"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c) Chính sách hỗ trợ thu nhập được tính trên số ngày làm việc thực tế tại cơ quan, đơn vị, trừ các trường hợp sau đây: Nghỉ thai sản; nghỉ việc riêng; nghỉ do ốm đau hoặc nghỉ để điều trị chấn thương do tai nạn lao động; phải bàn giao lại </w:t>
            </w:r>
            <w:r w:rsidRPr="00F84AF2">
              <w:rPr>
                <w:rFonts w:cs="Times New Roman"/>
                <w:sz w:val="24"/>
                <w:szCs w:val="24"/>
              </w:rPr>
              <w:lastRenderedPageBreak/>
              <w:t xml:space="preserve">công việc để tham gia các chương trình đào tạo, bồi dưỡng hệ tập trung. </w:t>
            </w:r>
          </w:p>
          <w:p w14:paraId="6D4D63ED"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d) Chính sách hỗ trợ thu nhập kết thúc khi thuộc một trong các trường hợp sau: </w:t>
            </w:r>
          </w:p>
          <w:p w14:paraId="4CFF6293"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d1) Người thụ hưởng được cấp có thẩm quyền đánh giá là không đạt yêu cầu. </w:t>
            </w:r>
          </w:p>
          <w:p w14:paraId="7C757565"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d2) Người thụ hưởng được điều động, luân chuyển sang các vị trí việc làm có yêu cầu trình độ hoặc khung năng lực thấp hơn. </w:t>
            </w:r>
          </w:p>
          <w:p w14:paraId="41259548"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d3) Người thụ hưởng chuyển công tác sang các cơ quan, tổ chức, đơn vị ngoài phạm vi điều chỉnh của Nghị quyết. </w:t>
            </w:r>
          </w:p>
          <w:p w14:paraId="59DCD315"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d4) Người thụ hưởng được bầu cử, bổ nhiệm giữ chức vụ, chức danh cao hơn mà chức danh đó không thuộc đối tượng áp dụng của Nghị quyết. </w:t>
            </w:r>
          </w:p>
          <w:p w14:paraId="079AA400"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(d5) Người thụ hưởng được cấp có thẩm quyền giải quyết thôi việc, chấm dứt hợp đồng làm việc, nghỉ hưu hoặc nghỉ để hưởng chế độ, chính sách khác theo quy định pháp luật hiện hành.</w:t>
            </w:r>
          </w:p>
          <w:p w14:paraId="52923F88" w14:textId="77777777" w:rsidR="00422D88" w:rsidRPr="00F84AF2" w:rsidRDefault="00422D88" w:rsidP="00422D88">
            <w:pPr>
              <w:pStyle w:val="BodyText3"/>
              <w:spacing w:before="60"/>
              <w:rPr>
                <w:rFonts w:cs="Times New Roman"/>
                <w:b/>
                <w:sz w:val="24"/>
                <w:szCs w:val="24"/>
              </w:rPr>
            </w:pPr>
            <w:r w:rsidRPr="00F84AF2">
              <w:rPr>
                <w:rFonts w:cs="Times New Roman"/>
                <w:b/>
                <w:sz w:val="24"/>
                <w:szCs w:val="24"/>
              </w:rPr>
              <w:t>Điều 7. Chính sách đặt hàng chuyên gia, nhà khoa học, người có tài năng đặc biệt thực hiện các công trình, nhiệm vụ của Thành phố</w:t>
            </w:r>
          </w:p>
          <w:p w14:paraId="4F9C32B3"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1. Đối tượng áp dụng:</w:t>
            </w:r>
          </w:p>
          <w:p w14:paraId="3651E541"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Chuyên gia, nhà khoa học, người có tài năng, nhà quản lý, người lao động có trình độ cao được cấp có thẩm quyền của thành phố ký hợp đồng đặt hàng thực hiện các nhiệm vụ, chương trình, dự án, đề án (không phải là nhiệm vụ khoa học và công nghệ theo quy định của Luật Khoa học </w:t>
            </w:r>
            <w:r w:rsidRPr="00F84AF2">
              <w:rPr>
                <w:rFonts w:cs="Times New Roman"/>
                <w:sz w:val="24"/>
                <w:szCs w:val="24"/>
              </w:rPr>
              <w:lastRenderedPageBreak/>
              <w:t>và Công nghệ), giải pháp, sáng kiến đổi mới kỹ thuật, công nghệ hoặc tác phẩm, công trình văn hóa, nghệ thuật - thể dục, thể thao từ cấp thành phố, cấp bộ, ban, ngành (gọi tắt là cấp thành phố, cấp bộ) trở lên thuộc danh mục nhiệm vụ cần phải hoàn thành.</w:t>
            </w:r>
          </w:p>
          <w:p w14:paraId="7ED4BB7C"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2. Điều kiện áp dụng:</w:t>
            </w:r>
          </w:p>
          <w:p w14:paraId="42299230"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a) Đối với chuyên gia, nhà khoa học: </w:t>
            </w:r>
          </w:p>
          <w:p w14:paraId="4FDA04F1"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a1) Có trình độ và chuyên ngành đào tạo phù hợp với hoạt động khoa học và công nghệ theo quy định pháp luật Việt Nam. </w:t>
            </w:r>
          </w:p>
          <w:p w14:paraId="79FC72A8"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a2) Có đủ tiêu chuẩn về trình độ chuyên môn, kinh nghiệm thực tiễn và thành tích nghiên cứu khoa học phù hợp với yêu cầu của vị trí cần thu hút. </w:t>
            </w:r>
          </w:p>
          <w:p w14:paraId="64C78074"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a3) Có công trình nghiên cứu được công bố trên các tạp chí khoa học trong cơ sở dữ liệu Web of Science (WoS) hoặc có công trình nghiên cứu xuất sắc đã được nghiệm thu hoặc có sáng chế được công nhận đem lại hiệu quả cao, được ứng dụng trong sản xuất công nghiệp, nông nghiệp và các ngành, lĩnh vực khác.</w:t>
            </w:r>
          </w:p>
          <w:p w14:paraId="5497D1DC"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a4) Có nhiều kinh nghiệm trong đào tạo, tư vấn, chuyển giao công nghệ, quản lý hoạt động khoa học, vận hành các thiết bị, dây chuyền sản xuất, thiết kế chế tạo sản phẩm liên quan đến lĩnh vực chuyên môn.</w:t>
            </w:r>
          </w:p>
          <w:p w14:paraId="5F5AB817"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b) Đối với người có tài năng, nhà quản lý, người lao động có trình độ cao:</w:t>
            </w:r>
          </w:p>
          <w:p w14:paraId="36553C06"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lastRenderedPageBreak/>
              <w:t xml:space="preserve">b1) Có tri thức và năng lực đặc biệt xuất sắc, có khả năng lao động sáng tạo cao và có uy tín trong một hoặc một số ngành, lĩnh vực cần thu hút. </w:t>
            </w:r>
          </w:p>
          <w:p w14:paraId="7EEC7AB5"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b2) Đã đạt nhiều thành tích hoặc có khả năng hoàn thành công việc, nhiệm vụ cụ thể với mức độ tốt vượt trội mà ít người có thể thực hiện được.</w:t>
            </w:r>
          </w:p>
          <w:p w14:paraId="512C6B5D"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3. Chính sách áp dụng:</w:t>
            </w:r>
          </w:p>
          <w:p w14:paraId="301FA122"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 Chính sách chi trả kinh phí theo hợp đồng</w:t>
            </w:r>
          </w:p>
          <w:p w14:paraId="487560BB"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a1) Thành phố thực hiện trả kinh phí theo hợp đồng theo kết quả thực hiện nhiệm vụ, bảo đảm thu nhập bình quân từ 30 - 100 triệu đồng/chuyên gia/tháng. Mức thu nhập này đã bao gồm tiền lương hàng tháng và các khoản phụ cấp theo lương (nếu có) mà chuyên gia, nhà khoa học, người có tài năng, nhà quản lý, người lao động có trình độ cao được hưởng theo quy định pháp luật. </w:t>
            </w:r>
          </w:p>
          <w:p w14:paraId="5A0CB56E"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a2) Thời gian áp dụng: từ khi ký kết hợp đồng đến khi kết thúc hợp đồng.</w:t>
            </w:r>
          </w:p>
          <w:p w14:paraId="34993273"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a3) Việc áp dụng mức thu nhập cụ thể cho từng chuyên gia, nhà khoa học, người có tài năng, nhà quản lý, người lao động có trình độ cao tương xứng với trình độ, năng lực và uy tín cá nhân.</w:t>
            </w:r>
          </w:p>
          <w:p w14:paraId="7431386C"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b) Chính sách chi trả đối với trường hợp đặt hàng nghiên cứu đề tài khoa học cấp thành phố:</w:t>
            </w:r>
          </w:p>
          <w:p w14:paraId="1F4E6E7D"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Trường hợp thành phố đặt hàng nghiên cứu các đề tài khoa học cấp thành phố được chi trả chế độ nghiên cứu theo quy định. Trường hợp được </w:t>
            </w:r>
            <w:r w:rsidRPr="00F84AF2">
              <w:rPr>
                <w:rFonts w:cs="Times New Roman"/>
                <w:sz w:val="24"/>
                <w:szCs w:val="24"/>
              </w:rPr>
              <w:lastRenderedPageBreak/>
              <w:t>Hội đồng nghiệm thu cấp Thành phố xếp loại xuất sắc và được áp dụng rộng rãi vào thực tiễn được Thành phố thưởng bằng 25% tổng kinh phí ngân sách chi trả cho đề tài đó, mức thưởng tối đa không quá 500 triệu đồng/đề tài.</w:t>
            </w:r>
          </w:p>
          <w:p w14:paraId="1EF17094"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c) Chính sách hỗ trợ thuê nhà: </w:t>
            </w:r>
          </w:p>
          <w:p w14:paraId="2F7895F7"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Trong thời gian thực hiện nhiệm vụ, trường hợp gặp khó khăn về nhà ở nhưng cơ quan, đơn vị thu hút không bố trí được nhà ở công vụ thì được hỗ trợ tối đa 50% chi phí thuê nhà ở và mức hỗ trợ tối đa không quá 5.000.000 đồng/tháng.</w:t>
            </w:r>
          </w:p>
          <w:p w14:paraId="401DE10C" w14:textId="77777777" w:rsidR="00422D88" w:rsidRPr="00F84AF2" w:rsidRDefault="00422D88" w:rsidP="00422D88">
            <w:pPr>
              <w:pStyle w:val="BodyText3"/>
              <w:spacing w:before="60"/>
              <w:rPr>
                <w:rFonts w:cs="Times New Roman"/>
                <w:b/>
                <w:sz w:val="24"/>
                <w:szCs w:val="24"/>
              </w:rPr>
            </w:pPr>
            <w:r w:rsidRPr="00F84AF2">
              <w:rPr>
                <w:rFonts w:cs="Times New Roman"/>
                <w:b/>
                <w:sz w:val="24"/>
                <w:szCs w:val="24"/>
              </w:rPr>
              <w:t>Điều 8. Chính sách hỗ trợ nhà ở và đi lại</w:t>
            </w:r>
          </w:p>
          <w:p w14:paraId="554F6BAA"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1. Đối với đối tượng quy định tại khoản 1, khoản 2, khoản 4 Điều 2 Nghị quyết này:</w:t>
            </w:r>
          </w:p>
          <w:p w14:paraId="62E23E95"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a) Trường hợp đã hoàn thành thời gian tập sự (nếu có), được cấp có thẩm quyền xác nhận đang gặp khó khăn về nhà ở thì được xem xét, hỗ trợ tối đa 50% chi phí thuê nhà ở, mức hỗ trợ tối đa không quá 5.000.000 đồng/tháng.</w:t>
            </w:r>
          </w:p>
          <w:p w14:paraId="1C87D490"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 xml:space="preserve">b) Ngoài chính sách tại điểm a khoản 1 Điều này, còn được hưởng các chính sách hỗ trợ sau: </w:t>
            </w:r>
          </w:p>
          <w:p w14:paraId="21F26A83"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b1) Ưu tiên cung cấp nhà ở xã hội hoặc tạo điều kiện cho thuê nhà ở, hỗ trợ vay vốn mua nhà với lãi suất ưu đãi căn cứ theo nguyện vọng và điều kiện thực tế từng trường hợp cụ thể.</w:t>
            </w:r>
          </w:p>
          <w:p w14:paraId="6BECE107"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t>b2) Hỗ trợ tìm kiếm việc làm cho vợ/chồng của các đối tượng thuộc diện thu hút, tạo điều kiện cho vợ/chồng của họ được phát triển sự nghiệp.</w:t>
            </w:r>
          </w:p>
          <w:p w14:paraId="7981C7A5" w14:textId="77777777" w:rsidR="00422D88" w:rsidRPr="00F84AF2" w:rsidRDefault="00422D88" w:rsidP="00422D88">
            <w:pPr>
              <w:pStyle w:val="BodyText3"/>
              <w:spacing w:before="60"/>
              <w:rPr>
                <w:rFonts w:cs="Times New Roman"/>
                <w:sz w:val="24"/>
                <w:szCs w:val="24"/>
              </w:rPr>
            </w:pPr>
            <w:r w:rsidRPr="00F84AF2">
              <w:rPr>
                <w:rFonts w:cs="Times New Roman"/>
                <w:sz w:val="24"/>
                <w:szCs w:val="24"/>
              </w:rPr>
              <w:lastRenderedPageBreak/>
              <w:t>b3) Được hỗ trợ đi lại cho cá nhân và gia đình từ địa phương khác đến Hải Phòng làm việc không quá với mức hỗ trợ bằng 5 lần mức lương tối thiểu vùng/năm.</w:t>
            </w:r>
          </w:p>
          <w:p w14:paraId="1E3AE25A" w14:textId="02D4F9C2" w:rsidR="00F74D68" w:rsidRPr="00F84AF2" w:rsidRDefault="00422D88" w:rsidP="00422D88">
            <w:pPr>
              <w:pStyle w:val="BodyText3"/>
              <w:spacing w:before="60" w:after="0"/>
              <w:rPr>
                <w:rFonts w:cs="Times New Roman"/>
                <w:sz w:val="24"/>
                <w:szCs w:val="24"/>
              </w:rPr>
            </w:pPr>
            <w:r w:rsidRPr="00F84AF2">
              <w:rPr>
                <w:rFonts w:cs="Times New Roman"/>
                <w:sz w:val="24"/>
                <w:szCs w:val="24"/>
              </w:rPr>
              <w:t>2. Đối với đối tượng quy định tại Điều 2 Nghị quyết này có nhu cầu mua nhà ở xã hội thì được ưu tiên mua nhà ở xã hội theo các chính sách của thành phố.</w:t>
            </w:r>
          </w:p>
        </w:tc>
        <w:tc>
          <w:tcPr>
            <w:tcW w:w="2126" w:type="dxa"/>
          </w:tcPr>
          <w:p w14:paraId="540A6179" w14:textId="30FDD9D8" w:rsidR="00F74D68" w:rsidRPr="00F84AF2" w:rsidRDefault="00422D88" w:rsidP="00F74D68">
            <w:pPr>
              <w:shd w:val="clear" w:color="auto" w:fill="FFFFFF"/>
              <w:spacing w:before="60"/>
              <w:jc w:val="both"/>
              <w:rPr>
                <w:rFonts w:cs="Times New Roman"/>
                <w:bCs/>
                <w:sz w:val="24"/>
                <w:szCs w:val="24"/>
              </w:rPr>
            </w:pPr>
            <w:r w:rsidRPr="00F84AF2">
              <w:rPr>
                <w:rFonts w:cs="Times New Roman"/>
                <w:bCs/>
                <w:sz w:val="24"/>
                <w:szCs w:val="24"/>
              </w:rPr>
              <w:lastRenderedPageBreak/>
              <w:t xml:space="preserve">Ngoài chính sách hỗ trợ một lần, dự thảo Nghị quyết còn bổ sung thêm các chính sách: </w:t>
            </w:r>
            <w:r w:rsidRPr="00F84AF2">
              <w:rPr>
                <w:rFonts w:cs="Times New Roman"/>
                <w:sz w:val="24"/>
                <w:szCs w:val="24"/>
              </w:rPr>
              <w:t>Chính sách học bổng đối với học sinh; Chính sách học bổng đối với sinh viên;</w:t>
            </w:r>
            <w:r w:rsidRPr="00F84AF2">
              <w:rPr>
                <w:rFonts w:cs="Times New Roman"/>
                <w:b/>
                <w:sz w:val="24"/>
                <w:szCs w:val="24"/>
              </w:rPr>
              <w:t xml:space="preserve"> </w:t>
            </w:r>
            <w:r w:rsidRPr="00F84AF2">
              <w:rPr>
                <w:rFonts w:cs="Times New Roman"/>
                <w:sz w:val="24"/>
                <w:szCs w:val="24"/>
              </w:rPr>
              <w:t>Chính sách về tiền lương và thu nhập; Chính sách đặt hàng chuyên gia, nhà khoa học, người có tài năng đặc biệt thực hiện các công trình, nhiệm vụ của Thành phố</w:t>
            </w:r>
          </w:p>
        </w:tc>
      </w:tr>
      <w:tr w:rsidR="00F74D68" w:rsidRPr="003E2EFB" w14:paraId="60842465" w14:textId="77777777" w:rsidTr="00422D88">
        <w:tc>
          <w:tcPr>
            <w:tcW w:w="3823" w:type="dxa"/>
            <w:vAlign w:val="center"/>
          </w:tcPr>
          <w:p w14:paraId="7A4A2229" w14:textId="77777777" w:rsidR="00BA0E06" w:rsidRPr="00F84AF2" w:rsidRDefault="00BA0E06" w:rsidP="00BA0E06">
            <w:pPr>
              <w:pStyle w:val="NormalWeb"/>
              <w:shd w:val="clear" w:color="auto" w:fill="FFFFFF"/>
              <w:spacing w:before="0" w:beforeAutospacing="0" w:after="0" w:afterAutospacing="0" w:line="234" w:lineRule="atLeast"/>
              <w:rPr>
                <w:b/>
                <w:bCs/>
              </w:rPr>
            </w:pPr>
            <w:bookmarkStart w:id="0" w:name="dieu_3"/>
            <w:r w:rsidRPr="00F84AF2">
              <w:rPr>
                <w:b/>
                <w:bCs/>
              </w:rPr>
              <w:lastRenderedPageBreak/>
              <w:t>Điều 3. Chính sách hỗ trợ cán bộ, công chức, viên chức được cử đi đào tạo sau đại học</w:t>
            </w:r>
            <w:bookmarkEnd w:id="0"/>
          </w:p>
          <w:p w14:paraId="090D7A61"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1. Điều kiện cán bộ, công chức, viên chức được cử đi đào tạo sau đại học</w:t>
            </w:r>
          </w:p>
          <w:p w14:paraId="651C9BE6"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a) Đối với cán bộ, công chức</w:t>
            </w:r>
          </w:p>
          <w:p w14:paraId="1595BD65"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 Trong kế hoạch đào tạo của cơ quan, đơn vị được cấp có thẩm quyền phê duyệt;</w:t>
            </w:r>
          </w:p>
          <w:p w14:paraId="2C8F8251"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 Có ngành hoặc chuyên ngành đào tạo sau đại học phù hợp với vị trí việc làm đang đảm nhiệm hoặc phù hợp với ngành, chuyên ngành đã được đào tạo ở bậc đại học;</w:t>
            </w:r>
          </w:p>
          <w:p w14:paraId="188720DD"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 Không quá 40 tuổi tính từ thời điểm cử đi đào tạo sau đại học;</w:t>
            </w:r>
          </w:p>
          <w:p w14:paraId="1304840C"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 Có thời gian công tác từ đủ 03 năm tr</w:t>
            </w:r>
            <w:r w:rsidRPr="00F84AF2">
              <w:t>ở </w:t>
            </w:r>
            <w:r w:rsidRPr="00F84AF2">
              <w:rPr>
                <w:lang w:val="vi-VN"/>
              </w:rPr>
              <w:t>lên (không kể thời gian tập sự), trong đó có ít nhất 02 năm liên tục liền kề trước thời điểm được cử đi đào tạo hoàn thành tốt nhiệm vụ trở lên;</w:t>
            </w:r>
          </w:p>
          <w:p w14:paraId="2F4A77F5"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lastRenderedPageBreak/>
              <w:t>- Có cam kết tiếp tục công tác tại các cơ quan, đơn vị thuộc tỉnh sau khi hoàn thành chương trình đào tạo sau đại học trong thời gian tối thiểu 02 lần thời gian đào tạo.</w:t>
            </w:r>
          </w:p>
          <w:p w14:paraId="56E8C34D"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b) Đối với viên chức</w:t>
            </w:r>
          </w:p>
          <w:p w14:paraId="3A993DE2"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 Trong kế hoạch đào tạo của cơ quan, đơn vị được cấp có thẩm quyền phê duyệt;</w:t>
            </w:r>
          </w:p>
          <w:p w14:paraId="23E7E9EF"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 Có ngành hoặc chuyên ngành đào tạo sau đại học phù hợp với vị trí việc làm đang đảm nhiệm hoặc phù hợp với ngành, chuyên ngành đã được đào tạo ở bậc đại học;</w:t>
            </w:r>
          </w:p>
          <w:p w14:paraId="13063FB5"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 Đã kết thúc thời gian tập sự (nếu có);</w:t>
            </w:r>
          </w:p>
          <w:p w14:paraId="71C6B9F9"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 Có cam kết tiếp tục công tác tại các đơn vị sự nghiệp công lập thuộc tỉnh sau khi hoàn thành chương trình đào tạo sau đại học trong thời gian tối thiểu 02 lần thời gian đào tạo.</w:t>
            </w:r>
          </w:p>
          <w:p w14:paraId="6FD980A3"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2. Mức hỗ trợ</w:t>
            </w:r>
          </w:p>
          <w:p w14:paraId="0628DEBC"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a) Tiến sĩ y khoa, Tiến sĩ dược học: 100 lần mức lương cơ sở;</w:t>
            </w:r>
          </w:p>
          <w:p w14:paraId="68F58CF7" w14:textId="77777777" w:rsidR="00BA0E06" w:rsidRPr="00F84AF2" w:rsidRDefault="00BA0E06" w:rsidP="00BA0E06">
            <w:pPr>
              <w:pStyle w:val="NormalWeb"/>
              <w:shd w:val="clear" w:color="auto" w:fill="FFFFFF"/>
              <w:spacing w:before="120" w:beforeAutospacing="0" w:after="120" w:afterAutospacing="0" w:line="234" w:lineRule="atLeast"/>
            </w:pPr>
            <w:r w:rsidRPr="00F84AF2">
              <w:rPr>
                <w:lang w:val="vi-VN"/>
              </w:rPr>
              <w:t>b) Tiến sĩ không thuộc lĩnh vực y khoa, dược học, Bác sĩ chuyên khoa II, Dược sĩ chuyên khoa II: 80 lần mức lương cơ sở.</w:t>
            </w:r>
          </w:p>
          <w:p w14:paraId="17B6D8F1" w14:textId="5FDF5E61" w:rsidR="00F74D68" w:rsidRPr="00F84AF2" w:rsidRDefault="00F74D68" w:rsidP="00F74D68">
            <w:pPr>
              <w:shd w:val="clear" w:color="auto" w:fill="FFFFFF"/>
              <w:spacing w:before="60"/>
              <w:rPr>
                <w:rFonts w:eastAsia="Times New Roman" w:cs="Times New Roman"/>
                <w:sz w:val="24"/>
                <w:szCs w:val="24"/>
              </w:rPr>
            </w:pPr>
          </w:p>
        </w:tc>
        <w:tc>
          <w:tcPr>
            <w:tcW w:w="4110" w:type="dxa"/>
          </w:tcPr>
          <w:p w14:paraId="244E5323" w14:textId="77777777" w:rsidR="00BA0E06" w:rsidRPr="00F84AF2" w:rsidRDefault="00BA0E06" w:rsidP="00BA0E06">
            <w:pPr>
              <w:pStyle w:val="NormalWeb"/>
              <w:spacing w:before="0" w:beforeAutospacing="0" w:after="0" w:afterAutospacing="0" w:line="234" w:lineRule="atLeast"/>
              <w:jc w:val="center"/>
            </w:pPr>
            <w:bookmarkStart w:id="1" w:name="chuong_2"/>
            <w:r w:rsidRPr="00F84AF2">
              <w:rPr>
                <w:b/>
                <w:bCs/>
              </w:rPr>
              <w:lastRenderedPageBreak/>
              <w:t>Chương II</w:t>
            </w:r>
            <w:bookmarkEnd w:id="1"/>
          </w:p>
          <w:p w14:paraId="6BD836C9" w14:textId="77777777" w:rsidR="00BA0E06" w:rsidRPr="00F84AF2" w:rsidRDefault="00BA0E06" w:rsidP="00BA0E06">
            <w:pPr>
              <w:pStyle w:val="NormalWeb"/>
              <w:spacing w:before="0" w:beforeAutospacing="0" w:after="0" w:afterAutospacing="0" w:line="234" w:lineRule="atLeast"/>
              <w:jc w:val="center"/>
            </w:pPr>
            <w:bookmarkStart w:id="2" w:name="chuong_2_name"/>
            <w:r w:rsidRPr="00F84AF2">
              <w:rPr>
                <w:b/>
                <w:bCs/>
              </w:rPr>
              <w:t>CHÍNH SÁCH HỖ TRỢ ĐÀO TẠO</w:t>
            </w:r>
            <w:bookmarkEnd w:id="2"/>
          </w:p>
          <w:p w14:paraId="60BAAB63" w14:textId="77777777" w:rsidR="00BA0E06" w:rsidRPr="00F84AF2" w:rsidRDefault="00BA0E06" w:rsidP="00BA0E06">
            <w:pPr>
              <w:pStyle w:val="NormalWeb"/>
              <w:shd w:val="clear" w:color="auto" w:fill="FFFFFF"/>
              <w:spacing w:before="0" w:beforeAutospacing="0" w:after="0" w:afterAutospacing="0" w:line="234" w:lineRule="atLeast"/>
            </w:pPr>
            <w:bookmarkStart w:id="3" w:name="dieu_3_1"/>
            <w:r w:rsidRPr="00F84AF2">
              <w:rPr>
                <w:b/>
                <w:bCs/>
              </w:rPr>
              <w:t>Điều 3. Điều kiện, mức hỗ trợ</w:t>
            </w:r>
            <w:bookmarkEnd w:id="3"/>
          </w:p>
          <w:p w14:paraId="744DE43B" w14:textId="77777777" w:rsidR="00BA0E06" w:rsidRPr="00F84AF2" w:rsidRDefault="00BA0E06" w:rsidP="00BA0E06">
            <w:pPr>
              <w:pStyle w:val="NormalWeb"/>
              <w:shd w:val="clear" w:color="auto" w:fill="FFFFFF"/>
              <w:spacing w:before="120" w:beforeAutospacing="0" w:after="120" w:afterAutospacing="0" w:line="234" w:lineRule="atLeast"/>
            </w:pPr>
            <w:r w:rsidRPr="00F84AF2">
              <w:t>1. Điều kiện hỗ trợ</w:t>
            </w:r>
          </w:p>
          <w:p w14:paraId="6B39A185" w14:textId="77777777" w:rsidR="00BA0E06" w:rsidRPr="00F84AF2" w:rsidRDefault="00BA0E06" w:rsidP="00BA0E06">
            <w:pPr>
              <w:pStyle w:val="NormalWeb"/>
              <w:shd w:val="clear" w:color="auto" w:fill="FFFFFF"/>
              <w:spacing w:before="120" w:beforeAutospacing="0" w:after="120" w:afterAutospacing="0" w:line="234" w:lineRule="atLeast"/>
            </w:pPr>
            <w:r w:rsidRPr="00F84AF2">
              <w:t>a) Người có trình độ, vị trí việc làm phù hợp với nội dung, chương trình, tài liệu đào tạo trên cơ sở đề xuất của cơ quan, đơn vị quản lý trực tiếp;</w:t>
            </w:r>
          </w:p>
          <w:p w14:paraId="1CF64F59" w14:textId="77777777" w:rsidR="00BA0E06" w:rsidRPr="00F84AF2" w:rsidRDefault="00BA0E06" w:rsidP="00BA0E06">
            <w:pPr>
              <w:pStyle w:val="NormalWeb"/>
              <w:shd w:val="clear" w:color="auto" w:fill="FFFFFF"/>
              <w:spacing w:before="120" w:beforeAutospacing="0" w:after="120" w:afterAutospacing="0" w:line="234" w:lineRule="atLeast"/>
            </w:pPr>
            <w:r w:rsidRPr="00F84AF2">
              <w:t>b) Đã được bổ nhiệm chính thức vào chức danh nghề nghiệp chuyên ngành y tế (</w:t>
            </w:r>
            <w:r w:rsidRPr="00F84AF2">
              <w:rPr>
                <w:i/>
                <w:iCs/>
              </w:rPr>
              <w:t>đối với viên chức</w:t>
            </w:r>
            <w:r w:rsidRPr="00F84AF2">
              <w:t>);</w:t>
            </w:r>
          </w:p>
          <w:p w14:paraId="304ECFB1" w14:textId="77777777" w:rsidR="00BA0E06" w:rsidRPr="00F84AF2" w:rsidRDefault="00BA0E06" w:rsidP="00BA0E06">
            <w:pPr>
              <w:pStyle w:val="NormalWeb"/>
              <w:shd w:val="clear" w:color="auto" w:fill="FFFFFF"/>
              <w:spacing w:before="120" w:beforeAutospacing="0" w:after="120" w:afterAutospacing="0" w:line="234" w:lineRule="atLeast"/>
            </w:pPr>
            <w:r w:rsidRPr="00F84AF2">
              <w:t>c) Số lần, thời gian được hỗ trợ đào tạo</w:t>
            </w:r>
          </w:p>
          <w:p w14:paraId="5A828248" w14:textId="77777777" w:rsidR="00BA0E06" w:rsidRPr="00F84AF2" w:rsidRDefault="00BA0E06" w:rsidP="00BA0E06">
            <w:pPr>
              <w:pStyle w:val="NormalWeb"/>
              <w:shd w:val="clear" w:color="auto" w:fill="FFFFFF"/>
              <w:spacing w:before="120" w:beforeAutospacing="0" w:after="120" w:afterAutospacing="0" w:line="234" w:lineRule="atLeast"/>
            </w:pPr>
            <w:r w:rsidRPr="00F84AF2">
              <w:t>Đối với người tham gia đ</w:t>
            </w:r>
            <w:r w:rsidRPr="00F84AF2">
              <w:rPr>
                <w:shd w:val="clear" w:color="auto" w:fill="FFFFFF"/>
              </w:rPr>
              <w:t>ào tạo cập nhật kiến thức y khoa liên tục, đào tạo chuyên khoa cơ bản, đào tạo chuyên khoa sâu: h</w:t>
            </w:r>
            <w:r w:rsidRPr="00F84AF2">
              <w:t>ỗ trợ tối đa 02 lần/năm.</w:t>
            </w:r>
          </w:p>
          <w:p w14:paraId="5BCCDAD9" w14:textId="77777777" w:rsidR="00BA0E06" w:rsidRPr="00F84AF2" w:rsidRDefault="00BA0E06" w:rsidP="00BA0E06">
            <w:pPr>
              <w:pStyle w:val="NormalWeb"/>
              <w:shd w:val="clear" w:color="auto" w:fill="FFFFFF"/>
              <w:spacing w:before="120" w:beforeAutospacing="0" w:after="120" w:afterAutospacing="0" w:line="234" w:lineRule="atLeast"/>
            </w:pPr>
            <w:r w:rsidRPr="00F84AF2">
              <w:t xml:space="preserve">Đối với chương trình đào tạo trình độ đại học, sau đại học thì thời gian hỗ trợ tính theo thời gian đào tạo chính khóa của cơ sở giáo dục và có cam kết làm việc tại đơn vị cử đi học gấp 02 lần thời </w:t>
            </w:r>
            <w:r w:rsidRPr="00F84AF2">
              <w:lastRenderedPageBreak/>
              <w:t>gian được hỗ trợ đào tạo sau khi tốt nghiệp;</w:t>
            </w:r>
          </w:p>
          <w:p w14:paraId="5CF496BD" w14:textId="77777777" w:rsidR="00BA0E06" w:rsidRPr="00F84AF2" w:rsidRDefault="00BA0E06" w:rsidP="00BA0E06">
            <w:pPr>
              <w:pStyle w:val="NormalWeb"/>
              <w:shd w:val="clear" w:color="auto" w:fill="FFFFFF"/>
              <w:spacing w:before="120" w:beforeAutospacing="0" w:after="120" w:afterAutospacing="0" w:line="234" w:lineRule="atLeast"/>
            </w:pPr>
            <w:r w:rsidRPr="00F84AF2">
              <w:t>d) Chỉ hỗ trợ đối với người tham gia chương trình đào tạo trình độ đại học và sau đại học tại các cơ sở giáo dục đã được Cục Quản lý chất lượng - Bộ Giáo dục &amp; Đào tạo đánh giá, công nhận đạt chuẩn chất lượng giáo dục;</w:t>
            </w:r>
            <w:r w:rsidRPr="00F84AF2">
              <w:rPr>
                <w:b/>
                <w:bCs/>
              </w:rPr>
              <w:t> </w:t>
            </w:r>
            <w:r w:rsidRPr="00F84AF2">
              <w:t>chương trình đào tạo và các điều kiện đảm bảo đào tạo chuyên ngành được thẩm định đạt yêu cầu;</w:t>
            </w:r>
          </w:p>
          <w:p w14:paraId="2E47BDAF" w14:textId="77777777" w:rsidR="00BA0E06" w:rsidRPr="00F84AF2" w:rsidRDefault="00BA0E06" w:rsidP="00BA0E06">
            <w:pPr>
              <w:pStyle w:val="NormalWeb"/>
              <w:shd w:val="clear" w:color="auto" w:fill="FFFFFF"/>
              <w:spacing w:before="120" w:beforeAutospacing="0" w:after="120" w:afterAutospacing="0" w:line="234" w:lineRule="atLeast"/>
            </w:pPr>
            <w:r w:rsidRPr="00F84AF2">
              <w:t>đ) Tham gia c</w:t>
            </w:r>
            <w:r w:rsidRPr="00F84AF2">
              <w:rPr>
                <w:shd w:val="clear" w:color="auto" w:fill="FFFFFF"/>
              </w:rPr>
              <w:t>huyên ngành đào tạo phù hợp với nhu cầu phát triển nguồn nhân lực của cơ quan, đơn vị; được Ủy ban nhân dân tỉnh hoặc cơ quan có thẩm quyền phê duyệt kế hoạch đào tạo theo quy định hiện hành;</w:t>
            </w:r>
          </w:p>
          <w:p w14:paraId="1144A111" w14:textId="77777777" w:rsidR="00BA0E06" w:rsidRPr="00F84AF2" w:rsidRDefault="00BA0E06" w:rsidP="00BA0E06">
            <w:pPr>
              <w:pStyle w:val="NormalWeb"/>
              <w:shd w:val="clear" w:color="auto" w:fill="FFFFFF"/>
              <w:spacing w:before="120" w:beforeAutospacing="0" w:after="120" w:afterAutospacing="0" w:line="234" w:lineRule="atLeast"/>
            </w:pPr>
            <w:r w:rsidRPr="00F84AF2">
              <w:rPr>
                <w:shd w:val="clear" w:color="auto" w:fill="FFFFFF"/>
              </w:rPr>
              <w:t>e) </w:t>
            </w:r>
            <w:r w:rsidRPr="00F84AF2">
              <w:t>Không hỗ trợ học phí đối với các học phần, tín chỉ người học phải học lại, thi lại theo quy định của chương trình đào tạo.</w:t>
            </w:r>
          </w:p>
          <w:p w14:paraId="10E3CF63" w14:textId="77777777" w:rsidR="00BA0E06" w:rsidRPr="00F84AF2" w:rsidRDefault="00BA0E06" w:rsidP="00BA0E06">
            <w:pPr>
              <w:pStyle w:val="NormalWeb"/>
              <w:spacing w:before="120" w:beforeAutospacing="0" w:after="120" w:afterAutospacing="0" w:line="234" w:lineRule="atLeast"/>
            </w:pPr>
            <w:r w:rsidRPr="00F84AF2">
              <w:t>f) Chấp hành nghiêm quy định của cơ sở đào tạo, hoàn thành đúng thời gian, tiến độ của chương trình đào tạo.</w:t>
            </w:r>
          </w:p>
          <w:p w14:paraId="0E97C403" w14:textId="77777777" w:rsidR="00BA0E06" w:rsidRPr="00F84AF2" w:rsidRDefault="00BA0E06" w:rsidP="00BA0E06">
            <w:pPr>
              <w:pStyle w:val="NormalWeb"/>
              <w:shd w:val="clear" w:color="auto" w:fill="FFFFFF"/>
              <w:spacing w:before="120" w:beforeAutospacing="0" w:after="120" w:afterAutospacing="0" w:line="234" w:lineRule="atLeast"/>
            </w:pPr>
            <w:r w:rsidRPr="00F84AF2">
              <w:t>2. Mức hỗ trợ</w:t>
            </w:r>
          </w:p>
          <w:p w14:paraId="6F475FA8" w14:textId="77777777" w:rsidR="00BA0E06" w:rsidRPr="00F84AF2" w:rsidRDefault="00BA0E06" w:rsidP="00BA0E06">
            <w:pPr>
              <w:pStyle w:val="NormalWeb"/>
              <w:shd w:val="clear" w:color="auto" w:fill="FFFFFF"/>
              <w:spacing w:before="120" w:beforeAutospacing="0" w:after="120" w:afterAutospacing="0" w:line="234" w:lineRule="atLeast"/>
            </w:pPr>
            <w:r w:rsidRPr="00F84AF2">
              <w:t>a) Đối với người tham gia chương trình đào tạo </w:t>
            </w:r>
            <w:r w:rsidRPr="00F84AF2">
              <w:rPr>
                <w:shd w:val="clear" w:color="auto" w:fill="FFFFFF"/>
              </w:rPr>
              <w:t>cập nhật kiến thức y khoa liên tục, đào tạo chuyên khoa cơ bản, đào tạo chuyên khoa sâu</w:t>
            </w:r>
            <w:r w:rsidRPr="00F84AF2">
              <w:t>: Hỗ trợ 01 </w:t>
            </w:r>
            <w:r w:rsidRPr="00F84AF2">
              <w:rPr>
                <w:i/>
                <w:iCs/>
              </w:rPr>
              <w:t>(một)</w:t>
            </w:r>
            <w:r w:rsidRPr="00F84AF2">
              <w:t xml:space="preserve"> lần sau khi hoàn thành chương </w:t>
            </w:r>
            <w:r w:rsidRPr="00F84AF2">
              <w:lastRenderedPageBreak/>
              <w:t>trình đào tạo bằng 70% học phí, chi phí đào tạo theo hóa đơn, biên lai thu học phí, chi phí đào tạo của cơ sở đào tạo đủ điều kiện tổ chức đào tạo theo quy định của pháp luật.</w:t>
            </w:r>
          </w:p>
          <w:p w14:paraId="202DB58E" w14:textId="77777777" w:rsidR="00BA0E06" w:rsidRPr="00F84AF2" w:rsidRDefault="00BA0E06" w:rsidP="00BA0E06">
            <w:pPr>
              <w:pStyle w:val="NormalWeb"/>
              <w:shd w:val="clear" w:color="auto" w:fill="FFFFFF"/>
              <w:spacing w:before="120" w:beforeAutospacing="0" w:after="120" w:afterAutospacing="0" w:line="234" w:lineRule="atLeast"/>
            </w:pPr>
            <w:r w:rsidRPr="00F84AF2">
              <w:t>b) Đối với người tham gia chương trình đào tạo đại học:</w:t>
            </w:r>
            <w:r w:rsidRPr="00F84AF2">
              <w:rPr>
                <w:b/>
                <w:bCs/>
              </w:rPr>
              <w:t> </w:t>
            </w:r>
            <w:r w:rsidRPr="00F84AF2">
              <w:t>Hỗ trợ 70% tiền học phí theo hóa đơn, biên lai thu học phí của cơ sở giáo dục công lập.</w:t>
            </w:r>
          </w:p>
          <w:p w14:paraId="149AD670" w14:textId="77777777" w:rsidR="00BA0E06" w:rsidRPr="00F84AF2" w:rsidRDefault="00BA0E06" w:rsidP="00BA0E06">
            <w:pPr>
              <w:pStyle w:val="NormalWeb"/>
              <w:shd w:val="clear" w:color="auto" w:fill="FFFFFF"/>
              <w:spacing w:before="120" w:beforeAutospacing="0" w:after="120" w:afterAutospacing="0" w:line="234" w:lineRule="atLeast"/>
            </w:pPr>
            <w:r w:rsidRPr="00F84AF2">
              <w:t>c) Đối với người tham gia chương trình đào tạo sau đại học: Hỗ trợ 100% tiền học phí theo hóa đơn, biên lai thu học phí của cơ sở giáo dục công lập.</w:t>
            </w:r>
          </w:p>
          <w:p w14:paraId="132155F7" w14:textId="77777777" w:rsidR="00BA0E06" w:rsidRPr="00F84AF2" w:rsidRDefault="00BA0E06" w:rsidP="00BA0E06">
            <w:pPr>
              <w:pStyle w:val="NormalWeb"/>
              <w:shd w:val="clear" w:color="auto" w:fill="FFFFFF"/>
              <w:spacing w:before="120" w:beforeAutospacing="0" w:after="120" w:afterAutospacing="0" w:line="234" w:lineRule="atLeast"/>
            </w:pPr>
            <w:r w:rsidRPr="00F84AF2">
              <w:t>Trường hợp đối tượng tại điểm b, điểm c khoản này tham gia đào tạo tại cơ sở giáo dục dân lập, tư thục thì mức hỗ trợ tương đương với mức thu học phí cao nhất của cơ sở giáo dục công lập trên cùng địa bàn.</w:t>
            </w:r>
          </w:p>
          <w:p w14:paraId="00EB9EF4" w14:textId="77777777" w:rsidR="00BA0E06" w:rsidRPr="00F84AF2" w:rsidRDefault="00BA0E06" w:rsidP="00BA0E06">
            <w:pPr>
              <w:pStyle w:val="NormalWeb"/>
              <w:shd w:val="clear" w:color="auto" w:fill="FFFFFF"/>
              <w:spacing w:before="120" w:beforeAutospacing="0" w:after="120" w:afterAutospacing="0" w:line="234" w:lineRule="atLeast"/>
            </w:pPr>
            <w:r w:rsidRPr="00F84AF2">
              <w:t>d) N</w:t>
            </w:r>
            <w:r w:rsidRPr="00F84AF2">
              <w:rPr>
                <w:shd w:val="clear" w:color="auto" w:fill="FFFFFF"/>
              </w:rPr>
              <w:t>gười </w:t>
            </w:r>
            <w:r w:rsidRPr="00F84AF2">
              <w:t>được nhận văn bằng tốt nghiệp sau đại học được hỗ trợ một lần </w:t>
            </w:r>
            <w:r w:rsidRPr="00F84AF2">
              <w:rPr>
                <w:shd w:val="clear" w:color="auto" w:fill="FFFFFF"/>
              </w:rPr>
              <w:t>chi phí nghiên cứu, học tập, </w:t>
            </w:r>
            <w:r w:rsidRPr="00F84AF2">
              <w:t>mức cụ thể như sau:</w:t>
            </w:r>
          </w:p>
          <w:p w14:paraId="6A3DAF49" w14:textId="77777777" w:rsidR="00BA0E06" w:rsidRPr="00F84AF2" w:rsidRDefault="00BA0E06" w:rsidP="00BA0E06">
            <w:pPr>
              <w:pStyle w:val="NormalWeb"/>
              <w:spacing w:before="120" w:beforeAutospacing="0" w:after="120" w:afterAutospacing="0" w:line="234" w:lineRule="atLeast"/>
            </w:pPr>
            <w:r w:rsidRPr="00F84AF2">
              <w:t>Tiến sĩ: 100 triệu đồng/người/khóa.</w:t>
            </w:r>
          </w:p>
          <w:p w14:paraId="5B7A69A6" w14:textId="77777777" w:rsidR="00BA0E06" w:rsidRPr="00F84AF2" w:rsidRDefault="00BA0E06" w:rsidP="00BA0E06">
            <w:pPr>
              <w:pStyle w:val="NormalWeb"/>
              <w:spacing w:before="120" w:beforeAutospacing="0" w:after="120" w:afterAutospacing="0" w:line="234" w:lineRule="atLeast"/>
            </w:pPr>
            <w:r w:rsidRPr="00F84AF2">
              <w:t>Bác sĩ chuyên khoa II, bác sĩ nội trú: 50 triệu đồng/người/khóa.</w:t>
            </w:r>
          </w:p>
          <w:p w14:paraId="0233DA5A" w14:textId="77777777" w:rsidR="00BA0E06" w:rsidRPr="00F84AF2" w:rsidRDefault="00BA0E06" w:rsidP="00BA0E06">
            <w:pPr>
              <w:pStyle w:val="NormalWeb"/>
              <w:spacing w:before="120" w:beforeAutospacing="0" w:after="120" w:afterAutospacing="0" w:line="234" w:lineRule="atLeast"/>
            </w:pPr>
            <w:r w:rsidRPr="00F84AF2">
              <w:t>Thạc sĩ, bác sĩ chuyên khoa I: 30 triệu đồng/người/khóa.</w:t>
            </w:r>
          </w:p>
          <w:p w14:paraId="793CBF4C" w14:textId="5FEE9BE4" w:rsidR="00F74D68" w:rsidRPr="00F84AF2" w:rsidRDefault="00F74D68" w:rsidP="00F74D68">
            <w:pPr>
              <w:pStyle w:val="BodyText"/>
              <w:spacing w:before="60"/>
              <w:rPr>
                <w:rFonts w:ascii="Times New Roman" w:hAnsi="Times New Roman"/>
                <w:bCs/>
                <w:sz w:val="24"/>
                <w:u w:val="none"/>
              </w:rPr>
            </w:pPr>
          </w:p>
        </w:tc>
        <w:tc>
          <w:tcPr>
            <w:tcW w:w="4962" w:type="dxa"/>
            <w:vAlign w:val="center"/>
          </w:tcPr>
          <w:p w14:paraId="2653933D" w14:textId="77777777" w:rsidR="00BA0E06" w:rsidRPr="00F84AF2" w:rsidRDefault="00BA0E06" w:rsidP="00BA0E06">
            <w:pPr>
              <w:shd w:val="clear" w:color="auto" w:fill="FFFFFF"/>
              <w:autoSpaceDE w:val="0"/>
              <w:autoSpaceDN w:val="0"/>
              <w:spacing w:before="120" w:after="120"/>
              <w:jc w:val="both"/>
              <w:outlineLvl w:val="1"/>
              <w:rPr>
                <w:rFonts w:eastAsia="Calibri"/>
                <w:b/>
                <w:kern w:val="2"/>
                <w:sz w:val="24"/>
                <w:szCs w:val="24"/>
                <w:lang w:val="nb-NO"/>
              </w:rPr>
            </w:pPr>
            <w:r w:rsidRPr="00F84AF2">
              <w:rPr>
                <w:b/>
                <w:bCs/>
                <w:sz w:val="24"/>
                <w:szCs w:val="24"/>
                <w:lang w:val="nl-NL"/>
              </w:rPr>
              <w:lastRenderedPageBreak/>
              <w:t xml:space="preserve">Điều 9. </w:t>
            </w:r>
            <w:bookmarkStart w:id="4" w:name="_Toc174371725"/>
            <w:bookmarkStart w:id="5" w:name="_Toc186814339"/>
            <w:r w:rsidRPr="00F84AF2">
              <w:rPr>
                <w:rFonts w:eastAsia="Calibri"/>
                <w:b/>
                <w:kern w:val="2"/>
                <w:sz w:val="24"/>
                <w:szCs w:val="24"/>
                <w:lang w:val="nb-NO"/>
              </w:rPr>
              <w:t>Chính sách đào tạo, bồi dưỡng</w:t>
            </w:r>
            <w:bookmarkEnd w:id="4"/>
            <w:bookmarkEnd w:id="5"/>
          </w:p>
          <w:p w14:paraId="6F44581C" w14:textId="59099A22" w:rsidR="00BA0E06" w:rsidRPr="00F84AF2" w:rsidRDefault="00BA0E06" w:rsidP="00BA0E06">
            <w:pPr>
              <w:shd w:val="clear" w:color="auto" w:fill="FFFFFF"/>
              <w:spacing w:before="120" w:after="120"/>
              <w:jc w:val="both"/>
              <w:rPr>
                <w:kern w:val="2"/>
                <w:sz w:val="24"/>
                <w:szCs w:val="24"/>
              </w:rPr>
            </w:pPr>
            <w:r w:rsidRPr="00F84AF2">
              <w:rPr>
                <w:kern w:val="2"/>
                <w:sz w:val="24"/>
                <w:szCs w:val="24"/>
              </w:rPr>
              <w:t>1. Ban Tổ chức Thành ủy, Sở Nội vụ chủ trì, phối hợp với cơ quan, đơn vị có thẩm quyền quản lý, sử dụng công chức, viên chức tiếp tục đào tạo, bồi dưỡng đối với nguồn nhân lực chất lượng cao sau khi được tuyển dụng, tiếp nhận.</w:t>
            </w:r>
          </w:p>
          <w:p w14:paraId="2BF518EB" w14:textId="630ACAD2" w:rsidR="00BA0E06" w:rsidRPr="00F84AF2" w:rsidRDefault="00BA0E06" w:rsidP="00BA0E06">
            <w:pPr>
              <w:spacing w:before="120" w:after="120"/>
              <w:jc w:val="both"/>
              <w:rPr>
                <w:rFonts w:eastAsia="Calibri"/>
                <w:kern w:val="2"/>
                <w:sz w:val="24"/>
                <w:szCs w:val="24"/>
                <w:lang w:val="vi-VN"/>
              </w:rPr>
            </w:pPr>
            <w:r w:rsidRPr="00F84AF2">
              <w:rPr>
                <w:rFonts w:eastAsia="Calibri"/>
                <w:kern w:val="2"/>
                <w:sz w:val="24"/>
                <w:szCs w:val="24"/>
                <w:lang w:val="pt-BR"/>
              </w:rPr>
              <w:t>2. Nguồn nhân lực chất lượng cao</w:t>
            </w:r>
            <w:r w:rsidRPr="00F84AF2">
              <w:rPr>
                <w:rFonts w:eastAsia="Calibri"/>
                <w:kern w:val="2"/>
                <w:sz w:val="24"/>
                <w:szCs w:val="24"/>
                <w:lang w:val="vi-VN"/>
              </w:rPr>
              <w:t xml:space="preserve"> được cử đi đào tạo tiến sĩ, thạc sĩ </w:t>
            </w:r>
            <w:r w:rsidRPr="00F84AF2">
              <w:rPr>
                <w:rFonts w:eastAsia="Calibri"/>
                <w:kern w:val="2"/>
                <w:sz w:val="24"/>
                <w:szCs w:val="24"/>
              </w:rPr>
              <w:t xml:space="preserve">và tương đương </w:t>
            </w:r>
            <w:r w:rsidRPr="00F84AF2">
              <w:rPr>
                <w:rFonts w:eastAsia="Calibri"/>
                <w:kern w:val="2"/>
                <w:sz w:val="24"/>
                <w:szCs w:val="24"/>
                <w:lang w:val="vi-VN"/>
              </w:rPr>
              <w:t xml:space="preserve">có cam kết làm việc cho </w:t>
            </w:r>
            <w:r w:rsidRPr="00F84AF2">
              <w:rPr>
                <w:rFonts w:eastAsia="Calibri"/>
                <w:kern w:val="2"/>
                <w:sz w:val="24"/>
                <w:szCs w:val="24"/>
              </w:rPr>
              <w:t>t</w:t>
            </w:r>
            <w:r w:rsidRPr="00F84AF2">
              <w:rPr>
                <w:rFonts w:eastAsia="Calibri"/>
                <w:kern w:val="2"/>
                <w:sz w:val="24"/>
                <w:szCs w:val="24"/>
                <w:lang w:val="vi-VN"/>
              </w:rPr>
              <w:t xml:space="preserve">hành phố ít nhất 5 năm kể từ ngày hoàn thành chương trình đào tạo </w:t>
            </w:r>
            <w:r w:rsidRPr="00F84AF2">
              <w:rPr>
                <w:rFonts w:eastAsia="Calibri"/>
                <w:kern w:val="2"/>
                <w:sz w:val="24"/>
                <w:szCs w:val="24"/>
              </w:rPr>
              <w:t xml:space="preserve">hoặc </w:t>
            </w:r>
            <w:r w:rsidRPr="00F84AF2">
              <w:rPr>
                <w:rFonts w:eastAsia="Calibri"/>
                <w:kern w:val="2"/>
                <w:sz w:val="24"/>
                <w:szCs w:val="24"/>
                <w:lang w:val="nb-NO"/>
              </w:rPr>
              <w:t xml:space="preserve">theo quy định của thành phố tại thời điểm cam kết </w:t>
            </w:r>
            <w:r w:rsidRPr="00F84AF2">
              <w:rPr>
                <w:rFonts w:eastAsia="Calibri"/>
                <w:kern w:val="2"/>
                <w:sz w:val="24"/>
                <w:szCs w:val="24"/>
                <w:lang w:val="vi-VN"/>
              </w:rPr>
              <w:t xml:space="preserve">thì </w:t>
            </w:r>
            <w:r w:rsidRPr="00F84AF2">
              <w:rPr>
                <w:rFonts w:eastAsia="Calibri"/>
                <w:kern w:val="2"/>
                <w:sz w:val="24"/>
                <w:szCs w:val="24"/>
                <w:lang w:val="nb-NO"/>
              </w:rPr>
              <w:t xml:space="preserve">được hỗ trợ kinh phí </w:t>
            </w:r>
            <w:r w:rsidRPr="00F84AF2">
              <w:rPr>
                <w:rFonts w:eastAsia="Calibri"/>
                <w:kern w:val="2"/>
                <w:sz w:val="24"/>
                <w:szCs w:val="24"/>
                <w:lang w:val="vi-VN"/>
              </w:rPr>
              <w:t xml:space="preserve">300 triệu đồng đối với tiến sĩ, 150 triệu đồng đối với thạc sĩ sau khi được cấp bằng tốt nghiệp. </w:t>
            </w:r>
          </w:p>
          <w:p w14:paraId="74C9B4D4" w14:textId="77777777" w:rsidR="00BA0E06" w:rsidRPr="00F84AF2" w:rsidRDefault="00BA0E06" w:rsidP="00BA0E06">
            <w:pPr>
              <w:spacing w:before="120" w:after="120"/>
              <w:jc w:val="both"/>
              <w:rPr>
                <w:rFonts w:eastAsia="Calibri"/>
                <w:kern w:val="2"/>
                <w:sz w:val="24"/>
                <w:szCs w:val="24"/>
                <w:lang w:val="nb-NO"/>
              </w:rPr>
            </w:pPr>
            <w:r w:rsidRPr="00F84AF2">
              <w:rPr>
                <w:rFonts w:eastAsia="Calibri"/>
                <w:kern w:val="2"/>
                <w:sz w:val="24"/>
                <w:szCs w:val="24"/>
                <w:lang w:val="nb-NO"/>
              </w:rPr>
              <w:t xml:space="preserve">3. Ký kết hợp đồng, biên bản hợp tác với các trường đào tạo, bồi dưỡng hàng đầu thế giới và khu vực về các khóa bồi dưỡng ngắn hạn cho cho cán bộ, công chức Hải Phòng theo các định hướng phát triển của Thành phố. Đồng thời, thực hiện cơ chế đặt hàng, các trường đào tạo, các tổ chức tham vấn, tư vấn phản biện xây dựng các khóa bồi dưỡng theo đơn đặt hàng của Hải Phòng. </w:t>
            </w:r>
            <w:bookmarkStart w:id="6" w:name="_Toc174371727"/>
            <w:bookmarkStart w:id="7" w:name="_Toc186814340"/>
          </w:p>
          <w:p w14:paraId="792B1176" w14:textId="77777777" w:rsidR="00BA0E06" w:rsidRPr="00F84AF2" w:rsidRDefault="00BA0E06" w:rsidP="00BA0E06">
            <w:pPr>
              <w:spacing w:before="120" w:after="120"/>
              <w:jc w:val="both"/>
              <w:rPr>
                <w:rFonts w:eastAsia="Calibri"/>
                <w:kern w:val="2"/>
                <w:sz w:val="24"/>
                <w:szCs w:val="24"/>
                <w:lang w:val="nb-NO"/>
              </w:rPr>
            </w:pPr>
            <w:r w:rsidRPr="00F84AF2">
              <w:rPr>
                <w:rFonts w:eastAsia="Calibri"/>
                <w:b/>
                <w:kern w:val="2"/>
                <w:sz w:val="24"/>
                <w:szCs w:val="24"/>
                <w:lang w:val="nb-NO"/>
              </w:rPr>
              <w:lastRenderedPageBreak/>
              <w:t>Điều 10.</w:t>
            </w:r>
            <w:r w:rsidRPr="00F84AF2">
              <w:rPr>
                <w:rFonts w:eastAsia="Calibri"/>
                <w:kern w:val="2"/>
                <w:sz w:val="24"/>
                <w:szCs w:val="24"/>
                <w:lang w:val="nb-NO"/>
              </w:rPr>
              <w:t xml:space="preserve"> </w:t>
            </w:r>
            <w:r w:rsidRPr="00F84AF2">
              <w:rPr>
                <w:rFonts w:eastAsia="Calibri"/>
                <w:b/>
                <w:kern w:val="2"/>
                <w:sz w:val="24"/>
                <w:szCs w:val="24"/>
                <w:lang w:val="nb-NO"/>
              </w:rPr>
              <w:t>Chính sách tôn vinh, khen thưởng</w:t>
            </w:r>
            <w:bookmarkEnd w:id="6"/>
            <w:bookmarkEnd w:id="7"/>
          </w:p>
          <w:p w14:paraId="0449E42A" w14:textId="77777777" w:rsidR="00BA0E06" w:rsidRPr="00F84AF2" w:rsidRDefault="00BA0E06" w:rsidP="00BA0E06">
            <w:pPr>
              <w:shd w:val="clear" w:color="auto" w:fill="FFFFFF"/>
              <w:autoSpaceDE w:val="0"/>
              <w:autoSpaceDN w:val="0"/>
              <w:spacing w:before="120" w:after="120"/>
              <w:jc w:val="both"/>
              <w:rPr>
                <w:rFonts w:eastAsia="Calibri"/>
                <w:spacing w:val="4"/>
                <w:kern w:val="2"/>
                <w:sz w:val="24"/>
                <w:szCs w:val="24"/>
                <w:lang w:eastAsia="ar-SA"/>
              </w:rPr>
            </w:pPr>
            <w:r w:rsidRPr="00F84AF2">
              <w:rPr>
                <w:rFonts w:eastAsia="Calibri"/>
                <w:spacing w:val="4"/>
                <w:kern w:val="2"/>
                <w:sz w:val="24"/>
                <w:szCs w:val="24"/>
                <w:lang w:eastAsia="ar-SA"/>
              </w:rPr>
              <w:t>Cán bộ, công chức, viên chức có sáng kiến, thành tích được tôn vinh, khen thưởng, ngoài các chế độ hiện hành theo quy định hiện hành của Nhà nước, còn được áp dụng các chính sách tôn vinh, khen thưởng của thành phố như sau:</w:t>
            </w:r>
          </w:p>
          <w:p w14:paraId="21C2E252" w14:textId="77777777" w:rsidR="00BA0E06" w:rsidRPr="003E2EFB" w:rsidRDefault="00BA0E06" w:rsidP="00BA0E06">
            <w:pPr>
              <w:shd w:val="clear" w:color="auto" w:fill="FFFFFF"/>
              <w:autoSpaceDE w:val="0"/>
              <w:autoSpaceDN w:val="0"/>
              <w:spacing w:before="120" w:after="120"/>
              <w:jc w:val="both"/>
              <w:rPr>
                <w:rFonts w:eastAsia="Calibri"/>
                <w:spacing w:val="4"/>
                <w:kern w:val="2"/>
                <w:sz w:val="24"/>
                <w:szCs w:val="24"/>
                <w:lang w:eastAsia="ar-SA"/>
              </w:rPr>
            </w:pPr>
            <w:r w:rsidRPr="00F84AF2">
              <w:rPr>
                <w:rFonts w:eastAsia="Calibri"/>
                <w:spacing w:val="4"/>
                <w:kern w:val="2"/>
                <w:sz w:val="24"/>
                <w:szCs w:val="24"/>
                <w:lang w:eastAsia="ar-SA"/>
              </w:rPr>
              <w:t>Cán bộ, công chức, viên chức có các công trình, đề án, đề tài, giải pháp sáng tạo kỹ thuật, sáng kiến được cấp Thành phố trở</w:t>
            </w:r>
            <w:r w:rsidRPr="00F84AF2">
              <w:rPr>
                <w:rFonts w:eastAsia="Calibri"/>
                <w:spacing w:val="4"/>
                <w:kern w:val="2"/>
                <w:sz w:val="24"/>
                <w:szCs w:val="24"/>
                <w:lang w:val="vi-VN" w:eastAsia="ar-SA"/>
              </w:rPr>
              <w:t xml:space="preserve"> lên </w:t>
            </w:r>
            <w:r w:rsidRPr="00F84AF2">
              <w:rPr>
                <w:rFonts w:eastAsia="Calibri"/>
                <w:spacing w:val="4"/>
                <w:kern w:val="2"/>
                <w:sz w:val="24"/>
                <w:szCs w:val="24"/>
                <w:lang w:eastAsia="ar-SA"/>
              </w:rPr>
              <w:t>công nhận và xếp loại xuất sắc và được áp dụng hiệu quả, thiết thực được nhân rộng trong thực tiễn được thưởng 20% giá trị đem lại và tối đa không quá 500.000.000 triệu đồng/giải pháp, sáng kiến.</w:t>
            </w:r>
            <w:bookmarkStart w:id="8" w:name="_GoBack"/>
            <w:bookmarkEnd w:id="8"/>
          </w:p>
          <w:p w14:paraId="5CAD61AD" w14:textId="2A83C444" w:rsidR="00F74D68" w:rsidRPr="003E2EFB" w:rsidRDefault="00F74D68" w:rsidP="00F74D68">
            <w:pPr>
              <w:pStyle w:val="BodyText"/>
              <w:spacing w:before="60"/>
              <w:rPr>
                <w:rFonts w:ascii="Times New Roman" w:hAnsi="Times New Roman"/>
                <w:bCs/>
                <w:sz w:val="24"/>
                <w:u w:val="none"/>
              </w:rPr>
            </w:pPr>
          </w:p>
        </w:tc>
        <w:tc>
          <w:tcPr>
            <w:tcW w:w="2126" w:type="dxa"/>
            <w:vAlign w:val="center"/>
          </w:tcPr>
          <w:p w14:paraId="028918AC" w14:textId="324A1AB0" w:rsidR="00F74D68" w:rsidRPr="003E2EFB" w:rsidRDefault="00F74D68" w:rsidP="00F74D68">
            <w:pPr>
              <w:shd w:val="clear" w:color="auto" w:fill="FFFFFF"/>
              <w:spacing w:before="60"/>
              <w:jc w:val="both"/>
              <w:rPr>
                <w:rFonts w:cs="Times New Roman"/>
                <w:bCs/>
                <w:sz w:val="24"/>
                <w:szCs w:val="24"/>
              </w:rPr>
            </w:pPr>
          </w:p>
        </w:tc>
      </w:tr>
    </w:tbl>
    <w:p w14:paraId="70DE6478" w14:textId="35AA769D" w:rsidR="00BC1157" w:rsidRPr="003E2EFB" w:rsidRDefault="00BC1157" w:rsidP="00700B32">
      <w:pPr>
        <w:rPr>
          <w:rFonts w:cs="Times New Roman"/>
          <w:sz w:val="24"/>
          <w:szCs w:val="24"/>
        </w:rPr>
      </w:pPr>
    </w:p>
    <w:sectPr w:rsidR="00BC1157" w:rsidRPr="003E2EFB" w:rsidSect="001A747B">
      <w:headerReference w:type="default" r:id="rId8"/>
      <w:pgSz w:w="16840" w:h="11907" w:orient="landscape" w:code="9"/>
      <w:pgMar w:top="680" w:right="851" w:bottom="68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34B80" w14:textId="77777777" w:rsidR="007E5356" w:rsidRDefault="007E5356" w:rsidP="00DA15D8">
      <w:r>
        <w:separator/>
      </w:r>
    </w:p>
  </w:endnote>
  <w:endnote w:type="continuationSeparator" w:id="0">
    <w:p w14:paraId="14623150" w14:textId="77777777" w:rsidR="007E5356" w:rsidRDefault="007E5356" w:rsidP="00DA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CB4C2" w14:textId="77777777" w:rsidR="007E5356" w:rsidRDefault="007E5356" w:rsidP="00DA15D8">
      <w:r>
        <w:separator/>
      </w:r>
    </w:p>
  </w:footnote>
  <w:footnote w:type="continuationSeparator" w:id="0">
    <w:p w14:paraId="35F84CA8" w14:textId="77777777" w:rsidR="007E5356" w:rsidRDefault="007E5356" w:rsidP="00DA1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56952"/>
      <w:docPartObj>
        <w:docPartGallery w:val="Page Numbers (Top of Page)"/>
        <w:docPartUnique/>
      </w:docPartObj>
    </w:sdtPr>
    <w:sdtEndPr>
      <w:rPr>
        <w:noProof/>
        <w:sz w:val="24"/>
        <w:szCs w:val="24"/>
      </w:rPr>
    </w:sdtEndPr>
    <w:sdtContent>
      <w:p w14:paraId="1D0707DE" w14:textId="789F90B9" w:rsidR="00397D96" w:rsidRPr="00EA2587" w:rsidRDefault="00397D96">
        <w:pPr>
          <w:pStyle w:val="Header"/>
          <w:jc w:val="center"/>
          <w:rPr>
            <w:sz w:val="24"/>
            <w:szCs w:val="24"/>
          </w:rPr>
        </w:pPr>
        <w:r w:rsidRPr="00EA2587">
          <w:rPr>
            <w:sz w:val="24"/>
            <w:szCs w:val="24"/>
          </w:rPr>
          <w:fldChar w:fldCharType="begin"/>
        </w:r>
        <w:r w:rsidRPr="00EA2587">
          <w:rPr>
            <w:sz w:val="24"/>
            <w:szCs w:val="24"/>
          </w:rPr>
          <w:instrText xml:space="preserve"> PAGE   \* MERGEFORMAT </w:instrText>
        </w:r>
        <w:r w:rsidRPr="00EA2587">
          <w:rPr>
            <w:sz w:val="24"/>
            <w:szCs w:val="24"/>
          </w:rPr>
          <w:fldChar w:fldCharType="separate"/>
        </w:r>
        <w:r w:rsidR="00F84AF2">
          <w:rPr>
            <w:noProof/>
            <w:sz w:val="24"/>
            <w:szCs w:val="24"/>
          </w:rPr>
          <w:t>4</w:t>
        </w:r>
        <w:r w:rsidRPr="00EA2587">
          <w:rPr>
            <w:noProof/>
            <w:sz w:val="24"/>
            <w:szCs w:val="24"/>
          </w:rPr>
          <w:fldChar w:fldCharType="end"/>
        </w:r>
      </w:p>
    </w:sdtContent>
  </w:sdt>
  <w:p w14:paraId="0751009B" w14:textId="77777777" w:rsidR="00397D96" w:rsidRDefault="00397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BC"/>
    <w:rsid w:val="00000835"/>
    <w:rsid w:val="0000351A"/>
    <w:rsid w:val="00027068"/>
    <w:rsid w:val="00032A95"/>
    <w:rsid w:val="00052110"/>
    <w:rsid w:val="00064621"/>
    <w:rsid w:val="000646BC"/>
    <w:rsid w:val="00082E70"/>
    <w:rsid w:val="00087F40"/>
    <w:rsid w:val="00093682"/>
    <w:rsid w:val="000A18DE"/>
    <w:rsid w:val="000A1AE2"/>
    <w:rsid w:val="000B338F"/>
    <w:rsid w:val="000D6392"/>
    <w:rsid w:val="000E4870"/>
    <w:rsid w:val="001021D0"/>
    <w:rsid w:val="001044B7"/>
    <w:rsid w:val="00104B9D"/>
    <w:rsid w:val="00117581"/>
    <w:rsid w:val="00134B0B"/>
    <w:rsid w:val="00137D72"/>
    <w:rsid w:val="00140921"/>
    <w:rsid w:val="00144D53"/>
    <w:rsid w:val="0016562F"/>
    <w:rsid w:val="001712E9"/>
    <w:rsid w:val="001768F2"/>
    <w:rsid w:val="001924BA"/>
    <w:rsid w:val="001A0E06"/>
    <w:rsid w:val="001A747B"/>
    <w:rsid w:val="001A7D63"/>
    <w:rsid w:val="001C0C9C"/>
    <w:rsid w:val="001C6136"/>
    <w:rsid w:val="002310DB"/>
    <w:rsid w:val="00246BFD"/>
    <w:rsid w:val="0024739F"/>
    <w:rsid w:val="00252E1E"/>
    <w:rsid w:val="00264027"/>
    <w:rsid w:val="002647B9"/>
    <w:rsid w:val="002702E7"/>
    <w:rsid w:val="00270DFE"/>
    <w:rsid w:val="00280853"/>
    <w:rsid w:val="002903BC"/>
    <w:rsid w:val="00291D4B"/>
    <w:rsid w:val="002E2CB1"/>
    <w:rsid w:val="002E41D8"/>
    <w:rsid w:val="00325224"/>
    <w:rsid w:val="00327033"/>
    <w:rsid w:val="00330B3A"/>
    <w:rsid w:val="00332254"/>
    <w:rsid w:val="00333E48"/>
    <w:rsid w:val="003406A1"/>
    <w:rsid w:val="00355AE2"/>
    <w:rsid w:val="00361083"/>
    <w:rsid w:val="00363D38"/>
    <w:rsid w:val="0037035F"/>
    <w:rsid w:val="0037298F"/>
    <w:rsid w:val="00387C87"/>
    <w:rsid w:val="00395394"/>
    <w:rsid w:val="00397D96"/>
    <w:rsid w:val="003B3377"/>
    <w:rsid w:val="003C038F"/>
    <w:rsid w:val="003C621F"/>
    <w:rsid w:val="003C7ABC"/>
    <w:rsid w:val="003D4E78"/>
    <w:rsid w:val="003D5B8B"/>
    <w:rsid w:val="003E2EFB"/>
    <w:rsid w:val="003E5E23"/>
    <w:rsid w:val="0041066B"/>
    <w:rsid w:val="00413C5D"/>
    <w:rsid w:val="00422D88"/>
    <w:rsid w:val="0043421C"/>
    <w:rsid w:val="00447488"/>
    <w:rsid w:val="00450282"/>
    <w:rsid w:val="00451F24"/>
    <w:rsid w:val="00481206"/>
    <w:rsid w:val="00487610"/>
    <w:rsid w:val="004A3E9E"/>
    <w:rsid w:val="004C0473"/>
    <w:rsid w:val="004C5C06"/>
    <w:rsid w:val="004D2297"/>
    <w:rsid w:val="004D6ACD"/>
    <w:rsid w:val="00500AA4"/>
    <w:rsid w:val="00525E62"/>
    <w:rsid w:val="00530105"/>
    <w:rsid w:val="00535DAE"/>
    <w:rsid w:val="0055503C"/>
    <w:rsid w:val="0056270E"/>
    <w:rsid w:val="00563782"/>
    <w:rsid w:val="00585C97"/>
    <w:rsid w:val="00586965"/>
    <w:rsid w:val="00595345"/>
    <w:rsid w:val="00596272"/>
    <w:rsid w:val="005A3375"/>
    <w:rsid w:val="005A3A50"/>
    <w:rsid w:val="005C0950"/>
    <w:rsid w:val="005C4AB6"/>
    <w:rsid w:val="005C6FA1"/>
    <w:rsid w:val="005D01C3"/>
    <w:rsid w:val="005D3E22"/>
    <w:rsid w:val="00601D41"/>
    <w:rsid w:val="00603516"/>
    <w:rsid w:val="00607471"/>
    <w:rsid w:val="00611B11"/>
    <w:rsid w:val="00612ABC"/>
    <w:rsid w:val="00615EA3"/>
    <w:rsid w:val="00616B12"/>
    <w:rsid w:val="00625D5C"/>
    <w:rsid w:val="00647821"/>
    <w:rsid w:val="00653B2D"/>
    <w:rsid w:val="0065507B"/>
    <w:rsid w:val="006767F5"/>
    <w:rsid w:val="00677A16"/>
    <w:rsid w:val="00697B29"/>
    <w:rsid w:val="006B3B84"/>
    <w:rsid w:val="006B642B"/>
    <w:rsid w:val="006C14CE"/>
    <w:rsid w:val="006C20D0"/>
    <w:rsid w:val="006D7F0E"/>
    <w:rsid w:val="006F7119"/>
    <w:rsid w:val="00700B32"/>
    <w:rsid w:val="00706AC3"/>
    <w:rsid w:val="007335A9"/>
    <w:rsid w:val="00744AA9"/>
    <w:rsid w:val="00754314"/>
    <w:rsid w:val="007561CC"/>
    <w:rsid w:val="00765099"/>
    <w:rsid w:val="00765E39"/>
    <w:rsid w:val="00767DE6"/>
    <w:rsid w:val="00770FC1"/>
    <w:rsid w:val="00771340"/>
    <w:rsid w:val="007742B7"/>
    <w:rsid w:val="007833DD"/>
    <w:rsid w:val="007855EC"/>
    <w:rsid w:val="00794FA1"/>
    <w:rsid w:val="007966EE"/>
    <w:rsid w:val="007B0364"/>
    <w:rsid w:val="007D02F7"/>
    <w:rsid w:val="007D75B8"/>
    <w:rsid w:val="007E195B"/>
    <w:rsid w:val="007E3CA1"/>
    <w:rsid w:val="007E4273"/>
    <w:rsid w:val="007E5356"/>
    <w:rsid w:val="007F1E1E"/>
    <w:rsid w:val="007F2546"/>
    <w:rsid w:val="007F7ECD"/>
    <w:rsid w:val="0080008D"/>
    <w:rsid w:val="0080110C"/>
    <w:rsid w:val="00821106"/>
    <w:rsid w:val="00826136"/>
    <w:rsid w:val="008279E3"/>
    <w:rsid w:val="00827B86"/>
    <w:rsid w:val="00832458"/>
    <w:rsid w:val="0083577E"/>
    <w:rsid w:val="008521E4"/>
    <w:rsid w:val="00852D06"/>
    <w:rsid w:val="00856271"/>
    <w:rsid w:val="00856C7B"/>
    <w:rsid w:val="008625AC"/>
    <w:rsid w:val="0086347E"/>
    <w:rsid w:val="0086721A"/>
    <w:rsid w:val="00880431"/>
    <w:rsid w:val="008812A8"/>
    <w:rsid w:val="0088514F"/>
    <w:rsid w:val="008A7158"/>
    <w:rsid w:val="008B2462"/>
    <w:rsid w:val="008B27D5"/>
    <w:rsid w:val="008C325C"/>
    <w:rsid w:val="008D49D9"/>
    <w:rsid w:val="008D74A9"/>
    <w:rsid w:val="00901102"/>
    <w:rsid w:val="0092228D"/>
    <w:rsid w:val="00932EF8"/>
    <w:rsid w:val="00936F5D"/>
    <w:rsid w:val="00955A8C"/>
    <w:rsid w:val="00955FDA"/>
    <w:rsid w:val="00965FFD"/>
    <w:rsid w:val="00975BE0"/>
    <w:rsid w:val="009819D1"/>
    <w:rsid w:val="0098352D"/>
    <w:rsid w:val="00991080"/>
    <w:rsid w:val="00992590"/>
    <w:rsid w:val="009964D2"/>
    <w:rsid w:val="00997C3D"/>
    <w:rsid w:val="009A16DD"/>
    <w:rsid w:val="009A3E0A"/>
    <w:rsid w:val="009B0997"/>
    <w:rsid w:val="009B0CE1"/>
    <w:rsid w:val="009E2732"/>
    <w:rsid w:val="009E6D8C"/>
    <w:rsid w:val="009F1955"/>
    <w:rsid w:val="00A24DF6"/>
    <w:rsid w:val="00A32B88"/>
    <w:rsid w:val="00A41090"/>
    <w:rsid w:val="00A4118C"/>
    <w:rsid w:val="00A43791"/>
    <w:rsid w:val="00A5323E"/>
    <w:rsid w:val="00A54A0F"/>
    <w:rsid w:val="00A57CE1"/>
    <w:rsid w:val="00A63678"/>
    <w:rsid w:val="00A709FD"/>
    <w:rsid w:val="00A74E91"/>
    <w:rsid w:val="00A74FCB"/>
    <w:rsid w:val="00A81A9B"/>
    <w:rsid w:val="00A87514"/>
    <w:rsid w:val="00A90563"/>
    <w:rsid w:val="00A9428E"/>
    <w:rsid w:val="00A9448A"/>
    <w:rsid w:val="00A96B2E"/>
    <w:rsid w:val="00AA0223"/>
    <w:rsid w:val="00AA028E"/>
    <w:rsid w:val="00AE1B4F"/>
    <w:rsid w:val="00AE56F2"/>
    <w:rsid w:val="00AF59C8"/>
    <w:rsid w:val="00B04682"/>
    <w:rsid w:val="00B056AB"/>
    <w:rsid w:val="00B12B8A"/>
    <w:rsid w:val="00B21F7A"/>
    <w:rsid w:val="00B240FE"/>
    <w:rsid w:val="00B275D2"/>
    <w:rsid w:val="00B31B3A"/>
    <w:rsid w:val="00B337C2"/>
    <w:rsid w:val="00B33EE5"/>
    <w:rsid w:val="00B345E3"/>
    <w:rsid w:val="00B35EDE"/>
    <w:rsid w:val="00B420C0"/>
    <w:rsid w:val="00B43CC5"/>
    <w:rsid w:val="00B476F3"/>
    <w:rsid w:val="00B51929"/>
    <w:rsid w:val="00B5448B"/>
    <w:rsid w:val="00B57B5D"/>
    <w:rsid w:val="00B711BC"/>
    <w:rsid w:val="00B8059C"/>
    <w:rsid w:val="00B955BA"/>
    <w:rsid w:val="00BA0E06"/>
    <w:rsid w:val="00BA11EF"/>
    <w:rsid w:val="00BA39EE"/>
    <w:rsid w:val="00BB217B"/>
    <w:rsid w:val="00BC1157"/>
    <w:rsid w:val="00BC550F"/>
    <w:rsid w:val="00BD3A94"/>
    <w:rsid w:val="00BE1074"/>
    <w:rsid w:val="00BE4E10"/>
    <w:rsid w:val="00BE5417"/>
    <w:rsid w:val="00BF3400"/>
    <w:rsid w:val="00BF484C"/>
    <w:rsid w:val="00C1003C"/>
    <w:rsid w:val="00C158E6"/>
    <w:rsid w:val="00C16C99"/>
    <w:rsid w:val="00C24A0A"/>
    <w:rsid w:val="00C3583A"/>
    <w:rsid w:val="00C37DCB"/>
    <w:rsid w:val="00C65122"/>
    <w:rsid w:val="00CA3787"/>
    <w:rsid w:val="00CA4A2D"/>
    <w:rsid w:val="00CB08EF"/>
    <w:rsid w:val="00CC0D30"/>
    <w:rsid w:val="00CC2E9B"/>
    <w:rsid w:val="00CD40A4"/>
    <w:rsid w:val="00D014E3"/>
    <w:rsid w:val="00D16C37"/>
    <w:rsid w:val="00D507BE"/>
    <w:rsid w:val="00D50D8F"/>
    <w:rsid w:val="00D54E0A"/>
    <w:rsid w:val="00D618D1"/>
    <w:rsid w:val="00D6344B"/>
    <w:rsid w:val="00D92AD8"/>
    <w:rsid w:val="00DA0A98"/>
    <w:rsid w:val="00DA1102"/>
    <w:rsid w:val="00DA15D8"/>
    <w:rsid w:val="00DE2CD5"/>
    <w:rsid w:val="00E0448C"/>
    <w:rsid w:val="00E16C06"/>
    <w:rsid w:val="00E2462A"/>
    <w:rsid w:val="00E33D9B"/>
    <w:rsid w:val="00E4320C"/>
    <w:rsid w:val="00E46E5E"/>
    <w:rsid w:val="00E63F1B"/>
    <w:rsid w:val="00E73A7A"/>
    <w:rsid w:val="00E90854"/>
    <w:rsid w:val="00E93195"/>
    <w:rsid w:val="00E93875"/>
    <w:rsid w:val="00EA1F9E"/>
    <w:rsid w:val="00EA2587"/>
    <w:rsid w:val="00EA651F"/>
    <w:rsid w:val="00EB2D86"/>
    <w:rsid w:val="00EC443B"/>
    <w:rsid w:val="00ED02DA"/>
    <w:rsid w:val="00ED19B4"/>
    <w:rsid w:val="00ED1BC2"/>
    <w:rsid w:val="00EE3119"/>
    <w:rsid w:val="00EE7F03"/>
    <w:rsid w:val="00F003DB"/>
    <w:rsid w:val="00F100DC"/>
    <w:rsid w:val="00F10B41"/>
    <w:rsid w:val="00F220EF"/>
    <w:rsid w:val="00F308B0"/>
    <w:rsid w:val="00F31F2E"/>
    <w:rsid w:val="00F40102"/>
    <w:rsid w:val="00F4700D"/>
    <w:rsid w:val="00F51483"/>
    <w:rsid w:val="00F56242"/>
    <w:rsid w:val="00F66FFD"/>
    <w:rsid w:val="00F717D9"/>
    <w:rsid w:val="00F74D68"/>
    <w:rsid w:val="00F84AF2"/>
    <w:rsid w:val="00F84B9B"/>
    <w:rsid w:val="00F9362E"/>
    <w:rsid w:val="00FA6FDD"/>
    <w:rsid w:val="00FB4E46"/>
    <w:rsid w:val="00FC4856"/>
    <w:rsid w:val="00FD2BBB"/>
    <w:rsid w:val="00FD67D8"/>
    <w:rsid w:val="00FD7384"/>
    <w:rsid w:val="00FE6375"/>
    <w:rsid w:val="00FF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F7CB"/>
  <w15:chartTrackingRefBased/>
  <w15:docId w15:val="{4B75820B-CB0B-4994-B923-4496D08A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10"/>
  </w:style>
  <w:style w:type="paragraph" w:styleId="Heading2">
    <w:name w:val="heading 2"/>
    <w:basedOn w:val="Normal"/>
    <w:link w:val="Heading2Char"/>
    <w:uiPriority w:val="1"/>
    <w:qFormat/>
    <w:rsid w:val="00530105"/>
    <w:pPr>
      <w:widowControl w:val="0"/>
      <w:autoSpaceDE w:val="0"/>
      <w:autoSpaceDN w:val="0"/>
      <w:ind w:left="862"/>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9"/>
    <w:rPr>
      <w:rFonts w:ascii="Segoe UI" w:hAnsi="Segoe UI" w:cs="Segoe UI"/>
      <w:sz w:val="18"/>
      <w:szCs w:val="18"/>
    </w:rPr>
  </w:style>
  <w:style w:type="paragraph" w:styleId="Header">
    <w:name w:val="header"/>
    <w:basedOn w:val="Normal"/>
    <w:link w:val="HeaderChar"/>
    <w:uiPriority w:val="99"/>
    <w:unhideWhenUsed/>
    <w:rsid w:val="00DA15D8"/>
    <w:pPr>
      <w:tabs>
        <w:tab w:val="center" w:pos="4680"/>
        <w:tab w:val="right" w:pos="9360"/>
      </w:tabs>
    </w:pPr>
  </w:style>
  <w:style w:type="character" w:customStyle="1" w:styleId="HeaderChar">
    <w:name w:val="Header Char"/>
    <w:basedOn w:val="DefaultParagraphFont"/>
    <w:link w:val="Header"/>
    <w:uiPriority w:val="99"/>
    <w:rsid w:val="00DA15D8"/>
  </w:style>
  <w:style w:type="paragraph" w:styleId="Footer">
    <w:name w:val="footer"/>
    <w:basedOn w:val="Normal"/>
    <w:link w:val="FooterChar"/>
    <w:uiPriority w:val="99"/>
    <w:unhideWhenUsed/>
    <w:rsid w:val="00DA15D8"/>
    <w:pPr>
      <w:tabs>
        <w:tab w:val="center" w:pos="4680"/>
        <w:tab w:val="right" w:pos="9360"/>
      </w:tabs>
    </w:pPr>
  </w:style>
  <w:style w:type="character" w:customStyle="1" w:styleId="FooterChar">
    <w:name w:val="Footer Char"/>
    <w:basedOn w:val="DefaultParagraphFont"/>
    <w:link w:val="Footer"/>
    <w:uiPriority w:val="99"/>
    <w:rsid w:val="00DA15D8"/>
  </w:style>
  <w:style w:type="paragraph" w:styleId="BodyText">
    <w:name w:val="Body Text"/>
    <w:basedOn w:val="Normal"/>
    <w:link w:val="BodyTextChar"/>
    <w:semiHidden/>
    <w:rsid w:val="002310DB"/>
    <w:rPr>
      <w:rFonts w:ascii=".VnTime" w:eastAsia="Times New Roman" w:hAnsi=".VnTime" w:cs="Times New Roman"/>
      <w:szCs w:val="24"/>
      <w:u w:val="single"/>
    </w:rPr>
  </w:style>
  <w:style w:type="character" w:customStyle="1" w:styleId="BodyTextChar">
    <w:name w:val="Body Text Char"/>
    <w:basedOn w:val="DefaultParagraphFont"/>
    <w:link w:val="BodyText"/>
    <w:semiHidden/>
    <w:rsid w:val="002310DB"/>
    <w:rPr>
      <w:rFonts w:ascii=".VnTime" w:eastAsia="Times New Roman" w:hAnsi=".VnTime" w:cs="Times New Roman"/>
      <w:szCs w:val="24"/>
      <w:u w:val="single"/>
    </w:rPr>
  </w:style>
  <w:style w:type="character" w:customStyle="1" w:styleId="Heading2Char">
    <w:name w:val="Heading 2 Char"/>
    <w:basedOn w:val="DefaultParagraphFont"/>
    <w:link w:val="Heading2"/>
    <w:uiPriority w:val="1"/>
    <w:rsid w:val="00530105"/>
    <w:rPr>
      <w:rFonts w:eastAsia="Times New Roman" w:cs="Times New Roman"/>
      <w:b/>
      <w:bCs/>
      <w:szCs w:val="28"/>
      <w:lang w:val="vi"/>
    </w:rPr>
  </w:style>
  <w:style w:type="paragraph" w:styleId="BodyText3">
    <w:name w:val="Body Text 3"/>
    <w:basedOn w:val="Normal"/>
    <w:link w:val="BodyText3Char"/>
    <w:uiPriority w:val="99"/>
    <w:unhideWhenUsed/>
    <w:rsid w:val="00B275D2"/>
    <w:pPr>
      <w:spacing w:after="120"/>
    </w:pPr>
    <w:rPr>
      <w:sz w:val="16"/>
      <w:szCs w:val="16"/>
    </w:rPr>
  </w:style>
  <w:style w:type="character" w:customStyle="1" w:styleId="BodyText3Char">
    <w:name w:val="Body Text 3 Char"/>
    <w:basedOn w:val="DefaultParagraphFont"/>
    <w:link w:val="BodyText3"/>
    <w:uiPriority w:val="99"/>
    <w:rsid w:val="00B275D2"/>
    <w:rPr>
      <w:sz w:val="16"/>
      <w:szCs w:val="16"/>
    </w:rPr>
  </w:style>
  <w:style w:type="paragraph" w:styleId="NormalWeb">
    <w:name w:val="Normal (Web)"/>
    <w:basedOn w:val="Normal"/>
    <w:uiPriority w:val="99"/>
    <w:unhideWhenUsed/>
    <w:rsid w:val="009A3E0A"/>
    <w:pPr>
      <w:spacing w:before="100" w:beforeAutospacing="1" w:after="100" w:afterAutospacing="1"/>
    </w:pPr>
    <w:rPr>
      <w:rFonts w:eastAsia="Times New Roman" w:cs="Times New Roman"/>
      <w:sz w:val="24"/>
      <w:szCs w:val="24"/>
    </w:rPr>
  </w:style>
  <w:style w:type="character" w:styleId="Hyperlink">
    <w:name w:val="Hyperlink"/>
    <w:uiPriority w:val="99"/>
    <w:rsid w:val="009A3E0A"/>
    <w:rPr>
      <w:color w:val="0000FF"/>
      <w:u w:val="single"/>
    </w:rPr>
  </w:style>
  <w:style w:type="paragraph" w:styleId="ListParagraph">
    <w:name w:val="List Paragraph"/>
    <w:basedOn w:val="Normal"/>
    <w:uiPriority w:val="34"/>
    <w:qFormat/>
    <w:rsid w:val="00052110"/>
    <w:pPr>
      <w:ind w:left="720"/>
      <w:contextualSpacing/>
    </w:pPr>
  </w:style>
  <w:style w:type="character" w:styleId="CommentReference">
    <w:name w:val="annotation reference"/>
    <w:basedOn w:val="DefaultParagraphFont"/>
    <w:uiPriority w:val="99"/>
    <w:semiHidden/>
    <w:unhideWhenUsed/>
    <w:rsid w:val="00397D96"/>
    <w:rPr>
      <w:sz w:val="16"/>
      <w:szCs w:val="16"/>
    </w:rPr>
  </w:style>
  <w:style w:type="paragraph" w:styleId="CommentText">
    <w:name w:val="annotation text"/>
    <w:basedOn w:val="Normal"/>
    <w:link w:val="CommentTextChar"/>
    <w:uiPriority w:val="99"/>
    <w:semiHidden/>
    <w:unhideWhenUsed/>
    <w:rsid w:val="00397D96"/>
    <w:pPr>
      <w:spacing w:after="20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397D9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7664">
      <w:bodyDiv w:val="1"/>
      <w:marLeft w:val="0"/>
      <w:marRight w:val="0"/>
      <w:marTop w:val="0"/>
      <w:marBottom w:val="0"/>
      <w:divBdr>
        <w:top w:val="none" w:sz="0" w:space="0" w:color="auto"/>
        <w:left w:val="none" w:sz="0" w:space="0" w:color="auto"/>
        <w:bottom w:val="none" w:sz="0" w:space="0" w:color="auto"/>
        <w:right w:val="none" w:sz="0" w:space="0" w:color="auto"/>
      </w:divBdr>
    </w:div>
    <w:div w:id="123961292">
      <w:bodyDiv w:val="1"/>
      <w:marLeft w:val="0"/>
      <w:marRight w:val="0"/>
      <w:marTop w:val="0"/>
      <w:marBottom w:val="0"/>
      <w:divBdr>
        <w:top w:val="none" w:sz="0" w:space="0" w:color="auto"/>
        <w:left w:val="none" w:sz="0" w:space="0" w:color="auto"/>
        <w:bottom w:val="none" w:sz="0" w:space="0" w:color="auto"/>
        <w:right w:val="none" w:sz="0" w:space="0" w:color="auto"/>
      </w:divBdr>
    </w:div>
    <w:div w:id="192768773">
      <w:bodyDiv w:val="1"/>
      <w:marLeft w:val="0"/>
      <w:marRight w:val="0"/>
      <w:marTop w:val="0"/>
      <w:marBottom w:val="0"/>
      <w:divBdr>
        <w:top w:val="none" w:sz="0" w:space="0" w:color="auto"/>
        <w:left w:val="none" w:sz="0" w:space="0" w:color="auto"/>
        <w:bottom w:val="none" w:sz="0" w:space="0" w:color="auto"/>
        <w:right w:val="none" w:sz="0" w:space="0" w:color="auto"/>
      </w:divBdr>
    </w:div>
    <w:div w:id="261843224">
      <w:bodyDiv w:val="1"/>
      <w:marLeft w:val="0"/>
      <w:marRight w:val="0"/>
      <w:marTop w:val="0"/>
      <w:marBottom w:val="0"/>
      <w:divBdr>
        <w:top w:val="none" w:sz="0" w:space="0" w:color="auto"/>
        <w:left w:val="none" w:sz="0" w:space="0" w:color="auto"/>
        <w:bottom w:val="none" w:sz="0" w:space="0" w:color="auto"/>
        <w:right w:val="none" w:sz="0" w:space="0" w:color="auto"/>
      </w:divBdr>
    </w:div>
    <w:div w:id="289362026">
      <w:bodyDiv w:val="1"/>
      <w:marLeft w:val="0"/>
      <w:marRight w:val="0"/>
      <w:marTop w:val="0"/>
      <w:marBottom w:val="0"/>
      <w:divBdr>
        <w:top w:val="none" w:sz="0" w:space="0" w:color="auto"/>
        <w:left w:val="none" w:sz="0" w:space="0" w:color="auto"/>
        <w:bottom w:val="none" w:sz="0" w:space="0" w:color="auto"/>
        <w:right w:val="none" w:sz="0" w:space="0" w:color="auto"/>
      </w:divBdr>
    </w:div>
    <w:div w:id="309484264">
      <w:bodyDiv w:val="1"/>
      <w:marLeft w:val="0"/>
      <w:marRight w:val="0"/>
      <w:marTop w:val="0"/>
      <w:marBottom w:val="0"/>
      <w:divBdr>
        <w:top w:val="none" w:sz="0" w:space="0" w:color="auto"/>
        <w:left w:val="none" w:sz="0" w:space="0" w:color="auto"/>
        <w:bottom w:val="none" w:sz="0" w:space="0" w:color="auto"/>
        <w:right w:val="none" w:sz="0" w:space="0" w:color="auto"/>
      </w:divBdr>
    </w:div>
    <w:div w:id="351954324">
      <w:bodyDiv w:val="1"/>
      <w:marLeft w:val="0"/>
      <w:marRight w:val="0"/>
      <w:marTop w:val="0"/>
      <w:marBottom w:val="0"/>
      <w:divBdr>
        <w:top w:val="none" w:sz="0" w:space="0" w:color="auto"/>
        <w:left w:val="none" w:sz="0" w:space="0" w:color="auto"/>
        <w:bottom w:val="none" w:sz="0" w:space="0" w:color="auto"/>
        <w:right w:val="none" w:sz="0" w:space="0" w:color="auto"/>
      </w:divBdr>
    </w:div>
    <w:div w:id="512258547">
      <w:bodyDiv w:val="1"/>
      <w:marLeft w:val="0"/>
      <w:marRight w:val="0"/>
      <w:marTop w:val="0"/>
      <w:marBottom w:val="0"/>
      <w:divBdr>
        <w:top w:val="none" w:sz="0" w:space="0" w:color="auto"/>
        <w:left w:val="none" w:sz="0" w:space="0" w:color="auto"/>
        <w:bottom w:val="none" w:sz="0" w:space="0" w:color="auto"/>
        <w:right w:val="none" w:sz="0" w:space="0" w:color="auto"/>
      </w:divBdr>
    </w:div>
    <w:div w:id="513113359">
      <w:bodyDiv w:val="1"/>
      <w:marLeft w:val="0"/>
      <w:marRight w:val="0"/>
      <w:marTop w:val="0"/>
      <w:marBottom w:val="0"/>
      <w:divBdr>
        <w:top w:val="none" w:sz="0" w:space="0" w:color="auto"/>
        <w:left w:val="none" w:sz="0" w:space="0" w:color="auto"/>
        <w:bottom w:val="none" w:sz="0" w:space="0" w:color="auto"/>
        <w:right w:val="none" w:sz="0" w:space="0" w:color="auto"/>
      </w:divBdr>
    </w:div>
    <w:div w:id="527060443">
      <w:bodyDiv w:val="1"/>
      <w:marLeft w:val="0"/>
      <w:marRight w:val="0"/>
      <w:marTop w:val="0"/>
      <w:marBottom w:val="0"/>
      <w:divBdr>
        <w:top w:val="none" w:sz="0" w:space="0" w:color="auto"/>
        <w:left w:val="none" w:sz="0" w:space="0" w:color="auto"/>
        <w:bottom w:val="none" w:sz="0" w:space="0" w:color="auto"/>
        <w:right w:val="none" w:sz="0" w:space="0" w:color="auto"/>
      </w:divBdr>
    </w:div>
    <w:div w:id="548879041">
      <w:bodyDiv w:val="1"/>
      <w:marLeft w:val="0"/>
      <w:marRight w:val="0"/>
      <w:marTop w:val="0"/>
      <w:marBottom w:val="0"/>
      <w:divBdr>
        <w:top w:val="none" w:sz="0" w:space="0" w:color="auto"/>
        <w:left w:val="none" w:sz="0" w:space="0" w:color="auto"/>
        <w:bottom w:val="none" w:sz="0" w:space="0" w:color="auto"/>
        <w:right w:val="none" w:sz="0" w:space="0" w:color="auto"/>
      </w:divBdr>
    </w:div>
    <w:div w:id="580870860">
      <w:bodyDiv w:val="1"/>
      <w:marLeft w:val="0"/>
      <w:marRight w:val="0"/>
      <w:marTop w:val="0"/>
      <w:marBottom w:val="0"/>
      <w:divBdr>
        <w:top w:val="none" w:sz="0" w:space="0" w:color="auto"/>
        <w:left w:val="none" w:sz="0" w:space="0" w:color="auto"/>
        <w:bottom w:val="none" w:sz="0" w:space="0" w:color="auto"/>
        <w:right w:val="none" w:sz="0" w:space="0" w:color="auto"/>
      </w:divBdr>
    </w:div>
    <w:div w:id="710157613">
      <w:bodyDiv w:val="1"/>
      <w:marLeft w:val="0"/>
      <w:marRight w:val="0"/>
      <w:marTop w:val="0"/>
      <w:marBottom w:val="0"/>
      <w:divBdr>
        <w:top w:val="none" w:sz="0" w:space="0" w:color="auto"/>
        <w:left w:val="none" w:sz="0" w:space="0" w:color="auto"/>
        <w:bottom w:val="none" w:sz="0" w:space="0" w:color="auto"/>
        <w:right w:val="none" w:sz="0" w:space="0" w:color="auto"/>
      </w:divBdr>
    </w:div>
    <w:div w:id="714818926">
      <w:bodyDiv w:val="1"/>
      <w:marLeft w:val="0"/>
      <w:marRight w:val="0"/>
      <w:marTop w:val="0"/>
      <w:marBottom w:val="0"/>
      <w:divBdr>
        <w:top w:val="none" w:sz="0" w:space="0" w:color="auto"/>
        <w:left w:val="none" w:sz="0" w:space="0" w:color="auto"/>
        <w:bottom w:val="none" w:sz="0" w:space="0" w:color="auto"/>
        <w:right w:val="none" w:sz="0" w:space="0" w:color="auto"/>
      </w:divBdr>
    </w:div>
    <w:div w:id="716930594">
      <w:bodyDiv w:val="1"/>
      <w:marLeft w:val="0"/>
      <w:marRight w:val="0"/>
      <w:marTop w:val="0"/>
      <w:marBottom w:val="0"/>
      <w:divBdr>
        <w:top w:val="none" w:sz="0" w:space="0" w:color="auto"/>
        <w:left w:val="none" w:sz="0" w:space="0" w:color="auto"/>
        <w:bottom w:val="none" w:sz="0" w:space="0" w:color="auto"/>
        <w:right w:val="none" w:sz="0" w:space="0" w:color="auto"/>
      </w:divBdr>
    </w:div>
    <w:div w:id="784424770">
      <w:bodyDiv w:val="1"/>
      <w:marLeft w:val="0"/>
      <w:marRight w:val="0"/>
      <w:marTop w:val="0"/>
      <w:marBottom w:val="0"/>
      <w:divBdr>
        <w:top w:val="none" w:sz="0" w:space="0" w:color="auto"/>
        <w:left w:val="none" w:sz="0" w:space="0" w:color="auto"/>
        <w:bottom w:val="none" w:sz="0" w:space="0" w:color="auto"/>
        <w:right w:val="none" w:sz="0" w:space="0" w:color="auto"/>
      </w:divBdr>
    </w:div>
    <w:div w:id="796409301">
      <w:bodyDiv w:val="1"/>
      <w:marLeft w:val="0"/>
      <w:marRight w:val="0"/>
      <w:marTop w:val="0"/>
      <w:marBottom w:val="0"/>
      <w:divBdr>
        <w:top w:val="none" w:sz="0" w:space="0" w:color="auto"/>
        <w:left w:val="none" w:sz="0" w:space="0" w:color="auto"/>
        <w:bottom w:val="none" w:sz="0" w:space="0" w:color="auto"/>
        <w:right w:val="none" w:sz="0" w:space="0" w:color="auto"/>
      </w:divBdr>
    </w:div>
    <w:div w:id="798232060">
      <w:bodyDiv w:val="1"/>
      <w:marLeft w:val="0"/>
      <w:marRight w:val="0"/>
      <w:marTop w:val="0"/>
      <w:marBottom w:val="0"/>
      <w:divBdr>
        <w:top w:val="none" w:sz="0" w:space="0" w:color="auto"/>
        <w:left w:val="none" w:sz="0" w:space="0" w:color="auto"/>
        <w:bottom w:val="none" w:sz="0" w:space="0" w:color="auto"/>
        <w:right w:val="none" w:sz="0" w:space="0" w:color="auto"/>
      </w:divBdr>
    </w:div>
    <w:div w:id="821388850">
      <w:bodyDiv w:val="1"/>
      <w:marLeft w:val="0"/>
      <w:marRight w:val="0"/>
      <w:marTop w:val="0"/>
      <w:marBottom w:val="0"/>
      <w:divBdr>
        <w:top w:val="none" w:sz="0" w:space="0" w:color="auto"/>
        <w:left w:val="none" w:sz="0" w:space="0" w:color="auto"/>
        <w:bottom w:val="none" w:sz="0" w:space="0" w:color="auto"/>
        <w:right w:val="none" w:sz="0" w:space="0" w:color="auto"/>
      </w:divBdr>
    </w:div>
    <w:div w:id="870413924">
      <w:bodyDiv w:val="1"/>
      <w:marLeft w:val="0"/>
      <w:marRight w:val="0"/>
      <w:marTop w:val="0"/>
      <w:marBottom w:val="0"/>
      <w:divBdr>
        <w:top w:val="none" w:sz="0" w:space="0" w:color="auto"/>
        <w:left w:val="none" w:sz="0" w:space="0" w:color="auto"/>
        <w:bottom w:val="none" w:sz="0" w:space="0" w:color="auto"/>
        <w:right w:val="none" w:sz="0" w:space="0" w:color="auto"/>
      </w:divBdr>
    </w:div>
    <w:div w:id="939486485">
      <w:bodyDiv w:val="1"/>
      <w:marLeft w:val="0"/>
      <w:marRight w:val="0"/>
      <w:marTop w:val="0"/>
      <w:marBottom w:val="0"/>
      <w:divBdr>
        <w:top w:val="none" w:sz="0" w:space="0" w:color="auto"/>
        <w:left w:val="none" w:sz="0" w:space="0" w:color="auto"/>
        <w:bottom w:val="none" w:sz="0" w:space="0" w:color="auto"/>
        <w:right w:val="none" w:sz="0" w:space="0" w:color="auto"/>
      </w:divBdr>
    </w:div>
    <w:div w:id="945388446">
      <w:bodyDiv w:val="1"/>
      <w:marLeft w:val="0"/>
      <w:marRight w:val="0"/>
      <w:marTop w:val="0"/>
      <w:marBottom w:val="0"/>
      <w:divBdr>
        <w:top w:val="none" w:sz="0" w:space="0" w:color="auto"/>
        <w:left w:val="none" w:sz="0" w:space="0" w:color="auto"/>
        <w:bottom w:val="none" w:sz="0" w:space="0" w:color="auto"/>
        <w:right w:val="none" w:sz="0" w:space="0" w:color="auto"/>
      </w:divBdr>
    </w:div>
    <w:div w:id="1055742594">
      <w:bodyDiv w:val="1"/>
      <w:marLeft w:val="0"/>
      <w:marRight w:val="0"/>
      <w:marTop w:val="0"/>
      <w:marBottom w:val="0"/>
      <w:divBdr>
        <w:top w:val="none" w:sz="0" w:space="0" w:color="auto"/>
        <w:left w:val="none" w:sz="0" w:space="0" w:color="auto"/>
        <w:bottom w:val="none" w:sz="0" w:space="0" w:color="auto"/>
        <w:right w:val="none" w:sz="0" w:space="0" w:color="auto"/>
      </w:divBdr>
    </w:div>
    <w:div w:id="1100835658">
      <w:bodyDiv w:val="1"/>
      <w:marLeft w:val="0"/>
      <w:marRight w:val="0"/>
      <w:marTop w:val="0"/>
      <w:marBottom w:val="0"/>
      <w:divBdr>
        <w:top w:val="none" w:sz="0" w:space="0" w:color="auto"/>
        <w:left w:val="none" w:sz="0" w:space="0" w:color="auto"/>
        <w:bottom w:val="none" w:sz="0" w:space="0" w:color="auto"/>
        <w:right w:val="none" w:sz="0" w:space="0" w:color="auto"/>
      </w:divBdr>
    </w:div>
    <w:div w:id="1126780996">
      <w:bodyDiv w:val="1"/>
      <w:marLeft w:val="0"/>
      <w:marRight w:val="0"/>
      <w:marTop w:val="0"/>
      <w:marBottom w:val="0"/>
      <w:divBdr>
        <w:top w:val="none" w:sz="0" w:space="0" w:color="auto"/>
        <w:left w:val="none" w:sz="0" w:space="0" w:color="auto"/>
        <w:bottom w:val="none" w:sz="0" w:space="0" w:color="auto"/>
        <w:right w:val="none" w:sz="0" w:space="0" w:color="auto"/>
      </w:divBdr>
    </w:div>
    <w:div w:id="1147279677">
      <w:bodyDiv w:val="1"/>
      <w:marLeft w:val="0"/>
      <w:marRight w:val="0"/>
      <w:marTop w:val="0"/>
      <w:marBottom w:val="0"/>
      <w:divBdr>
        <w:top w:val="none" w:sz="0" w:space="0" w:color="auto"/>
        <w:left w:val="none" w:sz="0" w:space="0" w:color="auto"/>
        <w:bottom w:val="none" w:sz="0" w:space="0" w:color="auto"/>
        <w:right w:val="none" w:sz="0" w:space="0" w:color="auto"/>
      </w:divBdr>
    </w:div>
    <w:div w:id="1168595690">
      <w:bodyDiv w:val="1"/>
      <w:marLeft w:val="0"/>
      <w:marRight w:val="0"/>
      <w:marTop w:val="0"/>
      <w:marBottom w:val="0"/>
      <w:divBdr>
        <w:top w:val="none" w:sz="0" w:space="0" w:color="auto"/>
        <w:left w:val="none" w:sz="0" w:space="0" w:color="auto"/>
        <w:bottom w:val="none" w:sz="0" w:space="0" w:color="auto"/>
        <w:right w:val="none" w:sz="0" w:space="0" w:color="auto"/>
      </w:divBdr>
    </w:div>
    <w:div w:id="1216548436">
      <w:bodyDiv w:val="1"/>
      <w:marLeft w:val="0"/>
      <w:marRight w:val="0"/>
      <w:marTop w:val="0"/>
      <w:marBottom w:val="0"/>
      <w:divBdr>
        <w:top w:val="none" w:sz="0" w:space="0" w:color="auto"/>
        <w:left w:val="none" w:sz="0" w:space="0" w:color="auto"/>
        <w:bottom w:val="none" w:sz="0" w:space="0" w:color="auto"/>
        <w:right w:val="none" w:sz="0" w:space="0" w:color="auto"/>
      </w:divBdr>
    </w:div>
    <w:div w:id="1291939702">
      <w:bodyDiv w:val="1"/>
      <w:marLeft w:val="0"/>
      <w:marRight w:val="0"/>
      <w:marTop w:val="0"/>
      <w:marBottom w:val="0"/>
      <w:divBdr>
        <w:top w:val="none" w:sz="0" w:space="0" w:color="auto"/>
        <w:left w:val="none" w:sz="0" w:space="0" w:color="auto"/>
        <w:bottom w:val="none" w:sz="0" w:space="0" w:color="auto"/>
        <w:right w:val="none" w:sz="0" w:space="0" w:color="auto"/>
      </w:divBdr>
    </w:div>
    <w:div w:id="1317689298">
      <w:bodyDiv w:val="1"/>
      <w:marLeft w:val="0"/>
      <w:marRight w:val="0"/>
      <w:marTop w:val="0"/>
      <w:marBottom w:val="0"/>
      <w:divBdr>
        <w:top w:val="none" w:sz="0" w:space="0" w:color="auto"/>
        <w:left w:val="none" w:sz="0" w:space="0" w:color="auto"/>
        <w:bottom w:val="none" w:sz="0" w:space="0" w:color="auto"/>
        <w:right w:val="none" w:sz="0" w:space="0" w:color="auto"/>
      </w:divBdr>
    </w:div>
    <w:div w:id="1318921285">
      <w:bodyDiv w:val="1"/>
      <w:marLeft w:val="0"/>
      <w:marRight w:val="0"/>
      <w:marTop w:val="0"/>
      <w:marBottom w:val="0"/>
      <w:divBdr>
        <w:top w:val="none" w:sz="0" w:space="0" w:color="auto"/>
        <w:left w:val="none" w:sz="0" w:space="0" w:color="auto"/>
        <w:bottom w:val="none" w:sz="0" w:space="0" w:color="auto"/>
        <w:right w:val="none" w:sz="0" w:space="0" w:color="auto"/>
      </w:divBdr>
    </w:div>
    <w:div w:id="1391540758">
      <w:bodyDiv w:val="1"/>
      <w:marLeft w:val="0"/>
      <w:marRight w:val="0"/>
      <w:marTop w:val="0"/>
      <w:marBottom w:val="0"/>
      <w:divBdr>
        <w:top w:val="none" w:sz="0" w:space="0" w:color="auto"/>
        <w:left w:val="none" w:sz="0" w:space="0" w:color="auto"/>
        <w:bottom w:val="none" w:sz="0" w:space="0" w:color="auto"/>
        <w:right w:val="none" w:sz="0" w:space="0" w:color="auto"/>
      </w:divBdr>
    </w:div>
    <w:div w:id="1416901633">
      <w:bodyDiv w:val="1"/>
      <w:marLeft w:val="0"/>
      <w:marRight w:val="0"/>
      <w:marTop w:val="0"/>
      <w:marBottom w:val="0"/>
      <w:divBdr>
        <w:top w:val="none" w:sz="0" w:space="0" w:color="auto"/>
        <w:left w:val="none" w:sz="0" w:space="0" w:color="auto"/>
        <w:bottom w:val="none" w:sz="0" w:space="0" w:color="auto"/>
        <w:right w:val="none" w:sz="0" w:space="0" w:color="auto"/>
      </w:divBdr>
    </w:div>
    <w:div w:id="1446465478">
      <w:bodyDiv w:val="1"/>
      <w:marLeft w:val="0"/>
      <w:marRight w:val="0"/>
      <w:marTop w:val="0"/>
      <w:marBottom w:val="0"/>
      <w:divBdr>
        <w:top w:val="none" w:sz="0" w:space="0" w:color="auto"/>
        <w:left w:val="none" w:sz="0" w:space="0" w:color="auto"/>
        <w:bottom w:val="none" w:sz="0" w:space="0" w:color="auto"/>
        <w:right w:val="none" w:sz="0" w:space="0" w:color="auto"/>
      </w:divBdr>
    </w:div>
    <w:div w:id="1454909825">
      <w:bodyDiv w:val="1"/>
      <w:marLeft w:val="0"/>
      <w:marRight w:val="0"/>
      <w:marTop w:val="0"/>
      <w:marBottom w:val="0"/>
      <w:divBdr>
        <w:top w:val="none" w:sz="0" w:space="0" w:color="auto"/>
        <w:left w:val="none" w:sz="0" w:space="0" w:color="auto"/>
        <w:bottom w:val="none" w:sz="0" w:space="0" w:color="auto"/>
        <w:right w:val="none" w:sz="0" w:space="0" w:color="auto"/>
      </w:divBdr>
    </w:div>
    <w:div w:id="1463577804">
      <w:bodyDiv w:val="1"/>
      <w:marLeft w:val="0"/>
      <w:marRight w:val="0"/>
      <w:marTop w:val="0"/>
      <w:marBottom w:val="0"/>
      <w:divBdr>
        <w:top w:val="none" w:sz="0" w:space="0" w:color="auto"/>
        <w:left w:val="none" w:sz="0" w:space="0" w:color="auto"/>
        <w:bottom w:val="none" w:sz="0" w:space="0" w:color="auto"/>
        <w:right w:val="none" w:sz="0" w:space="0" w:color="auto"/>
      </w:divBdr>
    </w:div>
    <w:div w:id="1526023303">
      <w:bodyDiv w:val="1"/>
      <w:marLeft w:val="0"/>
      <w:marRight w:val="0"/>
      <w:marTop w:val="0"/>
      <w:marBottom w:val="0"/>
      <w:divBdr>
        <w:top w:val="none" w:sz="0" w:space="0" w:color="auto"/>
        <w:left w:val="none" w:sz="0" w:space="0" w:color="auto"/>
        <w:bottom w:val="none" w:sz="0" w:space="0" w:color="auto"/>
        <w:right w:val="none" w:sz="0" w:space="0" w:color="auto"/>
      </w:divBdr>
    </w:div>
    <w:div w:id="1643120152">
      <w:bodyDiv w:val="1"/>
      <w:marLeft w:val="0"/>
      <w:marRight w:val="0"/>
      <w:marTop w:val="0"/>
      <w:marBottom w:val="0"/>
      <w:divBdr>
        <w:top w:val="none" w:sz="0" w:space="0" w:color="auto"/>
        <w:left w:val="none" w:sz="0" w:space="0" w:color="auto"/>
        <w:bottom w:val="none" w:sz="0" w:space="0" w:color="auto"/>
        <w:right w:val="none" w:sz="0" w:space="0" w:color="auto"/>
      </w:divBdr>
    </w:div>
    <w:div w:id="1761024362">
      <w:bodyDiv w:val="1"/>
      <w:marLeft w:val="0"/>
      <w:marRight w:val="0"/>
      <w:marTop w:val="0"/>
      <w:marBottom w:val="0"/>
      <w:divBdr>
        <w:top w:val="none" w:sz="0" w:space="0" w:color="auto"/>
        <w:left w:val="none" w:sz="0" w:space="0" w:color="auto"/>
        <w:bottom w:val="none" w:sz="0" w:space="0" w:color="auto"/>
        <w:right w:val="none" w:sz="0" w:space="0" w:color="auto"/>
      </w:divBdr>
    </w:div>
    <w:div w:id="1846507052">
      <w:bodyDiv w:val="1"/>
      <w:marLeft w:val="0"/>
      <w:marRight w:val="0"/>
      <w:marTop w:val="0"/>
      <w:marBottom w:val="0"/>
      <w:divBdr>
        <w:top w:val="none" w:sz="0" w:space="0" w:color="auto"/>
        <w:left w:val="none" w:sz="0" w:space="0" w:color="auto"/>
        <w:bottom w:val="none" w:sz="0" w:space="0" w:color="auto"/>
        <w:right w:val="none" w:sz="0" w:space="0" w:color="auto"/>
      </w:divBdr>
    </w:div>
    <w:div w:id="1901556046">
      <w:bodyDiv w:val="1"/>
      <w:marLeft w:val="0"/>
      <w:marRight w:val="0"/>
      <w:marTop w:val="0"/>
      <w:marBottom w:val="0"/>
      <w:divBdr>
        <w:top w:val="none" w:sz="0" w:space="0" w:color="auto"/>
        <w:left w:val="none" w:sz="0" w:space="0" w:color="auto"/>
        <w:bottom w:val="none" w:sz="0" w:space="0" w:color="auto"/>
        <w:right w:val="none" w:sz="0" w:space="0" w:color="auto"/>
      </w:divBdr>
    </w:div>
    <w:div w:id="1972124386">
      <w:bodyDiv w:val="1"/>
      <w:marLeft w:val="0"/>
      <w:marRight w:val="0"/>
      <w:marTop w:val="0"/>
      <w:marBottom w:val="0"/>
      <w:divBdr>
        <w:top w:val="none" w:sz="0" w:space="0" w:color="auto"/>
        <w:left w:val="none" w:sz="0" w:space="0" w:color="auto"/>
        <w:bottom w:val="none" w:sz="0" w:space="0" w:color="auto"/>
        <w:right w:val="none" w:sz="0" w:space="0" w:color="auto"/>
      </w:divBdr>
    </w:div>
    <w:div w:id="1992321752">
      <w:bodyDiv w:val="1"/>
      <w:marLeft w:val="0"/>
      <w:marRight w:val="0"/>
      <w:marTop w:val="0"/>
      <w:marBottom w:val="0"/>
      <w:divBdr>
        <w:top w:val="none" w:sz="0" w:space="0" w:color="auto"/>
        <w:left w:val="none" w:sz="0" w:space="0" w:color="auto"/>
        <w:bottom w:val="none" w:sz="0" w:space="0" w:color="auto"/>
        <w:right w:val="none" w:sz="0" w:space="0" w:color="auto"/>
      </w:divBdr>
    </w:div>
    <w:div w:id="20705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nghi-dinh-140-2017-nd-cp-chinh-sach-thu-hut-tao-nguon-can-bo-tu-sinh-vien-tot-nghiep-xuat-sac-369422.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422B-FBAE-4AFE-BCEB-32C4ADAD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4472</Words>
  <Characters>25493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2025-09-25T04:04:00Z</cp:lastPrinted>
  <dcterms:created xsi:type="dcterms:W3CDTF">2025-09-26T01:57:00Z</dcterms:created>
  <dcterms:modified xsi:type="dcterms:W3CDTF">2025-11-07T09:43:00Z</dcterms:modified>
</cp:coreProperties>
</file>