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3" w:type="dxa"/>
        <w:jc w:val="center"/>
        <w:tblLayout w:type="fixed"/>
        <w:tblLook w:val="0000" w:firstRow="0" w:lastRow="0" w:firstColumn="0" w:lastColumn="0" w:noHBand="0" w:noVBand="0"/>
      </w:tblPr>
      <w:tblGrid>
        <w:gridCol w:w="4678"/>
        <w:gridCol w:w="217"/>
        <w:gridCol w:w="5308"/>
      </w:tblGrid>
      <w:tr w:rsidR="00573849" w:rsidRPr="00CF369D" w14:paraId="6D22DC35" w14:textId="77777777" w:rsidTr="00CF369D">
        <w:trPr>
          <w:trHeight w:val="497"/>
          <w:jc w:val="center"/>
        </w:trPr>
        <w:tc>
          <w:tcPr>
            <w:tcW w:w="4678" w:type="dxa"/>
          </w:tcPr>
          <w:p w14:paraId="743B1DFB" w14:textId="132FDD5D" w:rsidR="006A30F5" w:rsidRPr="00CF369D" w:rsidRDefault="006A30F5" w:rsidP="004C44FE">
            <w:pPr>
              <w:jc w:val="center"/>
              <w:rPr>
                <w:rFonts w:ascii="Times New Roman" w:hAnsi="Times New Roman" w:cs="Times New Roman"/>
                <w:color w:val="auto"/>
                <w:spacing w:val="-4"/>
                <w:sz w:val="26"/>
                <w:szCs w:val="26"/>
                <w:lang w:val="en-ID" w:eastAsia="en-US"/>
              </w:rPr>
            </w:pPr>
            <w:r w:rsidRPr="00CF369D">
              <w:rPr>
                <w:rFonts w:ascii="Times New Roman" w:hAnsi="Times New Roman" w:cs="Times New Roman"/>
                <w:color w:val="auto"/>
                <w:spacing w:val="-4"/>
                <w:sz w:val="26"/>
                <w:szCs w:val="26"/>
                <w:lang w:val="en-ID" w:eastAsia="en-US"/>
              </w:rPr>
              <w:t xml:space="preserve">UBND </w:t>
            </w:r>
            <w:r w:rsidR="004D55B8" w:rsidRPr="00CF369D">
              <w:rPr>
                <w:rFonts w:ascii="Times New Roman" w:hAnsi="Times New Roman" w:cs="Times New Roman"/>
                <w:color w:val="auto"/>
                <w:spacing w:val="-4"/>
                <w:sz w:val="26"/>
                <w:szCs w:val="26"/>
                <w:lang w:val="en-ID" w:eastAsia="en-US"/>
              </w:rPr>
              <w:t>THÀNH PHỐ HẢI PHÒNG</w:t>
            </w:r>
          </w:p>
          <w:p w14:paraId="1AFA25F0" w14:textId="77777777" w:rsidR="006A30F5" w:rsidRPr="00CF369D" w:rsidRDefault="006A30F5" w:rsidP="004C44FE">
            <w:pPr>
              <w:jc w:val="center"/>
              <w:rPr>
                <w:rFonts w:ascii="Times New Roman" w:hAnsi="Times New Roman" w:cs="Times New Roman"/>
                <w:b/>
                <w:bCs/>
                <w:color w:val="auto"/>
                <w:spacing w:val="-4"/>
                <w:sz w:val="26"/>
                <w:szCs w:val="26"/>
                <w:lang w:val="en-ID" w:eastAsia="en-US"/>
              </w:rPr>
            </w:pPr>
            <w:r w:rsidRPr="00CF369D">
              <w:rPr>
                <w:rFonts w:ascii="Times New Roman" w:hAnsi="Times New Roman" w:cs="Times New Roman"/>
                <w:b/>
                <w:bCs/>
                <w:color w:val="auto"/>
                <w:spacing w:val="-4"/>
                <w:sz w:val="26"/>
                <w:szCs w:val="26"/>
                <w:lang w:val="en-ID" w:eastAsia="en-US"/>
              </w:rPr>
              <w:t>SỞ NÔNG NGHIỆP VÀ MÔI TRƯỜNG</w:t>
            </w:r>
          </w:p>
        </w:tc>
        <w:tc>
          <w:tcPr>
            <w:tcW w:w="5521" w:type="dxa"/>
            <w:gridSpan w:val="2"/>
          </w:tcPr>
          <w:p w14:paraId="098E367E" w14:textId="77777777" w:rsidR="006A30F5" w:rsidRPr="00CF369D" w:rsidRDefault="006A30F5" w:rsidP="004C44FE">
            <w:pPr>
              <w:keepNext/>
              <w:tabs>
                <w:tab w:val="left" w:pos="5007"/>
              </w:tabs>
              <w:jc w:val="center"/>
              <w:outlineLvl w:val="0"/>
              <w:rPr>
                <w:rFonts w:ascii="Times New Roman" w:hAnsi="Times New Roman" w:cs="Times New Roman"/>
                <w:b/>
                <w:bCs/>
                <w:color w:val="auto"/>
                <w:spacing w:val="-4"/>
                <w:sz w:val="26"/>
                <w:szCs w:val="26"/>
                <w:lang w:val="en-ID" w:eastAsia="en-US"/>
              </w:rPr>
            </w:pPr>
            <w:r w:rsidRPr="00CF369D">
              <w:rPr>
                <w:rFonts w:ascii="Times New Roman" w:hAnsi="Times New Roman" w:cs="Times New Roman"/>
                <w:b/>
                <w:bCs/>
                <w:color w:val="auto"/>
                <w:spacing w:val="-4"/>
                <w:sz w:val="26"/>
                <w:szCs w:val="26"/>
                <w:lang w:val="en-ID" w:eastAsia="en-US"/>
              </w:rPr>
              <w:t>CỘNG HÒA XÃ HỘI CHỦ NGHĨA VIỆT NAM</w:t>
            </w:r>
          </w:p>
          <w:p w14:paraId="2FCD2C22" w14:textId="77777777" w:rsidR="006A30F5" w:rsidRPr="00CF369D" w:rsidRDefault="006A30F5" w:rsidP="004C44FE">
            <w:pPr>
              <w:jc w:val="center"/>
              <w:rPr>
                <w:rFonts w:ascii="Times New Roman" w:hAnsi="Times New Roman" w:cs="Times New Roman"/>
                <w:b/>
                <w:bCs/>
                <w:color w:val="auto"/>
                <w:spacing w:val="-4"/>
                <w:sz w:val="26"/>
                <w:szCs w:val="26"/>
                <w:lang w:val="en-ID" w:eastAsia="en-US"/>
              </w:rPr>
            </w:pPr>
            <w:r w:rsidRPr="00CF369D">
              <w:rPr>
                <w:rFonts w:ascii="Times New Roman" w:hAnsi="Times New Roman" w:cs="Times New Roman"/>
                <w:b/>
                <w:bCs/>
                <w:color w:val="auto"/>
                <w:spacing w:val="-4"/>
                <w:sz w:val="26"/>
                <w:szCs w:val="26"/>
                <w:lang w:val="en-ID" w:eastAsia="en-US"/>
              </w:rPr>
              <w:t>Độc lập - Tự do - Hạnh phúc</w:t>
            </w:r>
          </w:p>
        </w:tc>
      </w:tr>
      <w:tr w:rsidR="00573849" w:rsidRPr="00CF369D" w14:paraId="48CFB9B6" w14:textId="77777777" w:rsidTr="00CF369D">
        <w:trPr>
          <w:trHeight w:val="678"/>
          <w:jc w:val="center"/>
        </w:trPr>
        <w:tc>
          <w:tcPr>
            <w:tcW w:w="4895" w:type="dxa"/>
            <w:gridSpan w:val="2"/>
          </w:tcPr>
          <w:p w14:paraId="6D66BE82" w14:textId="2E4BEECF" w:rsidR="006A30F5" w:rsidRPr="00CF369D" w:rsidRDefault="006A30F5" w:rsidP="004C44FE">
            <w:pPr>
              <w:keepNext/>
              <w:spacing w:before="240" w:line="312" w:lineRule="auto"/>
              <w:jc w:val="center"/>
              <w:outlineLvl w:val="0"/>
              <w:rPr>
                <w:rFonts w:ascii="Times New Roman" w:hAnsi="Times New Roman" w:cs="Times New Roman"/>
                <w:b/>
                <w:bCs/>
                <w:color w:val="auto"/>
                <w:spacing w:val="-4"/>
                <w:sz w:val="26"/>
                <w:szCs w:val="26"/>
                <w:lang w:val="en-ID" w:eastAsia="en-US"/>
              </w:rPr>
            </w:pPr>
            <w:r w:rsidRPr="00CF369D">
              <w:rPr>
                <w:rFonts w:ascii="Times New Roman" w:hAnsi="Times New Roman" w:cs="Times New Roman"/>
                <w:noProof/>
                <w:color w:val="auto"/>
                <w:spacing w:val="-4"/>
                <w:sz w:val="26"/>
                <w:szCs w:val="26"/>
                <w:lang w:val="en-US" w:eastAsia="en-US"/>
              </w:rPr>
              <mc:AlternateContent>
                <mc:Choice Requires="wps">
                  <w:drawing>
                    <wp:anchor distT="4294967295" distB="4294967295" distL="114300" distR="114300" simplePos="0" relativeHeight="251660288" behindDoc="0" locked="0" layoutInCell="1" allowOverlap="1" wp14:anchorId="57390FA8" wp14:editId="1F32F576">
                      <wp:simplePos x="0" y="0"/>
                      <wp:positionH relativeFrom="column">
                        <wp:posOffset>743322</wp:posOffset>
                      </wp:positionH>
                      <wp:positionV relativeFrom="paragraph">
                        <wp:posOffset>4445</wp:posOffset>
                      </wp:positionV>
                      <wp:extent cx="1257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8E80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5pt,.35pt" to="15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"/>
                  </w:pict>
                </mc:Fallback>
              </mc:AlternateContent>
            </w:r>
          </w:p>
        </w:tc>
        <w:tc>
          <w:tcPr>
            <w:tcW w:w="5308" w:type="dxa"/>
          </w:tcPr>
          <w:p w14:paraId="19A778BD" w14:textId="2131754C" w:rsidR="006A30F5" w:rsidRPr="00CF369D" w:rsidRDefault="006A30F5" w:rsidP="004C44FE">
            <w:pPr>
              <w:spacing w:before="240" w:line="312" w:lineRule="auto"/>
              <w:jc w:val="center"/>
              <w:rPr>
                <w:rFonts w:ascii="Times New Roman" w:hAnsi="Times New Roman" w:cs="Times New Roman"/>
                <w:i/>
                <w:iCs/>
                <w:color w:val="auto"/>
                <w:spacing w:val="-4"/>
                <w:sz w:val="26"/>
                <w:szCs w:val="26"/>
                <w:lang w:val="en-US" w:eastAsia="en-US"/>
              </w:rPr>
            </w:pPr>
            <w:r w:rsidRPr="00CF369D">
              <w:rPr>
                <w:rFonts w:ascii="Times New Roman" w:hAnsi="Times New Roman" w:cs="Times New Roman"/>
                <w:noProof/>
                <w:color w:val="auto"/>
                <w:spacing w:val="-4"/>
                <w:sz w:val="26"/>
                <w:szCs w:val="26"/>
                <w:lang w:val="en-US" w:eastAsia="en-US"/>
              </w:rPr>
              <mc:AlternateContent>
                <mc:Choice Requires="wps">
                  <w:drawing>
                    <wp:anchor distT="4294967295" distB="4294967295" distL="114300" distR="114300" simplePos="0" relativeHeight="251659264" behindDoc="0" locked="0" layoutInCell="1" allowOverlap="1" wp14:anchorId="69AB32B7" wp14:editId="7751DC9C">
                      <wp:simplePos x="0" y="0"/>
                      <wp:positionH relativeFrom="column">
                        <wp:posOffset>557901</wp:posOffset>
                      </wp:positionH>
                      <wp:positionV relativeFrom="paragraph">
                        <wp:posOffset>23495</wp:posOffset>
                      </wp:positionV>
                      <wp:extent cx="19469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BB9A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5pt,1.85pt" to="197.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"/>
                  </w:pict>
                </mc:Fallback>
              </mc:AlternateContent>
            </w:r>
            <w:r w:rsidR="004D55B8" w:rsidRPr="00CF369D">
              <w:rPr>
                <w:rFonts w:ascii="Times New Roman" w:hAnsi="Times New Roman" w:cs="Times New Roman"/>
                <w:i/>
                <w:iCs/>
                <w:color w:val="auto"/>
                <w:spacing w:val="-4"/>
                <w:sz w:val="26"/>
                <w:szCs w:val="26"/>
                <w:lang w:val="en-ID" w:eastAsia="en-US"/>
              </w:rPr>
              <w:t>Hải Phòng</w:t>
            </w:r>
            <w:r w:rsidRPr="00CF369D">
              <w:rPr>
                <w:rFonts w:ascii="Times New Roman" w:hAnsi="Times New Roman" w:cs="Times New Roman"/>
                <w:i/>
                <w:iCs/>
                <w:color w:val="auto"/>
                <w:spacing w:val="-4"/>
                <w:sz w:val="26"/>
                <w:szCs w:val="26"/>
                <w:lang w:val="en-ID" w:eastAsia="en-US"/>
              </w:rPr>
              <w:t xml:space="preserve">, ngày       tháng </w:t>
            </w:r>
            <w:r w:rsidR="004D55B8" w:rsidRPr="00CF369D">
              <w:rPr>
                <w:rFonts w:ascii="Times New Roman" w:hAnsi="Times New Roman" w:cs="Times New Roman"/>
                <w:i/>
                <w:iCs/>
                <w:color w:val="auto"/>
                <w:spacing w:val="-4"/>
                <w:sz w:val="26"/>
                <w:szCs w:val="26"/>
                <w:lang w:val="en-ID" w:eastAsia="en-US"/>
              </w:rPr>
              <w:t xml:space="preserve">  </w:t>
            </w:r>
            <w:r w:rsidR="00CF369D">
              <w:rPr>
                <w:rFonts w:ascii="Times New Roman" w:hAnsi="Times New Roman" w:cs="Times New Roman"/>
                <w:i/>
                <w:iCs/>
                <w:color w:val="auto"/>
                <w:spacing w:val="-4"/>
                <w:sz w:val="26"/>
                <w:szCs w:val="26"/>
                <w:lang w:val="en-ID" w:eastAsia="en-US"/>
              </w:rPr>
              <w:t xml:space="preserve">  </w:t>
            </w:r>
            <w:r w:rsidRPr="00CF369D">
              <w:rPr>
                <w:rFonts w:ascii="Times New Roman" w:hAnsi="Times New Roman" w:cs="Times New Roman"/>
                <w:i/>
                <w:iCs/>
                <w:color w:val="auto"/>
                <w:spacing w:val="-4"/>
                <w:sz w:val="26"/>
                <w:szCs w:val="26"/>
                <w:lang w:val="en-ID" w:eastAsia="en-US"/>
              </w:rPr>
              <w:t xml:space="preserve"> năm 2025</w:t>
            </w:r>
          </w:p>
        </w:tc>
      </w:tr>
    </w:tbl>
    <w:p w14:paraId="0B7936BA" w14:textId="77777777" w:rsidR="00ED7C09" w:rsidRDefault="004D55B8" w:rsidP="00DE1C30">
      <w:pPr>
        <w:jc w:val="center"/>
        <w:rPr>
          <w:rFonts w:ascii="Times New Roman" w:hAnsi="Times New Roman" w:cs="Times New Roman"/>
          <w:b/>
          <w:bCs/>
          <w:color w:val="auto"/>
          <w:spacing w:val="-10"/>
          <w:sz w:val="28"/>
          <w:szCs w:val="28"/>
          <w:lang w:val="en-US"/>
        </w:rPr>
      </w:pPr>
      <w:r w:rsidRPr="00095F50">
        <w:rPr>
          <w:rFonts w:ascii="Times New Roman" w:hAnsi="Times New Roman" w:cs="Times New Roman"/>
          <w:b/>
          <w:bCs/>
          <w:color w:val="auto"/>
          <w:spacing w:val="-10"/>
          <w:sz w:val="28"/>
          <w:szCs w:val="28"/>
          <w:lang w:val="en-US"/>
        </w:rPr>
        <w:t>Bản đánh giá thủ tục hành chính, việc phân quyền, phân cấp,</w:t>
      </w:r>
    </w:p>
    <w:p w14:paraId="0C240527" w14:textId="77777777" w:rsidR="003C4F25" w:rsidRDefault="004D55B8" w:rsidP="00DE1C30">
      <w:pPr>
        <w:jc w:val="center"/>
        <w:rPr>
          <w:rFonts w:ascii="Times New Roman" w:hAnsi="Times New Roman" w:cs="Times New Roman"/>
          <w:b/>
          <w:bCs/>
          <w:color w:val="auto"/>
          <w:spacing w:val="-10"/>
          <w:sz w:val="28"/>
          <w:szCs w:val="28"/>
          <w:lang w:val="en-US"/>
        </w:rPr>
      </w:pPr>
      <w:r w:rsidRPr="00095F50">
        <w:rPr>
          <w:rFonts w:ascii="Times New Roman" w:hAnsi="Times New Roman" w:cs="Times New Roman"/>
          <w:b/>
          <w:bCs/>
          <w:color w:val="auto"/>
          <w:spacing w:val="-10"/>
          <w:sz w:val="28"/>
          <w:szCs w:val="28"/>
          <w:lang w:val="en-US"/>
        </w:rPr>
        <w:t>việc ứng dụng,</w:t>
      </w:r>
      <w:r w:rsidR="00ED7C09">
        <w:rPr>
          <w:rFonts w:ascii="Times New Roman" w:hAnsi="Times New Roman" w:cs="Times New Roman"/>
          <w:b/>
          <w:bCs/>
          <w:color w:val="auto"/>
          <w:spacing w:val="-10"/>
          <w:sz w:val="28"/>
          <w:szCs w:val="28"/>
          <w:lang w:val="en-US"/>
        </w:rPr>
        <w:t xml:space="preserve"> </w:t>
      </w:r>
      <w:r w:rsidRPr="00095F50">
        <w:rPr>
          <w:rFonts w:ascii="Times New Roman" w:hAnsi="Times New Roman" w:cs="Times New Roman"/>
          <w:b/>
          <w:bCs/>
          <w:color w:val="auto"/>
          <w:spacing w:val="-10"/>
          <w:sz w:val="28"/>
          <w:szCs w:val="28"/>
          <w:lang w:val="en-US"/>
        </w:rPr>
        <w:t>thúc đẩy phát triển khoa học, công nghệ, đổi mới sáng tạo và chuyển đổi số,</w:t>
      </w:r>
      <w:r w:rsidR="00ED7C09">
        <w:rPr>
          <w:rFonts w:ascii="Times New Roman" w:hAnsi="Times New Roman" w:cs="Times New Roman"/>
          <w:b/>
          <w:bCs/>
          <w:color w:val="auto"/>
          <w:spacing w:val="-10"/>
          <w:sz w:val="28"/>
          <w:szCs w:val="28"/>
          <w:lang w:val="en-US"/>
        </w:rPr>
        <w:t xml:space="preserve"> </w:t>
      </w:r>
      <w:r w:rsidRPr="00095F50">
        <w:rPr>
          <w:rFonts w:ascii="Times New Roman" w:hAnsi="Times New Roman" w:cs="Times New Roman"/>
          <w:b/>
          <w:bCs/>
          <w:color w:val="auto"/>
          <w:spacing w:val="-10"/>
          <w:sz w:val="28"/>
          <w:szCs w:val="28"/>
          <w:lang w:val="en-US"/>
        </w:rPr>
        <w:t xml:space="preserve">bảo đảm bình đẳng giới, việc thực hiện chính sách dân tộc </w:t>
      </w:r>
      <w:r w:rsidR="00096D54">
        <w:rPr>
          <w:rFonts w:ascii="Times New Roman" w:hAnsi="Times New Roman" w:cs="Times New Roman"/>
          <w:b/>
          <w:bCs/>
          <w:color w:val="auto"/>
          <w:spacing w:val="-10"/>
          <w:sz w:val="28"/>
          <w:szCs w:val="28"/>
          <w:lang w:val="en-US"/>
        </w:rPr>
        <w:t xml:space="preserve"> trong</w:t>
      </w:r>
    </w:p>
    <w:p w14:paraId="569C6C5F" w14:textId="77777777" w:rsidR="003C4F25" w:rsidRDefault="004D55B8" w:rsidP="00DE1C30">
      <w:pPr>
        <w:jc w:val="center"/>
        <w:rPr>
          <w:rFonts w:ascii="Times New Roman" w:hAnsi="Times New Roman" w:cs="Times New Roman"/>
          <w:b/>
          <w:bCs/>
          <w:color w:val="auto"/>
          <w:spacing w:val="-10"/>
          <w:sz w:val="28"/>
          <w:szCs w:val="28"/>
          <w:lang w:val="en-US"/>
        </w:rPr>
      </w:pPr>
      <w:r w:rsidRPr="00095F50">
        <w:rPr>
          <w:rFonts w:ascii="Times New Roman" w:hAnsi="Times New Roman" w:cs="Times New Roman"/>
          <w:b/>
          <w:bCs/>
          <w:color w:val="auto"/>
          <w:spacing w:val="-10"/>
          <w:sz w:val="28"/>
          <w:szCs w:val="28"/>
          <w:lang w:val="en-US"/>
        </w:rPr>
        <w:t>dự thảo định mức</w:t>
      </w:r>
      <w:r w:rsidR="00ED7C09">
        <w:rPr>
          <w:rFonts w:ascii="Times New Roman" w:hAnsi="Times New Roman" w:cs="Times New Roman"/>
          <w:b/>
          <w:bCs/>
          <w:color w:val="auto"/>
          <w:spacing w:val="-10"/>
          <w:sz w:val="28"/>
          <w:szCs w:val="28"/>
          <w:lang w:val="en-US"/>
        </w:rPr>
        <w:t xml:space="preserve"> </w:t>
      </w:r>
      <w:r w:rsidRPr="00095F50">
        <w:rPr>
          <w:rFonts w:ascii="Times New Roman" w:hAnsi="Times New Roman" w:cs="Times New Roman"/>
          <w:b/>
          <w:bCs/>
          <w:color w:val="auto"/>
          <w:spacing w:val="-10"/>
          <w:sz w:val="28"/>
          <w:szCs w:val="28"/>
          <w:lang w:val="en-US"/>
        </w:rPr>
        <w:t xml:space="preserve">kinh tế - kỹ thuật </w:t>
      </w:r>
      <w:r w:rsidR="00161FA0" w:rsidRPr="00161FA0">
        <w:rPr>
          <w:rFonts w:ascii="Times New Roman" w:hAnsi="Times New Roman" w:cs="Times New Roman"/>
          <w:b/>
          <w:bCs/>
          <w:color w:val="auto"/>
          <w:spacing w:val="-10"/>
          <w:sz w:val="28"/>
          <w:szCs w:val="28"/>
          <w:lang w:val="en-US"/>
        </w:rPr>
        <w:t>thống kê, kiểm kê đất đai và lập bản đồ</w:t>
      </w:r>
    </w:p>
    <w:p w14:paraId="302BD18B" w14:textId="49F6550C" w:rsidR="00AD4400" w:rsidRDefault="00161FA0" w:rsidP="00DE1C30">
      <w:pPr>
        <w:jc w:val="center"/>
        <w:rPr>
          <w:rFonts w:ascii="Times New Roman" w:hAnsi="Times New Roman" w:cs="Times New Roman"/>
          <w:b/>
          <w:bCs/>
          <w:color w:val="auto"/>
          <w:spacing w:val="-10"/>
          <w:sz w:val="28"/>
          <w:szCs w:val="28"/>
          <w:lang w:val="en-US"/>
        </w:rPr>
      </w:pPr>
      <w:r w:rsidRPr="00161FA0">
        <w:rPr>
          <w:rFonts w:ascii="Times New Roman" w:hAnsi="Times New Roman" w:cs="Times New Roman"/>
          <w:b/>
          <w:bCs/>
          <w:color w:val="auto"/>
          <w:spacing w:val="-10"/>
          <w:sz w:val="28"/>
          <w:szCs w:val="28"/>
          <w:lang w:val="en-US"/>
        </w:rPr>
        <w:t>hiện trạng sử dụng đất trên địa bàn thành phố Hải Phòng</w:t>
      </w:r>
    </w:p>
    <w:p w14:paraId="6478F546" w14:textId="134187B7" w:rsidR="00CF369D" w:rsidRPr="00095F50" w:rsidRDefault="00CF369D" w:rsidP="00DE1C30">
      <w:pPr>
        <w:jc w:val="center"/>
        <w:rPr>
          <w:rFonts w:ascii="Times New Roman" w:hAnsi="Times New Roman" w:cs="Times New Roman"/>
          <w:b/>
          <w:bCs/>
          <w:color w:val="auto"/>
          <w:spacing w:val="-10"/>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2336" behindDoc="0" locked="0" layoutInCell="1" allowOverlap="1" wp14:anchorId="62514F22" wp14:editId="24BD5093">
                <wp:simplePos x="0" y="0"/>
                <wp:positionH relativeFrom="column">
                  <wp:posOffset>1712607</wp:posOffset>
                </wp:positionH>
                <wp:positionV relativeFrom="paragraph">
                  <wp:posOffset>55916</wp:posOffset>
                </wp:positionV>
                <wp:extent cx="225109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510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6AE6C2"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85pt,4.4pt" to="312.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" strokecolor="black [3200]" strokeweight=".5pt">
                <v:stroke joinstyle="miter"/>
              </v:line>
            </w:pict>
          </mc:Fallback>
        </mc:AlternateContent>
      </w:r>
    </w:p>
    <w:p w14:paraId="2E52F4E7" w14:textId="577738BE" w:rsidR="006A30F5" w:rsidRPr="00573849" w:rsidRDefault="006A30F5" w:rsidP="00811DD1">
      <w:pPr>
        <w:spacing w:before="120" w:after="120" w:line="320" w:lineRule="exact"/>
        <w:ind w:firstLine="720"/>
        <w:jc w:val="both"/>
        <w:rPr>
          <w:rFonts w:ascii="Times New Roman" w:hAnsi="Times New Roman" w:cs="Times New Roman"/>
          <w:color w:val="auto"/>
          <w:sz w:val="28"/>
          <w:szCs w:val="28"/>
        </w:rPr>
      </w:pPr>
      <w:r w:rsidRPr="00573849">
        <w:rPr>
          <w:rFonts w:ascii="Times New Roman" w:hAnsi="Times New Roman" w:cs="Times New Roman"/>
          <w:color w:val="auto"/>
          <w:sz w:val="28"/>
          <w:szCs w:val="28"/>
        </w:rPr>
        <w:t>Thực hiện quy định của Luật Ban hành văn bản quy phạm pháp luật,</w:t>
      </w:r>
      <w:r w:rsidRPr="00573849">
        <w:rPr>
          <w:rFonts w:ascii="Times New Roman" w:hAnsi="Times New Roman" w:cs="Times New Roman"/>
          <w:color w:val="auto"/>
          <w:sz w:val="28"/>
          <w:szCs w:val="28"/>
          <w:lang w:val="en-US"/>
        </w:rPr>
        <w:t xml:space="preserve"> Sở Nông nghiệp và Môi trường </w:t>
      </w:r>
      <w:r w:rsidR="004D55B8" w:rsidRPr="00573849">
        <w:rPr>
          <w:rFonts w:ascii="Times New Roman" w:hAnsi="Times New Roman" w:cs="Times New Roman"/>
          <w:color w:val="auto"/>
          <w:sz w:val="28"/>
          <w:szCs w:val="28"/>
          <w:lang w:val="en-US"/>
        </w:rPr>
        <w:t>thành phố Hải Phòng</w:t>
      </w:r>
      <w:r w:rsidRPr="00573849">
        <w:rPr>
          <w:rFonts w:ascii="Times New Roman" w:hAnsi="Times New Roman" w:cs="Times New Roman"/>
          <w:color w:val="auto"/>
          <w:sz w:val="28"/>
          <w:szCs w:val="28"/>
          <w:lang w:val="en-US"/>
        </w:rPr>
        <w:t xml:space="preserve"> </w:t>
      </w:r>
      <w:r w:rsidR="00C46261" w:rsidRPr="00573849">
        <w:rPr>
          <w:rFonts w:ascii="Times New Roman" w:hAnsi="Times New Roman" w:cs="Times New Roman"/>
          <w:color w:val="auto"/>
          <w:sz w:val="28"/>
          <w:szCs w:val="28"/>
        </w:rPr>
        <w:t xml:space="preserve">đã tiến hành </w:t>
      </w:r>
      <w:r w:rsidR="004D55B8" w:rsidRPr="00573849">
        <w:rPr>
          <w:rFonts w:ascii="Times New Roman" w:hAnsi="Times New Roman" w:cs="Times New Roman"/>
          <w:color w:val="auto"/>
          <w:sz w:val="28"/>
          <w:szCs w:val="28"/>
        </w:rPr>
        <w:t>đánh giá thủ tục hành chính, việc phân quyền, phân cấp, việc ứng dụng, thúc đẩy phát triển khoa học, công nghệ, đổi mới sáng tạo và chuyển đổi số, bảo đảm bình đẳng giới, việc thực hiện chính sách dân tộc</w:t>
      </w:r>
      <w:r w:rsidR="003C4F25">
        <w:rPr>
          <w:rFonts w:ascii="Times New Roman" w:hAnsi="Times New Roman" w:cs="Times New Roman"/>
          <w:color w:val="auto"/>
          <w:sz w:val="28"/>
          <w:szCs w:val="28"/>
          <w:lang w:val="en-US"/>
        </w:rPr>
        <w:t xml:space="preserve"> trong</w:t>
      </w:r>
      <w:r w:rsidR="004D55B8" w:rsidRPr="00573849">
        <w:rPr>
          <w:rFonts w:ascii="Times New Roman" w:hAnsi="Times New Roman" w:cs="Times New Roman"/>
          <w:color w:val="auto"/>
          <w:sz w:val="28"/>
          <w:szCs w:val="28"/>
        </w:rPr>
        <w:t xml:space="preserve"> dự thảo định mức kinh tế - kỹ thuật </w:t>
      </w:r>
      <w:r w:rsidR="00F83EDF" w:rsidRPr="00F83EDF">
        <w:rPr>
          <w:rFonts w:ascii="Times New Roman" w:hAnsi="Times New Roman" w:cs="Times New Roman"/>
          <w:color w:val="auto"/>
          <w:sz w:val="28"/>
          <w:szCs w:val="28"/>
        </w:rPr>
        <w:t>thống kê, kiểm kê đất đai và lập bản đồ hiện trạng sử dụng đất trên địa bàn thành phố Hải Phòng</w:t>
      </w:r>
      <w:r w:rsidRPr="00573849">
        <w:rPr>
          <w:rFonts w:ascii="Times New Roman" w:hAnsi="Times New Roman" w:cs="Times New Roman"/>
          <w:color w:val="auto"/>
          <w:sz w:val="28"/>
          <w:szCs w:val="28"/>
          <w:lang w:val="en-US"/>
        </w:rPr>
        <w:t xml:space="preserve">. </w:t>
      </w:r>
      <w:r w:rsidRPr="00573849">
        <w:rPr>
          <w:rFonts w:ascii="Times New Roman" w:hAnsi="Times New Roman" w:cs="Times New Roman"/>
          <w:color w:val="auto"/>
          <w:sz w:val="28"/>
          <w:szCs w:val="28"/>
        </w:rPr>
        <w:t>Kết quả như sau:</w:t>
      </w:r>
    </w:p>
    <w:p w14:paraId="3F8A1610" w14:textId="5C82A078" w:rsidR="006A30F5" w:rsidRPr="00573849" w:rsidRDefault="006A30F5" w:rsidP="00811DD1">
      <w:pPr>
        <w:spacing w:before="120" w:after="120" w:line="320" w:lineRule="exact"/>
        <w:ind w:firstLine="720"/>
        <w:jc w:val="both"/>
        <w:rPr>
          <w:rFonts w:ascii="Times New Roman" w:hAnsi="Times New Roman" w:cs="Times New Roman"/>
          <w:b/>
          <w:bCs/>
          <w:color w:val="auto"/>
          <w:sz w:val="28"/>
          <w:szCs w:val="28"/>
          <w:lang w:val="en-US"/>
        </w:rPr>
      </w:pPr>
      <w:r w:rsidRPr="00573849">
        <w:rPr>
          <w:rFonts w:ascii="Times New Roman" w:hAnsi="Times New Roman" w:cs="Times New Roman"/>
          <w:b/>
          <w:bCs/>
          <w:color w:val="auto"/>
          <w:sz w:val="28"/>
          <w:szCs w:val="28"/>
        </w:rPr>
        <w:t xml:space="preserve">I. TỔ CHỨC THỰC HIỆN </w:t>
      </w:r>
      <w:r w:rsidR="004D55B8" w:rsidRPr="00573849">
        <w:rPr>
          <w:rFonts w:ascii="Times New Roman" w:hAnsi="Times New Roman" w:cs="Times New Roman"/>
          <w:b/>
          <w:bCs/>
          <w:color w:val="auto"/>
          <w:sz w:val="28"/>
          <w:szCs w:val="28"/>
          <w:lang w:val="en-US"/>
        </w:rPr>
        <w:t>ĐÁNH GIÁ</w:t>
      </w:r>
    </w:p>
    <w:p w14:paraId="254FD19B" w14:textId="77777777" w:rsidR="004D55B8" w:rsidRPr="00573849" w:rsidRDefault="004D55B8" w:rsidP="00811DD1">
      <w:pPr>
        <w:spacing w:before="120" w:after="120" w:line="320" w:lineRule="exact"/>
        <w:ind w:firstLine="720"/>
        <w:jc w:val="both"/>
        <w:rPr>
          <w:rFonts w:ascii="Times New Roman" w:hAnsi="Times New Roman" w:cs="Times New Roman"/>
          <w:b/>
          <w:i/>
          <w:color w:val="auto"/>
          <w:sz w:val="28"/>
          <w:szCs w:val="28"/>
          <w:lang w:val="en-US"/>
        </w:rPr>
      </w:pPr>
      <w:r w:rsidRPr="00573849">
        <w:rPr>
          <w:rFonts w:ascii="Times New Roman" w:hAnsi="Times New Roman" w:cs="Times New Roman"/>
          <w:b/>
          <w:i/>
          <w:color w:val="auto"/>
          <w:sz w:val="28"/>
          <w:szCs w:val="28"/>
        </w:rPr>
        <w:t>1. Bối cảnh xây dựng dự án, dự thảo văn bản quy phạm pháp luật</w:t>
      </w:r>
    </w:p>
    <w:p w14:paraId="2714328D" w14:textId="350BEB54" w:rsidR="004D55B8" w:rsidRPr="00573849" w:rsidRDefault="004D55B8" w:rsidP="00811DD1">
      <w:pPr>
        <w:spacing w:before="120" w:after="120" w:line="320" w:lineRule="exact"/>
        <w:ind w:firstLine="720"/>
        <w:jc w:val="both"/>
        <w:rPr>
          <w:rFonts w:ascii="Times New Roman" w:hAnsi="Times New Roman" w:cs="Times New Roman"/>
          <w:color w:val="auto"/>
          <w:sz w:val="28"/>
          <w:szCs w:val="28"/>
        </w:rPr>
      </w:pPr>
      <w:r w:rsidRPr="00573849">
        <w:rPr>
          <w:rFonts w:ascii="Times New Roman" w:hAnsi="Times New Roman" w:cs="Times New Roman"/>
          <w:color w:val="auto"/>
          <w:sz w:val="28"/>
          <w:szCs w:val="28"/>
        </w:rPr>
        <w:t>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14:paraId="4CE40CEF" w14:textId="77777777" w:rsidR="004D55B8" w:rsidRPr="00573849" w:rsidRDefault="004D55B8" w:rsidP="00811DD1">
      <w:pPr>
        <w:spacing w:before="120" w:after="120" w:line="320" w:lineRule="exact"/>
        <w:ind w:firstLine="720"/>
        <w:jc w:val="both"/>
        <w:rPr>
          <w:rFonts w:ascii="Times New Roman" w:hAnsi="Times New Roman" w:cs="Times New Roman"/>
          <w:color w:val="auto"/>
          <w:sz w:val="28"/>
          <w:szCs w:val="28"/>
        </w:rPr>
      </w:pPr>
      <w:r w:rsidRPr="00573849">
        <w:rPr>
          <w:rFonts w:ascii="Times New Roman" w:hAnsi="Times New Roman" w:cs="Times New Roman"/>
          <w:color w:val="auto"/>
          <w:sz w:val="28"/>
          <w:szCs w:val="28"/>
        </w:rPr>
        <w:t>Nghị định số 32/2019/NĐ-CP ngày 10 tháng 4 năm 2019 của Thủ tướng Chính phủ Quy định giao nhiệm vụ, đặt hàng hoặc đấu thầu cung cấp sản phẩm, dịch vụ công sử dụng ngân sách nhà nước từ nguồn kinh phí chi thường xuyên;</w:t>
      </w:r>
    </w:p>
    <w:p w14:paraId="63D11220" w14:textId="77777777" w:rsidR="004D55B8" w:rsidRPr="00573849" w:rsidRDefault="004D55B8" w:rsidP="00811DD1">
      <w:pPr>
        <w:spacing w:before="120" w:after="120" w:line="320" w:lineRule="exact"/>
        <w:ind w:firstLine="720"/>
        <w:jc w:val="both"/>
        <w:rPr>
          <w:rFonts w:ascii="Times New Roman" w:hAnsi="Times New Roman" w:cs="Times New Roman"/>
          <w:i/>
          <w:color w:val="auto"/>
          <w:sz w:val="28"/>
          <w:szCs w:val="28"/>
        </w:rPr>
      </w:pPr>
      <w:r w:rsidRPr="00573849">
        <w:rPr>
          <w:rFonts w:ascii="Times New Roman" w:hAnsi="Times New Roman" w:cs="Times New Roman"/>
          <w:i/>
          <w:color w:val="auto"/>
          <w:sz w:val="28"/>
          <w:szCs w:val="28"/>
        </w:rPr>
        <w:t>Tại khoản 2 Điều 26 Nghị định số 32/2019/NĐ-CP quy định</w:t>
      </w:r>
    </w:p>
    <w:p w14:paraId="66B145A4" w14:textId="77777777" w:rsidR="004D55B8" w:rsidRPr="00573849" w:rsidRDefault="004D55B8" w:rsidP="00811DD1">
      <w:pPr>
        <w:spacing w:before="120" w:after="120" w:line="320" w:lineRule="exact"/>
        <w:ind w:firstLine="720"/>
        <w:jc w:val="both"/>
        <w:rPr>
          <w:rFonts w:ascii="Times New Roman" w:hAnsi="Times New Roman" w:cs="Times New Roman"/>
          <w:i/>
          <w:color w:val="auto"/>
          <w:sz w:val="28"/>
          <w:szCs w:val="28"/>
        </w:rPr>
      </w:pPr>
      <w:r w:rsidRPr="00573849">
        <w:rPr>
          <w:rFonts w:ascii="Times New Roman" w:hAnsi="Times New Roman" w:cs="Times New Roman"/>
          <w:i/>
          <w:color w:val="auto"/>
          <w:sz w:val="28"/>
          <w:szCs w:val="28"/>
        </w:rPr>
        <w:t>“2. Trách nhiệm của Ủy ban nhân dân cấp tỉnh</w:t>
      </w:r>
    </w:p>
    <w:p w14:paraId="39C9939F" w14:textId="77777777" w:rsidR="004D55B8" w:rsidRPr="00573849" w:rsidRDefault="004D55B8" w:rsidP="00811DD1">
      <w:pPr>
        <w:spacing w:before="120" w:after="120" w:line="320" w:lineRule="exact"/>
        <w:ind w:firstLine="720"/>
        <w:jc w:val="both"/>
        <w:rPr>
          <w:rFonts w:ascii="Times New Roman" w:hAnsi="Times New Roman" w:cs="Times New Roman"/>
          <w:i/>
          <w:color w:val="auto"/>
          <w:sz w:val="28"/>
          <w:szCs w:val="28"/>
        </w:rPr>
      </w:pPr>
      <w:r w:rsidRPr="00573849">
        <w:rPr>
          <w:rFonts w:ascii="Times New Roman" w:hAnsi="Times New Roman" w:cs="Times New Roman"/>
          <w:i/>
          <w:color w:val="auto"/>
          <w:sz w:val="28"/>
          <w:szCs w:val="28"/>
        </w:rPr>
        <w:t>a) Ban hành, sửa đổi, bổ sung danh mục dịch vụ sự nghiệp công sử dụng kinh phí ngân sách nhà nước; danh mục sản phẩm, dịch vụ công ích, thuộc phạm vi quản lý của địa phương theo quy định tại Điều 5 Nghị định này cho phù hợp với tình hình thực tế trong từng thời kỳ;</w:t>
      </w:r>
    </w:p>
    <w:p w14:paraId="05311BF3" w14:textId="77777777" w:rsidR="004D55B8" w:rsidRPr="00573849" w:rsidRDefault="004D55B8" w:rsidP="00811DD1">
      <w:pPr>
        <w:spacing w:before="120" w:after="120" w:line="320" w:lineRule="exact"/>
        <w:ind w:firstLine="720"/>
        <w:jc w:val="both"/>
        <w:rPr>
          <w:rFonts w:ascii="Times New Roman" w:hAnsi="Times New Roman" w:cs="Times New Roman"/>
          <w:i/>
          <w:color w:val="auto"/>
          <w:sz w:val="28"/>
          <w:szCs w:val="28"/>
        </w:rPr>
      </w:pPr>
      <w:r w:rsidRPr="00573849">
        <w:rPr>
          <w:rFonts w:ascii="Times New Roman" w:hAnsi="Times New Roman" w:cs="Times New Roman"/>
          <w:i/>
          <w:color w:val="auto"/>
          <w:sz w:val="28"/>
          <w:szCs w:val="28"/>
        </w:rPr>
        <w:t>b)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14:paraId="4809DCF1" w14:textId="77777777" w:rsidR="004D55B8" w:rsidRPr="00573849" w:rsidRDefault="004D55B8" w:rsidP="00811DD1">
      <w:pPr>
        <w:spacing w:before="120" w:after="120" w:line="320" w:lineRule="exact"/>
        <w:ind w:firstLine="720"/>
        <w:jc w:val="both"/>
        <w:rPr>
          <w:rFonts w:ascii="Times New Roman" w:hAnsi="Times New Roman" w:cs="Times New Roman"/>
          <w:i/>
          <w:color w:val="auto"/>
          <w:sz w:val="28"/>
          <w:szCs w:val="28"/>
        </w:rPr>
      </w:pPr>
      <w:r w:rsidRPr="00573849">
        <w:rPr>
          <w:rFonts w:ascii="Times New Roman" w:hAnsi="Times New Roman" w:cs="Times New Roman"/>
          <w:i/>
          <w:color w:val="auto"/>
          <w:sz w:val="28"/>
          <w:szCs w:val="28"/>
        </w:rPr>
        <w:t>c) Ban hành đơn giá, giá sản phẩm, dịch vụ công; mức trợ giá sản phẩm, dịch vụ công ích, thuộc phạm vi quản lý của địa phương theo quy định của pháp luật về giá và quy định của các pháp luật khác có liên quan.”</w:t>
      </w:r>
    </w:p>
    <w:p w14:paraId="3D6DF513" w14:textId="77777777" w:rsidR="004D55B8" w:rsidRPr="00573849" w:rsidRDefault="004D55B8"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hAnsi="Times New Roman" w:cs="Times New Roman"/>
          <w:color w:val="auto"/>
          <w:sz w:val="28"/>
          <w:szCs w:val="28"/>
        </w:rPr>
        <w:t xml:space="preserve">Công văn số 6647/BTNMT-QHPTTNĐ ngày 20/9/2024 gửi Ủy ban Nhân </w:t>
      </w:r>
      <w:r w:rsidRPr="00573849">
        <w:rPr>
          <w:rFonts w:ascii="Times New Roman" w:hAnsi="Times New Roman" w:cs="Times New Roman"/>
          <w:color w:val="auto"/>
          <w:sz w:val="28"/>
          <w:szCs w:val="28"/>
        </w:rPr>
        <w:lastRenderedPageBreak/>
        <w:t>dân các tỉnh, thành phố trực thuộc Trung ương đề nghị ban hành Định mức kinh tế - kỹ thuật thuộc phạm vi quản lý đất đai tại địa phương</w:t>
      </w:r>
      <w:r w:rsidRPr="00573849">
        <w:rPr>
          <w:rFonts w:ascii="Times New Roman" w:hAnsi="Times New Roman" w:cs="Times New Roman"/>
          <w:color w:val="auto"/>
          <w:sz w:val="28"/>
          <w:szCs w:val="28"/>
          <w:lang w:val="en-US"/>
        </w:rPr>
        <w:t>:</w:t>
      </w:r>
    </w:p>
    <w:p w14:paraId="3E5FA67B" w14:textId="77777777" w:rsidR="004D55B8" w:rsidRPr="00573849" w:rsidRDefault="004D55B8" w:rsidP="00811DD1">
      <w:pPr>
        <w:spacing w:before="120" w:after="120" w:line="320" w:lineRule="exact"/>
        <w:ind w:firstLine="720"/>
        <w:jc w:val="both"/>
        <w:rPr>
          <w:rFonts w:ascii="Times New Roman" w:hAnsi="Times New Roman" w:cs="Times New Roman"/>
          <w:i/>
          <w:color w:val="auto"/>
          <w:sz w:val="28"/>
          <w:szCs w:val="28"/>
          <w:lang w:val="en-US"/>
        </w:rPr>
      </w:pPr>
      <w:r w:rsidRPr="00573849">
        <w:rPr>
          <w:rFonts w:ascii="Times New Roman" w:hAnsi="Times New Roman" w:cs="Times New Roman"/>
          <w:color w:val="auto"/>
          <w:sz w:val="28"/>
          <w:szCs w:val="28"/>
          <w:lang w:val="en-US"/>
        </w:rPr>
        <w:t>“</w:t>
      </w:r>
      <w:r w:rsidRPr="00573849">
        <w:rPr>
          <w:rFonts w:ascii="Times New Roman" w:hAnsi="Times New Roman" w:cs="Times New Roman"/>
          <w:i/>
          <w:color w:val="auto"/>
          <w:sz w:val="28"/>
          <w:szCs w:val="28"/>
        </w:rPr>
        <w:t>Khẩn trương tham mưu ban hành định mức kinh tế - kỹ thuật, định mức chi phí (nếu có), đơn giá sản phẩm về lĩnh vực đất đai để áp dụng trên địa bàn. Việc xây dựng định mức kinh tế - kỹ thuật, định mức chi phí (nếu có), đơn giá sản phẩm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và chỉ đạo của Thủ tướng Chính phủ tại Công văn số 9652/VPCP-KTTH ngày 18 tháng 11 năm 2020 của Văn phòng Chính phủ về việc triển khai thực hiện Nghị định số 32/2019/NĐ-CP; hướng dẫn của Bộ Tài chính tại Công văn số 13257/BTC-HCSN ngày 22 tháng 11 năm 2021 về việc hướng dẫn thực hiện Nghị định số 32/2019/NĐ-CP của Chính phủ  (trong đó thẩm quyền ban hành văn bản theo quy định tại khoản 2 Điều 26 Nghị định số 32/2019/NĐ-CP).</w:t>
      </w:r>
      <w:r w:rsidRPr="00573849">
        <w:rPr>
          <w:rFonts w:ascii="Times New Roman" w:hAnsi="Times New Roman" w:cs="Times New Roman"/>
          <w:i/>
          <w:color w:val="auto"/>
          <w:sz w:val="28"/>
          <w:szCs w:val="28"/>
          <w:lang w:val="en-US"/>
        </w:rPr>
        <w:t>”</w:t>
      </w:r>
    </w:p>
    <w:p w14:paraId="76828895" w14:textId="4D771785" w:rsidR="004D55B8" w:rsidRPr="00573849" w:rsidRDefault="004F7663" w:rsidP="00811DD1">
      <w:pPr>
        <w:spacing w:before="120" w:after="120" w:line="320" w:lineRule="exact"/>
        <w:ind w:firstLine="720"/>
        <w:jc w:val="both"/>
        <w:rPr>
          <w:rFonts w:ascii="Times New Roman" w:hAnsi="Times New Roman" w:cs="Times New Roman"/>
          <w:b/>
          <w:i/>
          <w:color w:val="auto"/>
          <w:sz w:val="28"/>
          <w:szCs w:val="28"/>
        </w:rPr>
      </w:pPr>
      <w:r w:rsidRPr="00573849">
        <w:rPr>
          <w:rFonts w:ascii="Times New Roman" w:hAnsi="Times New Roman" w:cs="Times New Roman"/>
          <w:b/>
          <w:i/>
          <w:color w:val="auto"/>
          <w:sz w:val="28"/>
          <w:szCs w:val="28"/>
          <w:lang w:val="en-US"/>
        </w:rPr>
        <w:t>* Các v</w:t>
      </w:r>
      <w:r w:rsidR="004D55B8" w:rsidRPr="00573849">
        <w:rPr>
          <w:rFonts w:ascii="Times New Roman" w:hAnsi="Times New Roman" w:cs="Times New Roman"/>
          <w:b/>
          <w:i/>
          <w:color w:val="auto"/>
          <w:sz w:val="28"/>
          <w:szCs w:val="28"/>
        </w:rPr>
        <w:t>ăn bản quy phạm pháp luật có liên quan đến dự thảo</w:t>
      </w:r>
    </w:p>
    <w:p w14:paraId="08BEBC69" w14:textId="77777777" w:rsidR="004D55B8" w:rsidRPr="00573849" w:rsidRDefault="004D55B8"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hAnsi="Times New Roman" w:cs="Times New Roman"/>
          <w:color w:val="auto"/>
          <w:sz w:val="28"/>
          <w:szCs w:val="28"/>
        </w:rPr>
        <w:t>Nghị định số 78/2025/NĐ-CP ngày 01 tháng 04 năm 2025 của Thủ tướng Chính phủ Quy định chi tiết một số điều và biện pháp để tổ chức, hướng dẫn thi hành luật ban hành văn bản quy phạm pháp luật;</w:t>
      </w:r>
    </w:p>
    <w:p w14:paraId="184EBA6D" w14:textId="77777777" w:rsidR="004D55B8" w:rsidRPr="00573849" w:rsidRDefault="004D55B8"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hAnsi="Times New Roman" w:cs="Times New Roman"/>
          <w:color w:val="auto"/>
          <w:sz w:val="28"/>
          <w:szCs w:val="28"/>
        </w:rPr>
        <w:t>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r w:rsidRPr="00573849">
        <w:rPr>
          <w:rFonts w:ascii="Times New Roman" w:hAnsi="Times New Roman" w:cs="Times New Roman"/>
          <w:color w:val="auto"/>
          <w:sz w:val="28"/>
          <w:szCs w:val="28"/>
          <w:lang w:val="en-US"/>
        </w:rPr>
        <w:t>;</w:t>
      </w:r>
    </w:p>
    <w:p w14:paraId="6539BE7B" w14:textId="6276BF04" w:rsidR="00B61125" w:rsidRDefault="00B61125" w:rsidP="00811DD1">
      <w:pPr>
        <w:spacing w:before="120" w:after="120" w:line="320" w:lineRule="exact"/>
        <w:ind w:firstLine="720"/>
        <w:jc w:val="both"/>
        <w:rPr>
          <w:rFonts w:ascii="Times New Roman" w:hAnsi="Times New Roman" w:cs="Times New Roman"/>
          <w:color w:val="auto"/>
          <w:sz w:val="28"/>
          <w:szCs w:val="28"/>
          <w:lang w:val="en-US"/>
        </w:rPr>
      </w:pPr>
      <w:r w:rsidRPr="00B61125">
        <w:rPr>
          <w:rFonts w:ascii="Times New Roman" w:hAnsi="Times New Roman" w:cs="Times New Roman"/>
          <w:color w:val="auto"/>
          <w:sz w:val="28"/>
          <w:szCs w:val="28"/>
        </w:rPr>
        <w:t>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 được sửa đổi, bổ sung bởi Nghị định số 226/2025/NĐ-CP;</w:t>
      </w:r>
    </w:p>
    <w:p w14:paraId="35931A76" w14:textId="6A980662" w:rsidR="004D55B8" w:rsidRPr="00F63D28" w:rsidRDefault="004D55B8"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hAnsi="Times New Roman" w:cs="Times New Roman"/>
          <w:color w:val="auto"/>
          <w:sz w:val="28"/>
          <w:szCs w:val="28"/>
        </w:rPr>
        <w:t>Nghị định số 151/2025/NĐ-CP ngày 12 tháng 6 năm 2025 của Chính phủ quy định về phân định thẩm quyền của chính quyền địa phương 02 cấp, phân quyền, phân cấp trong lĩnh vực đất đai</w:t>
      </w:r>
      <w:r w:rsidR="00F63D28">
        <w:rPr>
          <w:rFonts w:ascii="Times New Roman" w:hAnsi="Times New Roman" w:cs="Times New Roman"/>
          <w:color w:val="auto"/>
          <w:sz w:val="28"/>
          <w:szCs w:val="28"/>
          <w:lang w:val="en-US"/>
        </w:rPr>
        <w:t>;</w:t>
      </w:r>
    </w:p>
    <w:p w14:paraId="1A7A360C" w14:textId="77777777" w:rsidR="009D4C05" w:rsidRPr="00F63D28" w:rsidRDefault="009D4C05"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hAnsi="Times New Roman" w:cs="Times New Roman"/>
          <w:color w:val="auto"/>
          <w:sz w:val="28"/>
          <w:szCs w:val="28"/>
        </w:rPr>
        <w:t>Thông tư liên tịch số 52/2015/TTLT-BTNMT-BNV ngày 08 tháng 12 năm 2015 của Bộ Tài nguyên và Môi trường và Bộ Nội vụ Quy định mã số và tiêu chuẩn chức danh nghề nghiệp viên chức chuyên ngành địa chính</w:t>
      </w:r>
      <w:r>
        <w:rPr>
          <w:rFonts w:ascii="Times New Roman" w:hAnsi="Times New Roman" w:cs="Times New Roman"/>
          <w:color w:val="auto"/>
          <w:sz w:val="28"/>
          <w:szCs w:val="28"/>
          <w:lang w:val="en-US"/>
        </w:rPr>
        <w:t>;</w:t>
      </w:r>
    </w:p>
    <w:p w14:paraId="0043884E" w14:textId="11541ADC" w:rsidR="004D55B8" w:rsidRDefault="004D55B8"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hAnsi="Times New Roman" w:cs="Times New Roman"/>
          <w:color w:val="auto"/>
          <w:sz w:val="28"/>
          <w:szCs w:val="28"/>
        </w:rPr>
        <w:t>Thông tư số 16/2021/TT-BTNMT ngày 27 tháng 9 năm 2021 của Bộ trưởng Bộ Tài nguyên và Môi trường Quy định xây dựng định mức kinh tế - kỹ thuật thuộc phạm vi quản lý nhà nước của Bộ Tài nguyên và Môi trường</w:t>
      </w:r>
      <w:r w:rsidR="00F63D28">
        <w:rPr>
          <w:rFonts w:ascii="Times New Roman" w:hAnsi="Times New Roman" w:cs="Times New Roman"/>
          <w:color w:val="auto"/>
          <w:sz w:val="28"/>
          <w:szCs w:val="28"/>
          <w:lang w:val="en-US"/>
        </w:rPr>
        <w:t>;</w:t>
      </w:r>
    </w:p>
    <w:p w14:paraId="4573253B" w14:textId="77777777" w:rsidR="009D4C05" w:rsidRPr="00F63D28" w:rsidRDefault="009D4C05"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hAnsi="Times New Roman" w:cs="Times New Roman"/>
          <w:color w:val="auto"/>
          <w:sz w:val="28"/>
          <w:szCs w:val="28"/>
        </w:rP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Pr>
          <w:rFonts w:ascii="Times New Roman" w:hAnsi="Times New Roman" w:cs="Times New Roman"/>
          <w:color w:val="auto"/>
          <w:sz w:val="28"/>
          <w:szCs w:val="28"/>
          <w:lang w:val="en-US"/>
        </w:rPr>
        <w:t>;</w:t>
      </w:r>
    </w:p>
    <w:p w14:paraId="5A72222C" w14:textId="6771A8EE" w:rsidR="00F63D28" w:rsidRDefault="00F63D28" w:rsidP="00811DD1">
      <w:pPr>
        <w:spacing w:before="120" w:after="120" w:line="320" w:lineRule="exact"/>
        <w:ind w:firstLine="720"/>
        <w:jc w:val="both"/>
        <w:rPr>
          <w:rFonts w:ascii="Times New Roman" w:hAnsi="Times New Roman" w:cs="Times New Roman"/>
          <w:color w:val="auto"/>
          <w:sz w:val="28"/>
          <w:szCs w:val="28"/>
          <w:lang w:val="en-US"/>
        </w:rPr>
      </w:pPr>
      <w:r w:rsidRPr="00F63D28">
        <w:rPr>
          <w:rFonts w:ascii="Times New Roman" w:hAnsi="Times New Roman" w:cs="Times New Roman"/>
          <w:color w:val="auto"/>
          <w:sz w:val="28"/>
          <w:szCs w:val="28"/>
          <w:lang w:val="en-US"/>
        </w:rPr>
        <w:t xml:space="preserve">Thông tư số 08/2024/TT-BTNMT ngày 31 tháng 7 năm 2024 của Bộ trưởng Bộ Tài nguyên và Môi trường Quy định về thống kê, kiểm kê đất đai và lập bản </w:t>
      </w:r>
      <w:r w:rsidRPr="00F63D28">
        <w:rPr>
          <w:rFonts w:ascii="Times New Roman" w:hAnsi="Times New Roman" w:cs="Times New Roman"/>
          <w:color w:val="auto"/>
          <w:sz w:val="28"/>
          <w:szCs w:val="28"/>
          <w:lang w:val="en-US"/>
        </w:rPr>
        <w:lastRenderedPageBreak/>
        <w:t>đồ hiện trạng sử dụng đất</w:t>
      </w:r>
      <w:r>
        <w:rPr>
          <w:rFonts w:ascii="Times New Roman" w:hAnsi="Times New Roman" w:cs="Times New Roman"/>
          <w:color w:val="auto"/>
          <w:sz w:val="28"/>
          <w:szCs w:val="28"/>
          <w:lang w:val="en-US"/>
        </w:rPr>
        <w:t>;</w:t>
      </w:r>
    </w:p>
    <w:p w14:paraId="706A2830" w14:textId="1DEAB288" w:rsidR="00095F50" w:rsidRDefault="00095F50" w:rsidP="00811DD1">
      <w:pPr>
        <w:spacing w:before="120" w:after="120" w:line="320" w:lineRule="exact"/>
        <w:ind w:firstLine="720"/>
        <w:jc w:val="both"/>
        <w:rPr>
          <w:rFonts w:ascii="Times New Roman" w:hAnsi="Times New Roman" w:cs="Times New Roman"/>
          <w:sz w:val="28"/>
          <w:szCs w:val="28"/>
          <w:lang w:val="en-US"/>
        </w:rPr>
      </w:pPr>
      <w:r>
        <w:rPr>
          <w:rFonts w:ascii="Times New Roman" w:hAnsi="Times New Roman" w:cs="Times New Roman"/>
          <w:sz w:val="28"/>
          <w:szCs w:val="28"/>
        </w:rPr>
        <w:t>Thông tư số 20</w:t>
      </w:r>
      <w:r w:rsidRPr="003C1AF0">
        <w:rPr>
          <w:rFonts w:ascii="Times New Roman" w:hAnsi="Times New Roman" w:cs="Times New Roman"/>
          <w:sz w:val="28"/>
          <w:szCs w:val="28"/>
        </w:rPr>
        <w:t>/2024/TT-BTNMT</w:t>
      </w:r>
      <w:r>
        <w:rPr>
          <w:rFonts w:ascii="Times New Roman" w:hAnsi="Times New Roman" w:cs="Times New Roman"/>
          <w:sz w:val="28"/>
          <w:szCs w:val="28"/>
          <w:lang w:val="en-US"/>
        </w:rPr>
        <w:t xml:space="preserve"> ngày 16 tháng 11 năm 2024 của </w:t>
      </w:r>
      <w:r w:rsidRPr="003C1AF0">
        <w:rPr>
          <w:rFonts w:ascii="Times New Roman" w:hAnsi="Times New Roman" w:cs="Times New Roman"/>
          <w:sz w:val="28"/>
          <w:szCs w:val="28"/>
        </w:rPr>
        <w:t>Bộ Tài nguyên và Môi tr</w:t>
      </w:r>
      <w:r w:rsidRPr="003C1AF0">
        <w:rPr>
          <w:rFonts w:ascii="Times New Roman" w:hAnsi="Times New Roman" w:cs="Times New Roman" w:hint="eastAsia"/>
          <w:sz w:val="28"/>
          <w:szCs w:val="28"/>
        </w:rPr>
        <w:t>ư</w:t>
      </w:r>
      <w:r w:rsidRPr="003C1AF0">
        <w:rPr>
          <w:rFonts w:ascii="Times New Roman" w:hAnsi="Times New Roman" w:cs="Times New Roman"/>
          <w:sz w:val="28"/>
          <w:szCs w:val="28"/>
        </w:rPr>
        <w:t xml:space="preserve">ờng ban hành </w:t>
      </w:r>
      <w:r>
        <w:rPr>
          <w:rFonts w:ascii="Times New Roman" w:hAnsi="Times New Roman" w:cs="Times New Roman"/>
          <w:sz w:val="28"/>
          <w:szCs w:val="28"/>
          <w:lang w:val="en-US"/>
        </w:rPr>
        <w:t>về việc b</w:t>
      </w:r>
      <w:r w:rsidRPr="00001BF6">
        <w:rPr>
          <w:rFonts w:ascii="Times New Roman" w:hAnsi="Times New Roman" w:cs="Times New Roman"/>
          <w:sz w:val="28"/>
          <w:szCs w:val="28"/>
          <w:lang w:val="en-US"/>
        </w:rPr>
        <w:t>ãi bỏ một số văn bản quy phạm ph</w:t>
      </w:r>
      <w:r>
        <w:rPr>
          <w:rFonts w:ascii="Times New Roman" w:hAnsi="Times New Roman" w:cs="Times New Roman"/>
          <w:sz w:val="28"/>
          <w:szCs w:val="28"/>
          <w:lang w:val="en-US"/>
        </w:rPr>
        <w:t xml:space="preserve">áp luật trong lĩnh vực đất đai </w:t>
      </w:r>
      <w:r w:rsidRPr="00001BF6">
        <w:rPr>
          <w:rFonts w:ascii="Times New Roman" w:hAnsi="Times New Roman" w:cs="Times New Roman"/>
          <w:sz w:val="28"/>
          <w:szCs w:val="28"/>
          <w:lang w:val="en-US"/>
        </w:rPr>
        <w:t>thuộc thẩm quyền của Bộ trưởng Bộ Tài nguyên và Môi trường ban hành, liên tịch ban hành</w:t>
      </w:r>
      <w:r>
        <w:rPr>
          <w:rFonts w:ascii="Times New Roman" w:hAnsi="Times New Roman" w:cs="Times New Roman"/>
          <w:sz w:val="28"/>
          <w:szCs w:val="28"/>
          <w:lang w:val="en-US"/>
        </w:rPr>
        <w:t>, trong đó, bãi bỏ “</w:t>
      </w:r>
      <w:r w:rsidR="00F63D28" w:rsidRPr="00F63D28">
        <w:rPr>
          <w:rFonts w:ascii="Times New Roman" w:hAnsi="Times New Roman" w:cs="Times New Roman"/>
          <w:i/>
          <w:sz w:val="28"/>
          <w:szCs w:val="28"/>
          <w:lang w:val="en-US"/>
        </w:rPr>
        <w:t>25. Thông tư số 13/2019/TT-BTNMT ngày 07 tháng 8 năm 2019 của Bộ trưởng Bộ Tài nguyên và Môi trường ban hành Quy định Định mức kinh tế - kỹ thuật thống kê, kiểm kê đất đai và lập bản đồ hiện trạng sử dụng đất</w:t>
      </w:r>
      <w:r>
        <w:rPr>
          <w:rFonts w:ascii="Times New Roman" w:hAnsi="Times New Roman" w:cs="Times New Roman"/>
          <w:sz w:val="28"/>
          <w:szCs w:val="28"/>
          <w:lang w:val="en-US"/>
        </w:rPr>
        <w:t>”.</w:t>
      </w:r>
    </w:p>
    <w:p w14:paraId="3BE2FCAD" w14:textId="1BEA8266" w:rsidR="004D55B8" w:rsidRPr="00573849" w:rsidRDefault="004D55B8"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hAnsi="Times New Roman" w:cs="Times New Roman"/>
          <w:color w:val="auto"/>
          <w:sz w:val="28"/>
          <w:szCs w:val="28"/>
          <w:lang w:val="en-US"/>
        </w:rPr>
        <w:t>Thông tư số 23/</w:t>
      </w:r>
      <w:r w:rsidR="00F63D28">
        <w:rPr>
          <w:rFonts w:ascii="Times New Roman" w:hAnsi="Times New Roman" w:cs="Times New Roman"/>
          <w:color w:val="auto"/>
          <w:sz w:val="28"/>
          <w:szCs w:val="28"/>
          <w:lang w:val="en-US"/>
        </w:rPr>
        <w:t>2025/</w:t>
      </w:r>
      <w:r w:rsidRPr="00573849">
        <w:rPr>
          <w:rFonts w:ascii="Times New Roman" w:hAnsi="Times New Roman" w:cs="Times New Roman"/>
          <w:color w:val="auto"/>
          <w:sz w:val="28"/>
          <w:szCs w:val="28"/>
          <w:lang w:val="en-US"/>
        </w:rPr>
        <w:t>TT-BNNMT ngày 20 tháng 6 năm 2025 của Bộ trưởng Bộ Nông nghiệp và Môi trường quy định phân cấp, phân định thẩm quyền quản lý nhà nước trong lĩnh vực đất đai.</w:t>
      </w:r>
    </w:p>
    <w:p w14:paraId="2F7D3CFA" w14:textId="21D6380E" w:rsidR="006A30F5" w:rsidRPr="00573849" w:rsidRDefault="004F7663" w:rsidP="00811DD1">
      <w:pPr>
        <w:spacing w:before="120" w:after="120" w:line="320" w:lineRule="exact"/>
        <w:ind w:firstLine="720"/>
        <w:jc w:val="both"/>
        <w:rPr>
          <w:rFonts w:ascii="Times New Roman" w:hAnsi="Times New Roman" w:cs="Times New Roman"/>
          <w:b/>
          <w:i/>
          <w:color w:val="auto"/>
          <w:sz w:val="28"/>
          <w:szCs w:val="28"/>
          <w:lang w:val="en-US"/>
        </w:rPr>
      </w:pPr>
      <w:r w:rsidRPr="00573849">
        <w:rPr>
          <w:rFonts w:ascii="Times New Roman" w:hAnsi="Times New Roman" w:cs="Times New Roman"/>
          <w:b/>
          <w:i/>
          <w:color w:val="auto"/>
          <w:sz w:val="28"/>
          <w:szCs w:val="28"/>
          <w:lang w:val="en-US"/>
        </w:rPr>
        <w:t>2</w:t>
      </w:r>
      <w:r w:rsidR="006A30F5" w:rsidRPr="00573849">
        <w:rPr>
          <w:rFonts w:ascii="Times New Roman" w:hAnsi="Times New Roman" w:cs="Times New Roman"/>
          <w:b/>
          <w:i/>
          <w:color w:val="auto"/>
          <w:sz w:val="28"/>
          <w:szCs w:val="28"/>
        </w:rPr>
        <w:t xml:space="preserve">. Mục đích, yêu cầu </w:t>
      </w:r>
      <w:r w:rsidRPr="00573849">
        <w:rPr>
          <w:rFonts w:ascii="Times New Roman" w:hAnsi="Times New Roman" w:cs="Times New Roman"/>
          <w:b/>
          <w:i/>
          <w:color w:val="auto"/>
          <w:sz w:val="28"/>
          <w:szCs w:val="28"/>
          <w:lang w:val="en-US"/>
        </w:rPr>
        <w:t>đánh giá</w:t>
      </w:r>
    </w:p>
    <w:p w14:paraId="72992280" w14:textId="1FC1D5B1" w:rsidR="00C46261" w:rsidRPr="00573849" w:rsidRDefault="004F7663"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hAnsi="Times New Roman" w:cs="Times New Roman"/>
          <w:color w:val="auto"/>
          <w:sz w:val="28"/>
          <w:szCs w:val="28"/>
          <w:lang w:val="en-US"/>
        </w:rPr>
        <w:t xml:space="preserve">Đánh giá thủ tục hành chính, việc phân quyền, phân cấp, việc ứng dụng, thúc đẩy phát triển khoa học, công nghệ, đổi mới sáng tạo và chuyển đổi số, bảo đảm bình đẳng giới, việc thực hiện chính sách dân tộc </w:t>
      </w:r>
      <w:r w:rsidR="00C46261" w:rsidRPr="00573849">
        <w:rPr>
          <w:rFonts w:ascii="Times New Roman" w:hAnsi="Times New Roman" w:cs="Times New Roman"/>
          <w:color w:val="auto"/>
          <w:sz w:val="28"/>
          <w:szCs w:val="28"/>
          <w:lang w:val="en-US"/>
        </w:rPr>
        <w:t xml:space="preserve">để thực hiện xây dựng </w:t>
      </w:r>
      <w:r w:rsidR="00C46261" w:rsidRPr="00573849">
        <w:rPr>
          <w:rFonts w:ascii="Times New Roman" w:hAnsi="Times New Roman" w:cs="Times New Roman"/>
          <w:color w:val="auto"/>
          <w:sz w:val="28"/>
          <w:szCs w:val="28"/>
        </w:rPr>
        <w:t xml:space="preserve">Định mức kinh tế - kỹ thuật </w:t>
      </w:r>
      <w:r w:rsidR="006C6B3F" w:rsidRPr="006C6B3F">
        <w:rPr>
          <w:rFonts w:ascii="Times New Roman" w:hAnsi="Times New Roman" w:cs="Times New Roman"/>
          <w:color w:val="auto"/>
          <w:sz w:val="28"/>
          <w:szCs w:val="28"/>
        </w:rPr>
        <w:t>kinh tế - kỹ thuật thống kê, kiểm kê đất đai và lập bản đồ hiện trạng sử dụng đất trên địa bàn thành phố Hải Phòng</w:t>
      </w:r>
      <w:r w:rsidR="00C46261" w:rsidRPr="00573849">
        <w:rPr>
          <w:rFonts w:ascii="Times New Roman" w:hAnsi="Times New Roman" w:cs="Times New Roman"/>
          <w:color w:val="auto"/>
          <w:sz w:val="28"/>
          <w:szCs w:val="28"/>
          <w:lang w:val="en-US"/>
        </w:rPr>
        <w:t>.</w:t>
      </w:r>
    </w:p>
    <w:p w14:paraId="3E1A42CB" w14:textId="77777777" w:rsidR="006A30F5" w:rsidRPr="00573849" w:rsidRDefault="006A30F5" w:rsidP="00811DD1">
      <w:pPr>
        <w:spacing w:before="120" w:after="120" w:line="320" w:lineRule="exact"/>
        <w:ind w:firstLine="720"/>
        <w:jc w:val="both"/>
        <w:rPr>
          <w:rFonts w:ascii="Times New Roman" w:hAnsi="Times New Roman" w:cs="Times New Roman"/>
          <w:b/>
          <w:bCs/>
          <w:color w:val="auto"/>
          <w:sz w:val="28"/>
          <w:szCs w:val="28"/>
        </w:rPr>
      </w:pPr>
      <w:r w:rsidRPr="00573849">
        <w:rPr>
          <w:rFonts w:ascii="Times New Roman" w:hAnsi="Times New Roman" w:cs="Times New Roman"/>
          <w:b/>
          <w:bCs/>
          <w:color w:val="auto"/>
          <w:sz w:val="28"/>
          <w:szCs w:val="28"/>
        </w:rPr>
        <w:t>II. KẾT QUẢ RÀ SOÁT</w:t>
      </w:r>
    </w:p>
    <w:p w14:paraId="50126549" w14:textId="3BBFA920" w:rsidR="004F7663" w:rsidRPr="00573849" w:rsidRDefault="004F7663" w:rsidP="00811DD1">
      <w:pPr>
        <w:spacing w:before="120" w:after="120" w:line="320" w:lineRule="exact"/>
        <w:ind w:firstLine="720"/>
        <w:jc w:val="both"/>
        <w:rPr>
          <w:rFonts w:ascii="Times New Roman" w:hAnsi="Times New Roman" w:cs="Times New Roman"/>
          <w:b/>
          <w:i/>
          <w:color w:val="auto"/>
          <w:sz w:val="28"/>
          <w:szCs w:val="28"/>
          <w:lang w:val="en-US"/>
        </w:rPr>
      </w:pPr>
      <w:r w:rsidRPr="00573849">
        <w:rPr>
          <w:rFonts w:ascii="Times New Roman" w:hAnsi="Times New Roman" w:cs="Times New Roman"/>
          <w:b/>
          <w:i/>
          <w:color w:val="auto"/>
          <w:sz w:val="28"/>
          <w:szCs w:val="28"/>
          <w:lang w:val="en-US"/>
        </w:rPr>
        <w:t>1. Đánh giá thủ tục hành chính: Không có</w:t>
      </w:r>
    </w:p>
    <w:p w14:paraId="414945C6" w14:textId="6F0C3EB1" w:rsidR="004F7663" w:rsidRPr="00573849" w:rsidRDefault="004F7663" w:rsidP="00811DD1">
      <w:pPr>
        <w:spacing w:before="120" w:after="120" w:line="320" w:lineRule="exact"/>
        <w:ind w:firstLine="720"/>
        <w:jc w:val="both"/>
        <w:rPr>
          <w:rFonts w:ascii="Times New Roman" w:hAnsi="Times New Roman" w:cs="Times New Roman"/>
          <w:b/>
          <w:i/>
          <w:color w:val="auto"/>
          <w:sz w:val="28"/>
          <w:szCs w:val="28"/>
          <w:lang w:val="en-US"/>
        </w:rPr>
      </w:pPr>
      <w:r w:rsidRPr="00573849">
        <w:rPr>
          <w:rFonts w:ascii="Times New Roman" w:hAnsi="Times New Roman" w:cs="Times New Roman"/>
          <w:b/>
          <w:i/>
          <w:color w:val="auto"/>
          <w:sz w:val="28"/>
          <w:szCs w:val="28"/>
          <w:lang w:val="en-US"/>
        </w:rPr>
        <w:t>2. Việc phân quyền, phân cấp: không có</w:t>
      </w:r>
    </w:p>
    <w:p w14:paraId="43F79D68" w14:textId="28BCDD71" w:rsidR="006A30F5" w:rsidRPr="00573849" w:rsidRDefault="006A30F5" w:rsidP="00811DD1">
      <w:pPr>
        <w:spacing w:before="120" w:after="120" w:line="320" w:lineRule="exact"/>
        <w:ind w:firstLine="720"/>
        <w:jc w:val="both"/>
        <w:rPr>
          <w:rFonts w:ascii="Times New Roman" w:hAnsi="Times New Roman" w:cs="Times New Roman"/>
          <w:b/>
          <w:i/>
          <w:color w:val="auto"/>
          <w:sz w:val="28"/>
          <w:szCs w:val="28"/>
          <w:lang w:val="en-US"/>
        </w:rPr>
      </w:pPr>
      <w:r w:rsidRPr="00573849">
        <w:rPr>
          <w:rFonts w:ascii="Times New Roman" w:hAnsi="Times New Roman" w:cs="Times New Roman"/>
          <w:b/>
          <w:i/>
          <w:color w:val="auto"/>
          <w:sz w:val="28"/>
          <w:szCs w:val="28"/>
        </w:rPr>
        <w:t xml:space="preserve">3. </w:t>
      </w:r>
      <w:r w:rsidR="004F7663" w:rsidRPr="00573849">
        <w:rPr>
          <w:rFonts w:ascii="Times New Roman" w:hAnsi="Times New Roman" w:cs="Times New Roman"/>
          <w:b/>
          <w:i/>
          <w:color w:val="auto"/>
          <w:sz w:val="28"/>
          <w:szCs w:val="28"/>
        </w:rPr>
        <w:t>Việc ứng dụng, thúc đẩy phát triển khoa học, công nghệ, đổi mới sáng tạo và chuyển đổi số</w:t>
      </w:r>
      <w:r w:rsidR="004F7663" w:rsidRPr="00573849">
        <w:rPr>
          <w:rFonts w:ascii="Times New Roman" w:hAnsi="Times New Roman" w:cs="Times New Roman"/>
          <w:b/>
          <w:i/>
          <w:color w:val="auto"/>
          <w:sz w:val="28"/>
          <w:szCs w:val="28"/>
          <w:lang w:val="en-US"/>
        </w:rPr>
        <w:t xml:space="preserve">: </w:t>
      </w:r>
      <w:r w:rsidR="00C46261" w:rsidRPr="00573849">
        <w:rPr>
          <w:rFonts w:ascii="Times New Roman" w:hAnsi="Times New Roman" w:cs="Times New Roman"/>
          <w:b/>
          <w:i/>
          <w:color w:val="auto"/>
          <w:sz w:val="28"/>
          <w:szCs w:val="28"/>
          <w:lang w:val="en-US"/>
        </w:rPr>
        <w:t>Không có</w:t>
      </w:r>
    </w:p>
    <w:p w14:paraId="51B3A69E" w14:textId="6CAAA602" w:rsidR="004F7663" w:rsidRPr="00573849" w:rsidRDefault="004F7663" w:rsidP="00811DD1">
      <w:pPr>
        <w:spacing w:before="120" w:after="120" w:line="320" w:lineRule="exact"/>
        <w:ind w:firstLine="720"/>
        <w:jc w:val="both"/>
        <w:rPr>
          <w:rFonts w:ascii="Times New Roman" w:hAnsi="Times New Roman" w:cs="Times New Roman"/>
          <w:b/>
          <w:i/>
          <w:color w:val="auto"/>
          <w:sz w:val="28"/>
          <w:szCs w:val="28"/>
          <w:lang w:val="en-US"/>
        </w:rPr>
      </w:pPr>
      <w:r w:rsidRPr="00573849">
        <w:rPr>
          <w:rFonts w:ascii="Times New Roman" w:hAnsi="Times New Roman" w:cs="Times New Roman"/>
          <w:b/>
          <w:i/>
          <w:color w:val="auto"/>
          <w:sz w:val="28"/>
          <w:szCs w:val="28"/>
          <w:lang w:val="en-US"/>
        </w:rPr>
        <w:t>4. Việc bảo đảm bình đẳng giới: Không có</w:t>
      </w:r>
    </w:p>
    <w:p w14:paraId="0E71A25D" w14:textId="46472216" w:rsidR="004F7663" w:rsidRPr="00573849" w:rsidRDefault="004F7663" w:rsidP="00811DD1">
      <w:pPr>
        <w:spacing w:before="120" w:after="120" w:line="320" w:lineRule="exact"/>
        <w:ind w:firstLine="720"/>
        <w:jc w:val="both"/>
        <w:rPr>
          <w:rFonts w:ascii="Times New Roman" w:hAnsi="Times New Roman" w:cs="Times New Roman"/>
          <w:b/>
          <w:i/>
          <w:color w:val="auto"/>
          <w:sz w:val="28"/>
          <w:szCs w:val="28"/>
          <w:lang w:val="en-US"/>
        </w:rPr>
      </w:pPr>
      <w:r w:rsidRPr="00573849">
        <w:rPr>
          <w:rFonts w:ascii="Times New Roman" w:hAnsi="Times New Roman" w:cs="Times New Roman"/>
          <w:b/>
          <w:i/>
          <w:color w:val="auto"/>
          <w:sz w:val="28"/>
          <w:szCs w:val="28"/>
          <w:lang w:val="en-US"/>
        </w:rPr>
        <w:t>5. Việc thực hiện chính sách dân tộc: Không có</w:t>
      </w:r>
    </w:p>
    <w:p w14:paraId="4526D6B1" w14:textId="2A93A177" w:rsidR="00AD4400" w:rsidRPr="00573849" w:rsidRDefault="00AD4400" w:rsidP="00811DD1">
      <w:pPr>
        <w:spacing w:before="120" w:after="120" w:line="320" w:lineRule="exact"/>
        <w:ind w:firstLine="720"/>
        <w:jc w:val="both"/>
        <w:rPr>
          <w:rFonts w:ascii="Times New Roman" w:hAnsi="Times New Roman" w:cs="Times New Roman"/>
          <w:color w:val="auto"/>
          <w:sz w:val="28"/>
          <w:szCs w:val="28"/>
          <w:lang w:val="en-US"/>
        </w:rPr>
      </w:pPr>
      <w:r w:rsidRPr="00573849">
        <w:rPr>
          <w:rFonts w:ascii="Times New Roman" w:eastAsiaTheme="majorEastAsia" w:hAnsi="Times New Roman" w:cs="Times New Roman"/>
          <w:color w:val="auto"/>
          <w:sz w:val="28"/>
          <w:szCs w:val="28"/>
        </w:rPr>
        <w:t xml:space="preserve">Trên đây </w:t>
      </w:r>
      <w:r w:rsidR="004F7663" w:rsidRPr="00573849">
        <w:rPr>
          <w:rFonts w:ascii="Times New Roman" w:eastAsiaTheme="majorEastAsia" w:hAnsi="Times New Roman" w:cs="Times New Roman"/>
          <w:color w:val="auto"/>
          <w:sz w:val="28"/>
          <w:szCs w:val="28"/>
        </w:rPr>
        <w:t xml:space="preserve">đánh giá thủ tục hành chính, việc phân quyền, phân cấp, việc ứng dụng, thúc đẩy phát triển khoa học, công nghệ, đổi mới sáng tạo và chuyển đổi số, bảo đảm bình đẳng giới, việc thực hiện chính sách dân tộc dự thảo định mức kinh tế - kỹ thuật </w:t>
      </w:r>
      <w:r w:rsidR="00404274" w:rsidRPr="00404274">
        <w:rPr>
          <w:rFonts w:ascii="Times New Roman" w:eastAsiaTheme="majorEastAsia" w:hAnsi="Times New Roman" w:cs="Times New Roman"/>
          <w:color w:val="auto"/>
          <w:sz w:val="28"/>
          <w:szCs w:val="28"/>
        </w:rPr>
        <w:t>kinh tế - kỹ thuật thống kê, kiểm kê đất đai và lập bản đồ hiện trạng sử dụng đất trên địa bàn thành phố Hải Phòng</w:t>
      </w:r>
      <w:r w:rsidRPr="00573849">
        <w:rPr>
          <w:rFonts w:ascii="Times New Roman" w:hAnsi="Times New Roman" w:cs="Times New Roman"/>
          <w:bCs/>
          <w:color w:val="auto"/>
          <w:sz w:val="28"/>
          <w:szCs w:val="28"/>
          <w:lang w:val="en-US"/>
        </w:rPr>
        <w:t>./.</w:t>
      </w:r>
      <w:r w:rsidR="002D5B99" w:rsidRPr="00573849">
        <w:rPr>
          <w:rFonts w:ascii="Times New Roman" w:hAnsi="Times New Roman" w:cs="Times New Roman"/>
          <w:bCs/>
          <w:color w:val="auto"/>
          <w:sz w:val="28"/>
          <w:szCs w:val="28"/>
          <w:lang w:val="en-US"/>
        </w:rPr>
        <w:t xml:space="preserve"> </w:t>
      </w:r>
      <w:r w:rsidR="002D5B99" w:rsidRPr="00573849">
        <w:rPr>
          <w:rFonts w:ascii="Times New Roman" w:hAnsi="Times New Roman" w:cs="Times New Roman"/>
          <w:bCs/>
          <w:i/>
          <w:color w:val="auto"/>
          <w:sz w:val="28"/>
          <w:szCs w:val="28"/>
          <w:lang w:val="en-US"/>
        </w:rPr>
        <w:t>(kèm Phụ lục)</w:t>
      </w:r>
    </w:p>
    <w:tbl>
      <w:tblPr>
        <w:tblW w:w="9270" w:type="dxa"/>
        <w:tblInd w:w="108" w:type="dxa"/>
        <w:tblLook w:val="0000" w:firstRow="0" w:lastRow="0" w:firstColumn="0" w:lastColumn="0" w:noHBand="0" w:noVBand="0"/>
      </w:tblPr>
      <w:tblGrid>
        <w:gridCol w:w="4410"/>
        <w:gridCol w:w="4860"/>
      </w:tblGrid>
      <w:tr w:rsidR="00573849" w:rsidRPr="00573849" w14:paraId="3353289F" w14:textId="77777777" w:rsidTr="004C44FE">
        <w:trPr>
          <w:trHeight w:val="2169"/>
        </w:trPr>
        <w:tc>
          <w:tcPr>
            <w:tcW w:w="4410" w:type="dxa"/>
          </w:tcPr>
          <w:p w14:paraId="7CE73630" w14:textId="42B50699" w:rsidR="00C46261" w:rsidRPr="00573849" w:rsidRDefault="00C46261" w:rsidP="004C44FE">
            <w:pPr>
              <w:jc w:val="both"/>
              <w:rPr>
                <w:rFonts w:ascii="Times New Roman" w:hAnsi="Times New Roman" w:cs="Times New Roman"/>
                <w:b/>
                <w:bCs/>
                <w:i/>
                <w:iCs/>
                <w:color w:val="auto"/>
                <w:lang w:val="nl-NL"/>
              </w:rPr>
            </w:pPr>
            <w:r w:rsidRPr="00573849">
              <w:rPr>
                <w:rFonts w:ascii="Times New Roman" w:hAnsi="Times New Roman" w:cs="Times New Roman"/>
                <w:b/>
                <w:bCs/>
                <w:i/>
                <w:iCs/>
                <w:color w:val="auto"/>
                <w:lang w:val="nl-NL"/>
              </w:rPr>
              <w:t>Nơi nhận:</w:t>
            </w:r>
          </w:p>
          <w:p w14:paraId="4D16CE97" w14:textId="1EDAD16D" w:rsidR="00C46261" w:rsidRPr="00573849" w:rsidRDefault="00C46261" w:rsidP="004C44FE">
            <w:pPr>
              <w:rPr>
                <w:rFonts w:ascii="Times New Roman" w:hAnsi="Times New Roman" w:cs="Times New Roman"/>
                <w:color w:val="auto"/>
                <w:sz w:val="22"/>
                <w:szCs w:val="22"/>
                <w:lang w:val="nl-NL"/>
              </w:rPr>
            </w:pPr>
            <w:r w:rsidRPr="00573849">
              <w:rPr>
                <w:rFonts w:ascii="Times New Roman" w:hAnsi="Times New Roman" w:cs="Times New Roman"/>
                <w:color w:val="auto"/>
                <w:sz w:val="22"/>
                <w:szCs w:val="22"/>
                <w:lang w:val="nl-NL"/>
              </w:rPr>
              <w:t xml:space="preserve">- UBND </w:t>
            </w:r>
            <w:r w:rsidR="004F7663" w:rsidRPr="00573849">
              <w:rPr>
                <w:rFonts w:ascii="Times New Roman" w:hAnsi="Times New Roman" w:cs="Times New Roman"/>
                <w:color w:val="auto"/>
                <w:sz w:val="22"/>
                <w:szCs w:val="22"/>
                <w:lang w:val="nl-NL"/>
              </w:rPr>
              <w:t>thành phố</w:t>
            </w:r>
            <w:r w:rsidRPr="00573849">
              <w:rPr>
                <w:rFonts w:ascii="Times New Roman" w:hAnsi="Times New Roman" w:cs="Times New Roman"/>
                <w:color w:val="auto"/>
                <w:sz w:val="22"/>
                <w:szCs w:val="22"/>
                <w:lang w:val="nl-NL"/>
              </w:rPr>
              <w:t>;</w:t>
            </w:r>
          </w:p>
          <w:p w14:paraId="7F005A22" w14:textId="7912DD56" w:rsidR="00C46261" w:rsidRPr="00573849" w:rsidRDefault="00C46261" w:rsidP="004C44FE">
            <w:pPr>
              <w:rPr>
                <w:rFonts w:ascii="Times New Roman" w:hAnsi="Times New Roman" w:cs="Times New Roman"/>
                <w:color w:val="auto"/>
                <w:sz w:val="22"/>
                <w:szCs w:val="22"/>
                <w:lang w:val="nl-NL"/>
              </w:rPr>
            </w:pPr>
            <w:r w:rsidRPr="00573849">
              <w:rPr>
                <w:rFonts w:ascii="Times New Roman" w:hAnsi="Times New Roman" w:cs="Times New Roman"/>
                <w:color w:val="auto"/>
                <w:sz w:val="22"/>
                <w:szCs w:val="22"/>
                <w:lang w:val="nl-NL"/>
              </w:rPr>
              <w:t xml:space="preserve">- Văn phòng UBND </w:t>
            </w:r>
            <w:r w:rsidR="004F7663" w:rsidRPr="00573849">
              <w:rPr>
                <w:rFonts w:ascii="Times New Roman" w:hAnsi="Times New Roman" w:cs="Times New Roman"/>
                <w:color w:val="auto"/>
                <w:sz w:val="22"/>
                <w:szCs w:val="22"/>
                <w:lang w:val="nl-NL"/>
              </w:rPr>
              <w:t>thành phố</w:t>
            </w:r>
            <w:r w:rsidRPr="00573849">
              <w:rPr>
                <w:rFonts w:ascii="Times New Roman" w:hAnsi="Times New Roman" w:cs="Times New Roman"/>
                <w:color w:val="auto"/>
                <w:sz w:val="22"/>
                <w:szCs w:val="22"/>
                <w:lang w:val="nl-NL"/>
              </w:rPr>
              <w:t>;</w:t>
            </w:r>
          </w:p>
          <w:p w14:paraId="0C1A1E05" w14:textId="0F1726F2" w:rsidR="00BE1AAC" w:rsidRPr="00573849" w:rsidRDefault="00BE1AAC" w:rsidP="004C44FE">
            <w:pPr>
              <w:rPr>
                <w:rFonts w:ascii="Times New Roman" w:hAnsi="Times New Roman" w:cs="Times New Roman"/>
                <w:color w:val="auto"/>
                <w:sz w:val="22"/>
                <w:szCs w:val="22"/>
                <w:lang w:val="nl-NL"/>
              </w:rPr>
            </w:pPr>
            <w:r w:rsidRPr="00573849">
              <w:rPr>
                <w:rFonts w:ascii="Times New Roman" w:hAnsi="Times New Roman" w:cs="Times New Roman"/>
                <w:color w:val="auto"/>
                <w:sz w:val="22"/>
                <w:szCs w:val="22"/>
                <w:lang w:val="nl-NL"/>
              </w:rPr>
              <w:t>- Ban Giám đốc Sở;</w:t>
            </w:r>
          </w:p>
          <w:p w14:paraId="4B8EBE0A" w14:textId="16FEDE03" w:rsidR="00C46261" w:rsidRPr="00573849" w:rsidRDefault="00C46261" w:rsidP="004C44FE">
            <w:pPr>
              <w:rPr>
                <w:rFonts w:ascii="Times New Roman" w:hAnsi="Times New Roman" w:cs="Times New Roman"/>
                <w:color w:val="auto"/>
                <w:sz w:val="22"/>
                <w:szCs w:val="22"/>
                <w:lang w:val="nl-NL"/>
              </w:rPr>
            </w:pPr>
            <w:r w:rsidRPr="00573849">
              <w:rPr>
                <w:rFonts w:ascii="Times New Roman" w:hAnsi="Times New Roman" w:cs="Times New Roman"/>
                <w:color w:val="auto"/>
                <w:sz w:val="22"/>
                <w:szCs w:val="22"/>
                <w:lang w:val="nl-NL"/>
              </w:rPr>
              <w:t>- Các phòng, đơn vị</w:t>
            </w:r>
            <w:r w:rsidR="00741BC1" w:rsidRPr="00573849">
              <w:rPr>
                <w:rFonts w:ascii="Times New Roman" w:hAnsi="Times New Roman" w:cs="Times New Roman"/>
                <w:color w:val="auto"/>
                <w:sz w:val="22"/>
                <w:szCs w:val="22"/>
                <w:lang w:val="nl-NL"/>
              </w:rPr>
              <w:t xml:space="preserve"> thuộc Sở NN&amp;MT</w:t>
            </w:r>
            <w:r w:rsidRPr="00573849">
              <w:rPr>
                <w:rFonts w:ascii="Times New Roman" w:hAnsi="Times New Roman" w:cs="Times New Roman"/>
                <w:color w:val="auto"/>
                <w:sz w:val="22"/>
                <w:szCs w:val="22"/>
                <w:lang w:val="nl-NL"/>
              </w:rPr>
              <w:t xml:space="preserve">; </w:t>
            </w:r>
          </w:p>
          <w:p w14:paraId="3E1D70DB" w14:textId="47381693" w:rsidR="00C46261" w:rsidRPr="00573849" w:rsidRDefault="00C46261" w:rsidP="00AD4400">
            <w:pPr>
              <w:jc w:val="both"/>
              <w:rPr>
                <w:rFonts w:ascii="Times New Roman" w:hAnsi="Times New Roman" w:cs="Times New Roman"/>
                <w:bCs/>
                <w:color w:val="auto"/>
              </w:rPr>
            </w:pPr>
            <w:r w:rsidRPr="00573849">
              <w:rPr>
                <w:rFonts w:ascii="Times New Roman" w:hAnsi="Times New Roman" w:cs="Times New Roman"/>
                <w:color w:val="auto"/>
                <w:sz w:val="22"/>
                <w:szCs w:val="22"/>
                <w:lang w:val="nl-NL"/>
              </w:rPr>
              <w:t xml:space="preserve">- Lưu: VT, </w:t>
            </w:r>
            <w:r w:rsidR="004F7663" w:rsidRPr="00573849">
              <w:rPr>
                <w:rFonts w:ascii="Times New Roman" w:hAnsi="Times New Roman" w:cs="Times New Roman"/>
                <w:color w:val="auto"/>
                <w:sz w:val="22"/>
                <w:szCs w:val="22"/>
                <w:lang w:val="nl-NL"/>
              </w:rPr>
              <w:t>VPĐKĐĐ</w:t>
            </w:r>
            <w:r w:rsidRPr="00573849">
              <w:rPr>
                <w:rFonts w:ascii="Times New Roman" w:hAnsi="Times New Roman" w:cs="Times New Roman"/>
                <w:color w:val="auto"/>
              </w:rPr>
              <w:t>.</w:t>
            </w:r>
          </w:p>
        </w:tc>
        <w:tc>
          <w:tcPr>
            <w:tcW w:w="4860" w:type="dxa"/>
          </w:tcPr>
          <w:p w14:paraId="0A7F58A1" w14:textId="77777777" w:rsidR="00C46261" w:rsidRPr="00573849" w:rsidRDefault="00C46261" w:rsidP="004C44FE">
            <w:pPr>
              <w:jc w:val="center"/>
              <w:rPr>
                <w:rFonts w:ascii="Times New Roman" w:hAnsi="Times New Roman" w:cs="Times New Roman"/>
                <w:b/>
                <w:bCs/>
                <w:color w:val="auto"/>
                <w:sz w:val="28"/>
                <w:szCs w:val="28"/>
              </w:rPr>
            </w:pPr>
            <w:r w:rsidRPr="00573849">
              <w:rPr>
                <w:rFonts w:ascii="Times New Roman" w:hAnsi="Times New Roman" w:cs="Times New Roman"/>
                <w:b/>
                <w:bCs/>
                <w:color w:val="auto"/>
              </w:rPr>
              <w:t xml:space="preserve"> </w:t>
            </w:r>
            <w:r w:rsidRPr="00573849">
              <w:rPr>
                <w:rFonts w:ascii="Times New Roman" w:hAnsi="Times New Roman" w:cs="Times New Roman"/>
                <w:b/>
                <w:bCs/>
                <w:color w:val="auto"/>
                <w:sz w:val="28"/>
                <w:szCs w:val="28"/>
              </w:rPr>
              <w:t>GIÁM ĐỐC</w:t>
            </w:r>
          </w:p>
          <w:p w14:paraId="5277CE83" w14:textId="77777777" w:rsidR="00C46261" w:rsidRPr="00573849" w:rsidRDefault="00C46261" w:rsidP="004C44FE">
            <w:pPr>
              <w:rPr>
                <w:rFonts w:ascii="Times New Roman" w:hAnsi="Times New Roman" w:cs="Times New Roman"/>
                <w:color w:val="auto"/>
                <w:sz w:val="28"/>
                <w:szCs w:val="28"/>
              </w:rPr>
            </w:pPr>
          </w:p>
          <w:p w14:paraId="593A5001" w14:textId="77777777" w:rsidR="00C46261" w:rsidRPr="00573849" w:rsidRDefault="00C46261" w:rsidP="004C44FE">
            <w:pPr>
              <w:rPr>
                <w:rFonts w:ascii="Times New Roman" w:hAnsi="Times New Roman" w:cs="Times New Roman"/>
                <w:color w:val="auto"/>
                <w:sz w:val="28"/>
                <w:szCs w:val="28"/>
              </w:rPr>
            </w:pPr>
          </w:p>
          <w:p w14:paraId="2D1C1D17" w14:textId="77777777" w:rsidR="00C46261" w:rsidRPr="00573849" w:rsidRDefault="00C46261" w:rsidP="004C44FE">
            <w:pPr>
              <w:rPr>
                <w:rFonts w:ascii="Times New Roman" w:hAnsi="Times New Roman" w:cs="Times New Roman"/>
                <w:color w:val="auto"/>
                <w:sz w:val="28"/>
                <w:szCs w:val="28"/>
              </w:rPr>
            </w:pPr>
          </w:p>
          <w:p w14:paraId="2A94D652" w14:textId="77777777" w:rsidR="00C46261" w:rsidRPr="00573849" w:rsidRDefault="00C46261" w:rsidP="004C44FE">
            <w:pPr>
              <w:rPr>
                <w:rFonts w:ascii="Times New Roman" w:hAnsi="Times New Roman" w:cs="Times New Roman"/>
                <w:color w:val="auto"/>
                <w:sz w:val="28"/>
                <w:szCs w:val="28"/>
              </w:rPr>
            </w:pPr>
          </w:p>
          <w:p w14:paraId="3601471D" w14:textId="77777777" w:rsidR="00AD4400" w:rsidRPr="00573849" w:rsidRDefault="00AD4400" w:rsidP="004C44FE">
            <w:pPr>
              <w:rPr>
                <w:rFonts w:ascii="Times New Roman" w:hAnsi="Times New Roman" w:cs="Times New Roman"/>
                <w:b/>
                <w:color w:val="auto"/>
                <w:sz w:val="28"/>
                <w:szCs w:val="28"/>
                <w:lang w:val="en-US"/>
              </w:rPr>
            </w:pPr>
            <w:r w:rsidRPr="00573849">
              <w:rPr>
                <w:rFonts w:ascii="Times New Roman" w:hAnsi="Times New Roman" w:cs="Times New Roman"/>
                <w:b/>
                <w:color w:val="auto"/>
                <w:sz w:val="28"/>
                <w:szCs w:val="28"/>
                <w:lang w:val="en-US"/>
              </w:rPr>
              <w:t xml:space="preserve">                          </w:t>
            </w:r>
          </w:p>
          <w:p w14:paraId="26840F7E" w14:textId="108E25CE" w:rsidR="00C46261" w:rsidRPr="00573849" w:rsidRDefault="00AD4400" w:rsidP="00242CEF">
            <w:pPr>
              <w:rPr>
                <w:b/>
                <w:i/>
                <w:color w:val="auto"/>
                <w:sz w:val="28"/>
                <w:szCs w:val="28"/>
                <w:lang w:val="en-US" w:eastAsia="en-US"/>
              </w:rPr>
            </w:pPr>
            <w:r w:rsidRPr="00573849">
              <w:rPr>
                <w:rFonts w:ascii="Times New Roman" w:hAnsi="Times New Roman" w:cs="Times New Roman"/>
                <w:b/>
                <w:color w:val="auto"/>
                <w:sz w:val="28"/>
                <w:szCs w:val="28"/>
                <w:lang w:val="en-US"/>
              </w:rPr>
              <w:t xml:space="preserve">                      </w:t>
            </w:r>
          </w:p>
        </w:tc>
      </w:tr>
    </w:tbl>
    <w:p w14:paraId="3C7F8F2A" w14:textId="77777777" w:rsidR="00811DD1" w:rsidRDefault="00811DD1" w:rsidP="00095F50">
      <w:pPr>
        <w:spacing w:before="120"/>
        <w:jc w:val="center"/>
        <w:rPr>
          <w:rFonts w:ascii="Times New Roman" w:hAnsi="Times New Roman" w:cs="Times New Roman"/>
          <w:b/>
          <w:bCs/>
          <w:sz w:val="28"/>
          <w:szCs w:val="20"/>
        </w:rPr>
      </w:pPr>
    </w:p>
    <w:p w14:paraId="22C7F097" w14:textId="77777777" w:rsidR="00811DD1" w:rsidRDefault="00811DD1">
      <w:pPr>
        <w:widowControl/>
        <w:spacing w:after="120" w:line="288" w:lineRule="auto"/>
        <w:rPr>
          <w:rFonts w:ascii="Times New Roman" w:hAnsi="Times New Roman" w:cs="Times New Roman"/>
          <w:b/>
          <w:bCs/>
          <w:sz w:val="28"/>
          <w:szCs w:val="20"/>
        </w:rPr>
      </w:pPr>
      <w:r>
        <w:rPr>
          <w:rFonts w:ascii="Times New Roman" w:hAnsi="Times New Roman" w:cs="Times New Roman"/>
          <w:b/>
          <w:bCs/>
          <w:sz w:val="28"/>
          <w:szCs w:val="20"/>
        </w:rPr>
        <w:br w:type="page"/>
      </w:r>
    </w:p>
    <w:p w14:paraId="42D255E4" w14:textId="04A40106" w:rsidR="00095F50" w:rsidRPr="00D45C70" w:rsidRDefault="00095F50" w:rsidP="00095F50">
      <w:pPr>
        <w:spacing w:before="120"/>
        <w:jc w:val="center"/>
        <w:rPr>
          <w:rFonts w:ascii="Times New Roman" w:hAnsi="Times New Roman" w:cs="Times New Roman"/>
          <w:b/>
          <w:bCs/>
          <w:sz w:val="28"/>
          <w:szCs w:val="20"/>
          <w:lang w:val="en-US"/>
        </w:rPr>
      </w:pPr>
      <w:r w:rsidRPr="00D45C70">
        <w:rPr>
          <w:rFonts w:ascii="Times New Roman" w:hAnsi="Times New Roman" w:cs="Times New Roman"/>
          <w:b/>
          <w:bCs/>
          <w:sz w:val="28"/>
          <w:szCs w:val="20"/>
        </w:rPr>
        <w:lastRenderedPageBreak/>
        <w:t>Phụ lục</w:t>
      </w:r>
    </w:p>
    <w:p w14:paraId="1A35EDFD" w14:textId="77777777" w:rsidR="00095F50" w:rsidRPr="00D45C70" w:rsidRDefault="00095F50" w:rsidP="00095F50">
      <w:pPr>
        <w:spacing w:before="120" w:after="120"/>
        <w:rPr>
          <w:rFonts w:ascii="Times New Roman" w:hAnsi="Times New Roman" w:cs="Times New Roman"/>
          <w:b/>
          <w:bCs/>
          <w:sz w:val="28"/>
          <w:szCs w:val="20"/>
        </w:rPr>
      </w:pPr>
      <w:r w:rsidRPr="00D45C70">
        <w:rPr>
          <w:rFonts w:ascii="Times New Roman" w:hAnsi="Times New Roman" w:cs="Times New Roman"/>
          <w:b/>
          <w:bCs/>
          <w:sz w:val="28"/>
          <w:szCs w:val="20"/>
        </w:rPr>
        <w:t>1. Chủ trương, đường lối của Đảng có liên quan đến dự thảo</w:t>
      </w:r>
    </w:p>
    <w:tbl>
      <w:tblPr>
        <w:tblOverlap w:val="never"/>
        <w:tblW w:w="542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258"/>
        <w:gridCol w:w="3231"/>
        <w:gridCol w:w="2125"/>
        <w:gridCol w:w="1215"/>
      </w:tblGrid>
      <w:tr w:rsidR="00095F50" w:rsidRPr="006C6B3F" w14:paraId="125E714A" w14:textId="77777777" w:rsidTr="00E212A2">
        <w:trPr>
          <w:tblHeader/>
          <w:jc w:val="center"/>
        </w:trPr>
        <w:tc>
          <w:tcPr>
            <w:tcW w:w="1657" w:type="pct"/>
            <w:shd w:val="clear" w:color="auto" w:fill="FFFFFF"/>
          </w:tcPr>
          <w:p w14:paraId="21F7CB71" w14:textId="77777777" w:rsidR="00095F50" w:rsidRPr="006C6B3F" w:rsidRDefault="00095F50" w:rsidP="000D38E1">
            <w:pPr>
              <w:spacing w:before="120"/>
              <w:jc w:val="center"/>
              <w:rPr>
                <w:rFonts w:ascii="Times New Roman" w:hAnsi="Times New Roman" w:cs="Times New Roman"/>
                <w:b/>
                <w:bCs/>
                <w:sz w:val="26"/>
                <w:szCs w:val="26"/>
              </w:rPr>
            </w:pPr>
            <w:r w:rsidRPr="006C6B3F">
              <w:rPr>
                <w:rFonts w:ascii="Times New Roman" w:hAnsi="Times New Roman" w:cs="Times New Roman"/>
                <w:b/>
                <w:bCs/>
                <w:sz w:val="26"/>
                <w:szCs w:val="26"/>
              </w:rPr>
              <w:t>CHỦ TRƯƠNG, ĐƯỜNG LỐI CỦA ĐẢNG</w:t>
            </w:r>
          </w:p>
        </w:tc>
        <w:tc>
          <w:tcPr>
            <w:tcW w:w="1643" w:type="pct"/>
            <w:shd w:val="clear" w:color="auto" w:fill="FFFFFF"/>
          </w:tcPr>
          <w:p w14:paraId="3A44814C" w14:textId="77777777" w:rsidR="00095F50" w:rsidRPr="006C6B3F" w:rsidRDefault="00095F50" w:rsidP="000D38E1">
            <w:pPr>
              <w:spacing w:before="120"/>
              <w:jc w:val="center"/>
              <w:rPr>
                <w:rFonts w:ascii="Times New Roman" w:hAnsi="Times New Roman" w:cs="Times New Roman"/>
                <w:b/>
                <w:bCs/>
                <w:sz w:val="26"/>
                <w:szCs w:val="26"/>
              </w:rPr>
            </w:pPr>
            <w:r w:rsidRPr="006C6B3F">
              <w:rPr>
                <w:rFonts w:ascii="Times New Roman" w:hAnsi="Times New Roman" w:cs="Times New Roman"/>
                <w:b/>
                <w:bCs/>
                <w:sz w:val="26"/>
                <w:szCs w:val="26"/>
              </w:rPr>
              <w:t>CHÍNH SÁCH/QUY ĐỊNH CỦA DỰ THẢO</w:t>
            </w:r>
          </w:p>
        </w:tc>
        <w:tc>
          <w:tcPr>
            <w:tcW w:w="1081" w:type="pct"/>
            <w:shd w:val="clear" w:color="auto" w:fill="FFFFFF"/>
          </w:tcPr>
          <w:p w14:paraId="712112E1" w14:textId="77777777" w:rsidR="00095F50" w:rsidRPr="006C6B3F" w:rsidRDefault="00095F50" w:rsidP="000D38E1">
            <w:pPr>
              <w:spacing w:before="120"/>
              <w:jc w:val="center"/>
              <w:rPr>
                <w:rFonts w:ascii="Times New Roman" w:hAnsi="Times New Roman" w:cs="Times New Roman"/>
                <w:b/>
                <w:bCs/>
                <w:sz w:val="26"/>
                <w:szCs w:val="26"/>
              </w:rPr>
            </w:pPr>
            <w:r w:rsidRPr="006C6B3F">
              <w:rPr>
                <w:rFonts w:ascii="Times New Roman" w:hAnsi="Times New Roman" w:cs="Times New Roman"/>
                <w:b/>
                <w:bCs/>
                <w:sz w:val="26"/>
                <w:szCs w:val="26"/>
              </w:rPr>
              <w:t>ĐÁNH GIÁ</w:t>
            </w:r>
            <w:r w:rsidRPr="006C6B3F">
              <w:rPr>
                <w:rFonts w:ascii="Times New Roman" w:hAnsi="Times New Roman" w:cs="Times New Roman"/>
                <w:b/>
                <w:bCs/>
                <w:sz w:val="26"/>
                <w:szCs w:val="26"/>
              </w:rPr>
              <w:br/>
            </w:r>
            <w:r w:rsidRPr="006C6B3F">
              <w:rPr>
                <w:rFonts w:ascii="Times New Roman" w:hAnsi="Times New Roman" w:cs="Times New Roman"/>
                <w:bCs/>
                <w:sz w:val="26"/>
                <w:szCs w:val="26"/>
              </w:rPr>
              <w:t>(Đã thể chế đầy đủ hoặc một phần)</w:t>
            </w:r>
          </w:p>
        </w:tc>
        <w:tc>
          <w:tcPr>
            <w:tcW w:w="618" w:type="pct"/>
            <w:shd w:val="clear" w:color="auto" w:fill="FFFFFF"/>
          </w:tcPr>
          <w:p w14:paraId="1CDE2C83" w14:textId="77777777" w:rsidR="00095F50" w:rsidRPr="006C6B3F" w:rsidRDefault="00095F50" w:rsidP="000D38E1">
            <w:pPr>
              <w:spacing w:before="120"/>
              <w:jc w:val="center"/>
              <w:rPr>
                <w:rFonts w:ascii="Times New Roman" w:hAnsi="Times New Roman" w:cs="Times New Roman"/>
                <w:b/>
                <w:bCs/>
                <w:sz w:val="26"/>
                <w:szCs w:val="26"/>
              </w:rPr>
            </w:pPr>
            <w:r w:rsidRPr="006C6B3F">
              <w:rPr>
                <w:rFonts w:ascii="Times New Roman" w:hAnsi="Times New Roman" w:cs="Times New Roman"/>
                <w:b/>
                <w:bCs/>
                <w:sz w:val="26"/>
                <w:szCs w:val="26"/>
              </w:rPr>
              <w:t>ĐỀ XUẤT XỬ LÝ</w:t>
            </w:r>
          </w:p>
        </w:tc>
      </w:tr>
      <w:tr w:rsidR="00095F50" w:rsidRPr="006C6B3F" w14:paraId="288D9F41" w14:textId="77777777" w:rsidTr="00E212A2">
        <w:trPr>
          <w:jc w:val="center"/>
        </w:trPr>
        <w:tc>
          <w:tcPr>
            <w:tcW w:w="1657" w:type="pct"/>
            <w:shd w:val="clear" w:color="auto" w:fill="FFFFFF"/>
          </w:tcPr>
          <w:p w14:paraId="4C2CD33D" w14:textId="77777777" w:rsidR="00095F50" w:rsidRPr="006C6B3F" w:rsidRDefault="00095F50" w:rsidP="000D38E1">
            <w:pPr>
              <w:spacing w:before="60" w:after="60"/>
              <w:ind w:left="142" w:right="113"/>
              <w:jc w:val="both"/>
              <w:rPr>
                <w:rFonts w:ascii="Times New Roman" w:hAnsi="Times New Roman" w:cs="Times New Roman"/>
                <w:bCs/>
                <w:sz w:val="26"/>
                <w:szCs w:val="26"/>
                <w:lang w:val="pl-PL"/>
              </w:rPr>
            </w:pPr>
            <w:r w:rsidRPr="006C6B3F">
              <w:rPr>
                <w:rFonts w:ascii="Times New Roman" w:hAnsi="Times New Roman" w:cs="Times New Roman"/>
                <w:bCs/>
                <w:sz w:val="26"/>
                <w:szCs w:val="26"/>
                <w:lang w:val="pl-PL"/>
              </w:rPr>
              <w:t>Tiếp tục đổi mới, hoàn thiện thể chế, chính sách, nâng cao hiệu lực, hiệu quả quản lý và sử dụng đất, tạo động lực đưa nước ta trở thành nước phát triển có thu nhập cao</w:t>
            </w:r>
          </w:p>
        </w:tc>
        <w:tc>
          <w:tcPr>
            <w:tcW w:w="1643" w:type="pct"/>
            <w:shd w:val="clear" w:color="auto" w:fill="FFFFFF"/>
          </w:tcPr>
          <w:p w14:paraId="6EB09D34" w14:textId="77777777" w:rsidR="00095F50" w:rsidRPr="006C6B3F" w:rsidRDefault="00095F50" w:rsidP="000D38E1">
            <w:pPr>
              <w:spacing w:before="60" w:after="60"/>
              <w:ind w:left="142" w:right="113"/>
              <w:jc w:val="both"/>
              <w:rPr>
                <w:rFonts w:ascii="Times New Roman" w:hAnsi="Times New Roman" w:cs="Times New Roman"/>
                <w:bCs/>
                <w:sz w:val="26"/>
                <w:szCs w:val="26"/>
                <w:lang w:val="pl-PL"/>
              </w:rPr>
            </w:pPr>
            <w:r w:rsidRPr="006C6B3F">
              <w:rPr>
                <w:rFonts w:ascii="Times New Roman" w:hAnsi="Times New Roman" w:cs="Times New Roman"/>
                <w:bCs/>
                <w:sz w:val="26"/>
                <w:szCs w:val="26"/>
                <w:lang w:val="pl-PL"/>
              </w:rPr>
              <w:t>Nghị quyết số 18-NQ/TW ngày 16 tháng 6 năm 2022 Hội nghị lần thứ năm Ban Chấp hành Trung ương Đảng khóa XIII</w:t>
            </w:r>
          </w:p>
        </w:tc>
        <w:tc>
          <w:tcPr>
            <w:tcW w:w="1081" w:type="pct"/>
            <w:shd w:val="clear" w:color="auto" w:fill="FFFFFF"/>
          </w:tcPr>
          <w:p w14:paraId="088BD020" w14:textId="77777777" w:rsidR="00095F50" w:rsidRPr="006C6B3F" w:rsidRDefault="00095F50" w:rsidP="000D38E1">
            <w:pPr>
              <w:spacing w:before="120"/>
              <w:ind w:left="139" w:right="111"/>
              <w:jc w:val="center"/>
              <w:rPr>
                <w:rFonts w:ascii="Times New Roman" w:hAnsi="Times New Roman" w:cs="Times New Roman"/>
                <w:bCs/>
                <w:sz w:val="26"/>
                <w:szCs w:val="26"/>
                <w:lang w:val="pl-PL"/>
              </w:rPr>
            </w:pPr>
          </w:p>
        </w:tc>
        <w:tc>
          <w:tcPr>
            <w:tcW w:w="618" w:type="pct"/>
            <w:shd w:val="clear" w:color="auto" w:fill="FFFFFF"/>
          </w:tcPr>
          <w:p w14:paraId="76BC1564" w14:textId="77777777" w:rsidR="00095F50" w:rsidRPr="006C6B3F" w:rsidRDefault="00095F50" w:rsidP="000D38E1">
            <w:pPr>
              <w:spacing w:before="120"/>
              <w:ind w:left="139" w:right="111"/>
              <w:jc w:val="center"/>
              <w:rPr>
                <w:rFonts w:ascii="Times New Roman" w:hAnsi="Times New Roman" w:cs="Times New Roman"/>
                <w:bCs/>
                <w:sz w:val="26"/>
                <w:szCs w:val="26"/>
                <w:lang w:val="pl-PL"/>
              </w:rPr>
            </w:pPr>
          </w:p>
        </w:tc>
      </w:tr>
      <w:tr w:rsidR="00095F50" w:rsidRPr="006C6B3F" w14:paraId="11085D80" w14:textId="77777777" w:rsidTr="00E212A2">
        <w:trPr>
          <w:jc w:val="center"/>
        </w:trPr>
        <w:tc>
          <w:tcPr>
            <w:tcW w:w="1657" w:type="pct"/>
            <w:shd w:val="clear" w:color="auto" w:fill="FFFFFF"/>
          </w:tcPr>
          <w:p w14:paraId="5C235941" w14:textId="77777777" w:rsidR="00095F50" w:rsidRPr="006C6B3F" w:rsidRDefault="00095F50" w:rsidP="000D38E1">
            <w:pPr>
              <w:spacing w:before="60" w:after="60"/>
              <w:ind w:left="142" w:right="113"/>
              <w:jc w:val="both"/>
              <w:rPr>
                <w:rFonts w:ascii="Times New Roman" w:hAnsi="Times New Roman" w:cs="Times New Roman"/>
                <w:bCs/>
                <w:sz w:val="26"/>
                <w:szCs w:val="26"/>
                <w:lang w:val="pl-PL"/>
              </w:rPr>
            </w:pPr>
            <w:r w:rsidRPr="006C6B3F">
              <w:rPr>
                <w:rFonts w:ascii="Times New Roman" w:hAnsi="Times New Roman" w:cs="Times New Roman"/>
                <w:bCs/>
                <w:sz w:val="26"/>
                <w:szCs w:val="26"/>
                <w:lang w:val="pl-PL"/>
              </w:rPr>
              <w:t>Quy định giao nhiệm vụ, đặt hàng hoặc đấu thầu cung cấp sản phẩm, dịch vụ công sử dụng ngân sách nhà nước từ nguồn kinh phí chi thường xuyên</w:t>
            </w:r>
          </w:p>
        </w:tc>
        <w:tc>
          <w:tcPr>
            <w:tcW w:w="1643" w:type="pct"/>
            <w:shd w:val="clear" w:color="auto" w:fill="FFFFFF"/>
          </w:tcPr>
          <w:p w14:paraId="5323E7E1" w14:textId="77777777" w:rsidR="00095F50" w:rsidRPr="006C6B3F" w:rsidRDefault="00095F50" w:rsidP="000D38E1">
            <w:pPr>
              <w:spacing w:before="60" w:after="60"/>
              <w:ind w:left="142" w:right="113"/>
              <w:jc w:val="both"/>
              <w:rPr>
                <w:rFonts w:ascii="Times New Roman" w:hAnsi="Times New Roman" w:cs="Times New Roman"/>
                <w:bCs/>
                <w:sz w:val="26"/>
                <w:szCs w:val="26"/>
                <w:lang w:val="pl-PL"/>
              </w:rPr>
            </w:pPr>
            <w:r w:rsidRPr="006C6B3F">
              <w:rPr>
                <w:rFonts w:ascii="Times New Roman" w:hAnsi="Times New Roman" w:cs="Times New Roman"/>
                <w:bCs/>
                <w:sz w:val="26"/>
                <w:szCs w:val="26"/>
                <w:lang w:val="pl-PL"/>
              </w:rPr>
              <w:t>Nghị định số 32/2019/NĐ-CP ngày 10 tháng 4 năm 2019 của Thủ tướng Chính phủ</w:t>
            </w:r>
          </w:p>
        </w:tc>
        <w:tc>
          <w:tcPr>
            <w:tcW w:w="1081" w:type="pct"/>
            <w:shd w:val="clear" w:color="auto" w:fill="FFFFFF"/>
          </w:tcPr>
          <w:p w14:paraId="238397B4" w14:textId="77777777" w:rsidR="00095F50" w:rsidRPr="006C6B3F" w:rsidRDefault="00095F50" w:rsidP="000D38E1">
            <w:pPr>
              <w:spacing w:before="120"/>
              <w:ind w:left="139" w:right="111"/>
              <w:jc w:val="center"/>
              <w:rPr>
                <w:rFonts w:ascii="Times New Roman" w:hAnsi="Times New Roman" w:cs="Times New Roman"/>
                <w:bCs/>
                <w:sz w:val="26"/>
                <w:szCs w:val="26"/>
                <w:lang w:val="pl-PL"/>
              </w:rPr>
            </w:pPr>
          </w:p>
        </w:tc>
        <w:tc>
          <w:tcPr>
            <w:tcW w:w="618" w:type="pct"/>
            <w:shd w:val="clear" w:color="auto" w:fill="FFFFFF"/>
          </w:tcPr>
          <w:p w14:paraId="0A5F9CA0" w14:textId="77777777" w:rsidR="00095F50" w:rsidRPr="006C6B3F" w:rsidRDefault="00095F50" w:rsidP="000D38E1">
            <w:pPr>
              <w:spacing w:before="120"/>
              <w:ind w:left="139" w:right="111"/>
              <w:jc w:val="center"/>
              <w:rPr>
                <w:rFonts w:ascii="Times New Roman" w:hAnsi="Times New Roman" w:cs="Times New Roman"/>
                <w:bCs/>
                <w:sz w:val="26"/>
                <w:szCs w:val="26"/>
                <w:lang w:val="pl-PL"/>
              </w:rPr>
            </w:pPr>
          </w:p>
        </w:tc>
      </w:tr>
      <w:tr w:rsidR="00095F50" w:rsidRPr="006C6B3F" w14:paraId="795597C8" w14:textId="77777777" w:rsidTr="00E212A2">
        <w:trPr>
          <w:jc w:val="center"/>
        </w:trPr>
        <w:tc>
          <w:tcPr>
            <w:tcW w:w="1657" w:type="pct"/>
            <w:shd w:val="clear" w:color="auto" w:fill="FFFFFF"/>
          </w:tcPr>
          <w:p w14:paraId="08F7B3E5" w14:textId="77777777" w:rsidR="00095F50" w:rsidRPr="006C6B3F" w:rsidRDefault="00095F50" w:rsidP="000D38E1">
            <w:pPr>
              <w:spacing w:before="60" w:after="60"/>
              <w:ind w:left="142" w:right="113"/>
              <w:jc w:val="both"/>
              <w:rPr>
                <w:rFonts w:ascii="Times New Roman" w:hAnsi="Times New Roman" w:cs="Times New Roman"/>
                <w:bCs/>
                <w:sz w:val="26"/>
                <w:szCs w:val="26"/>
                <w:lang w:val="pl-PL"/>
              </w:rPr>
            </w:pPr>
            <w:r w:rsidRPr="006C6B3F">
              <w:rPr>
                <w:rFonts w:ascii="Times New Roman" w:hAnsi="Times New Roman" w:cs="Times New Roman"/>
                <w:bCs/>
                <w:sz w:val="26"/>
                <w:szCs w:val="26"/>
                <w:lang w:val="pl-PL"/>
              </w:rPr>
              <w:t>Về việc ban hành định mức kinh tế kỹ thuật thuộc phạm vi quản lý đất đai tại địa phương</w:t>
            </w:r>
          </w:p>
        </w:tc>
        <w:tc>
          <w:tcPr>
            <w:tcW w:w="1643" w:type="pct"/>
            <w:shd w:val="clear" w:color="auto" w:fill="FFFFFF"/>
          </w:tcPr>
          <w:p w14:paraId="21BD1B1B" w14:textId="77777777" w:rsidR="00095F50" w:rsidRPr="006C6B3F" w:rsidRDefault="00095F50" w:rsidP="000D38E1">
            <w:pPr>
              <w:spacing w:before="60" w:after="60"/>
              <w:ind w:left="142" w:right="113"/>
              <w:jc w:val="both"/>
              <w:rPr>
                <w:rFonts w:ascii="Times New Roman" w:hAnsi="Times New Roman" w:cs="Times New Roman"/>
                <w:bCs/>
                <w:sz w:val="26"/>
                <w:szCs w:val="26"/>
                <w:lang w:val="pl-PL"/>
              </w:rPr>
            </w:pPr>
            <w:r w:rsidRPr="006C6B3F">
              <w:rPr>
                <w:rFonts w:ascii="Times New Roman" w:hAnsi="Times New Roman" w:cs="Times New Roman"/>
                <w:bCs/>
                <w:sz w:val="26"/>
                <w:szCs w:val="26"/>
                <w:lang w:val="pl-PL"/>
              </w:rPr>
              <w:t>Công văn số 6647/BTNMT-QHPTTNĐ ngày 20 tháng 9 năm 2024 của Bộ Tài nguyên và Môi trường</w:t>
            </w:r>
          </w:p>
        </w:tc>
        <w:tc>
          <w:tcPr>
            <w:tcW w:w="1081" w:type="pct"/>
            <w:shd w:val="clear" w:color="auto" w:fill="FFFFFF"/>
          </w:tcPr>
          <w:p w14:paraId="6EC59626" w14:textId="77777777" w:rsidR="00095F50" w:rsidRPr="006C6B3F" w:rsidRDefault="00095F50" w:rsidP="000D38E1">
            <w:pPr>
              <w:spacing w:before="60" w:after="60"/>
              <w:ind w:left="142" w:right="113"/>
              <w:jc w:val="center"/>
              <w:rPr>
                <w:rFonts w:ascii="Times New Roman" w:hAnsi="Times New Roman" w:cs="Times New Roman"/>
                <w:bCs/>
                <w:sz w:val="26"/>
                <w:szCs w:val="26"/>
                <w:lang w:val="pl-PL"/>
              </w:rPr>
            </w:pPr>
          </w:p>
        </w:tc>
        <w:tc>
          <w:tcPr>
            <w:tcW w:w="618" w:type="pct"/>
            <w:shd w:val="clear" w:color="auto" w:fill="FFFFFF"/>
          </w:tcPr>
          <w:p w14:paraId="2D1E2A9D" w14:textId="77777777" w:rsidR="00095F50" w:rsidRPr="006C6B3F" w:rsidRDefault="00095F50" w:rsidP="000D38E1">
            <w:pPr>
              <w:spacing w:before="60" w:after="60"/>
              <w:ind w:left="142" w:right="113"/>
              <w:jc w:val="center"/>
              <w:rPr>
                <w:rFonts w:ascii="Times New Roman" w:hAnsi="Times New Roman" w:cs="Times New Roman"/>
                <w:bCs/>
                <w:sz w:val="26"/>
                <w:szCs w:val="26"/>
                <w:lang w:val="pl-PL"/>
              </w:rPr>
            </w:pPr>
          </w:p>
        </w:tc>
      </w:tr>
    </w:tbl>
    <w:p w14:paraId="63ACD02F" w14:textId="77777777" w:rsidR="00095F50" w:rsidRPr="00E463BE" w:rsidRDefault="00095F50" w:rsidP="00095F50">
      <w:pPr>
        <w:spacing w:before="120" w:after="120"/>
        <w:rPr>
          <w:rFonts w:ascii="Times New Roman" w:hAnsi="Times New Roman" w:cs="Times New Roman"/>
          <w:b/>
          <w:bCs/>
          <w:sz w:val="22"/>
          <w:szCs w:val="20"/>
        </w:rPr>
      </w:pPr>
      <w:r w:rsidRPr="00D45C70">
        <w:rPr>
          <w:rFonts w:ascii="Times New Roman" w:hAnsi="Times New Roman" w:cs="Times New Roman"/>
          <w:b/>
          <w:bCs/>
          <w:sz w:val="28"/>
          <w:szCs w:val="20"/>
        </w:rPr>
        <w:t>2. Văn bản quy phạm pháp luật có liên quan đến dự thảo</w:t>
      </w:r>
    </w:p>
    <w:tbl>
      <w:tblPr>
        <w:tblOverlap w:val="never"/>
        <w:tblW w:w="535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056"/>
        <w:gridCol w:w="2896"/>
        <w:gridCol w:w="2593"/>
        <w:gridCol w:w="1159"/>
      </w:tblGrid>
      <w:tr w:rsidR="00095F50" w:rsidRPr="00756F7F" w14:paraId="79B83BB9" w14:textId="77777777" w:rsidTr="00E212A2">
        <w:trPr>
          <w:tblHeader/>
          <w:jc w:val="center"/>
        </w:trPr>
        <w:tc>
          <w:tcPr>
            <w:tcW w:w="1575" w:type="pct"/>
            <w:shd w:val="clear" w:color="auto" w:fill="FFFFFF"/>
          </w:tcPr>
          <w:p w14:paraId="77BB9714" w14:textId="77777777" w:rsidR="00095F50" w:rsidRPr="00756F7F" w:rsidRDefault="00095F50" w:rsidP="000D38E1">
            <w:pPr>
              <w:spacing w:before="120"/>
              <w:jc w:val="center"/>
              <w:rPr>
                <w:rFonts w:ascii="Times New Roman" w:hAnsi="Times New Roman" w:cs="Times New Roman"/>
                <w:b/>
                <w:bCs/>
                <w:sz w:val="26"/>
                <w:szCs w:val="26"/>
              </w:rPr>
            </w:pPr>
            <w:r w:rsidRPr="00756F7F">
              <w:rPr>
                <w:rFonts w:ascii="Times New Roman" w:hAnsi="Times New Roman" w:cs="Times New Roman"/>
                <w:b/>
                <w:bCs/>
                <w:sz w:val="26"/>
                <w:szCs w:val="26"/>
              </w:rPr>
              <w:t>QUY ĐỊNH CỦA DỰ THẢO VĂN BẢN</w:t>
            </w:r>
          </w:p>
        </w:tc>
        <w:tc>
          <w:tcPr>
            <w:tcW w:w="1492" w:type="pct"/>
            <w:shd w:val="clear" w:color="auto" w:fill="FFFFFF"/>
          </w:tcPr>
          <w:p w14:paraId="729FCBB4" w14:textId="77777777" w:rsidR="00095F50" w:rsidRPr="00756F7F" w:rsidRDefault="00095F50" w:rsidP="000D38E1">
            <w:pPr>
              <w:spacing w:before="120"/>
              <w:jc w:val="center"/>
              <w:rPr>
                <w:rFonts w:ascii="Times New Roman" w:hAnsi="Times New Roman" w:cs="Times New Roman"/>
                <w:b/>
                <w:bCs/>
                <w:sz w:val="26"/>
                <w:szCs w:val="26"/>
              </w:rPr>
            </w:pPr>
            <w:r w:rsidRPr="00756F7F">
              <w:rPr>
                <w:rFonts w:ascii="Times New Roman" w:hAnsi="Times New Roman" w:cs="Times New Roman"/>
                <w:b/>
                <w:bCs/>
                <w:sz w:val="26"/>
                <w:szCs w:val="26"/>
              </w:rPr>
              <w:t>QUY ĐỊNH CỦA PHÁP LUẬT HIỆN HÀNH CÓ LIÊN QUAN</w:t>
            </w:r>
          </w:p>
        </w:tc>
        <w:tc>
          <w:tcPr>
            <w:tcW w:w="1336" w:type="pct"/>
            <w:shd w:val="clear" w:color="auto" w:fill="FFFFFF"/>
          </w:tcPr>
          <w:p w14:paraId="7756B8E4" w14:textId="77777777" w:rsidR="00095F50" w:rsidRPr="00756F7F" w:rsidRDefault="00095F50" w:rsidP="000D38E1">
            <w:pPr>
              <w:spacing w:before="120"/>
              <w:jc w:val="center"/>
              <w:rPr>
                <w:rFonts w:ascii="Times New Roman" w:hAnsi="Times New Roman" w:cs="Times New Roman"/>
                <w:b/>
                <w:bCs/>
                <w:sz w:val="26"/>
                <w:szCs w:val="26"/>
              </w:rPr>
            </w:pPr>
            <w:r w:rsidRPr="00756F7F">
              <w:rPr>
                <w:rFonts w:ascii="Times New Roman" w:hAnsi="Times New Roman" w:cs="Times New Roman"/>
                <w:b/>
                <w:bCs/>
                <w:sz w:val="26"/>
                <w:szCs w:val="26"/>
              </w:rPr>
              <w:t>ĐÁNH GIÁ</w:t>
            </w:r>
            <w:r w:rsidRPr="00756F7F">
              <w:rPr>
                <w:rFonts w:ascii="Times New Roman" w:hAnsi="Times New Roman" w:cs="Times New Roman"/>
                <w:b/>
                <w:bCs/>
                <w:sz w:val="26"/>
                <w:szCs w:val="26"/>
              </w:rPr>
              <w:br/>
            </w:r>
            <w:r w:rsidRPr="00756F7F">
              <w:rPr>
                <w:rFonts w:ascii="Times New Roman" w:hAnsi="Times New Roman" w:cs="Times New Roman"/>
                <w:bCs/>
                <w:sz w:val="26"/>
                <w:szCs w:val="26"/>
              </w:rPr>
              <w:t>(Tính hợp hiến, tính hợp pháp, tính thống nhất)</w:t>
            </w:r>
          </w:p>
        </w:tc>
        <w:tc>
          <w:tcPr>
            <w:tcW w:w="598" w:type="pct"/>
            <w:shd w:val="clear" w:color="auto" w:fill="FFFFFF"/>
          </w:tcPr>
          <w:p w14:paraId="54FFF073" w14:textId="77777777" w:rsidR="00095F50" w:rsidRPr="00756F7F" w:rsidRDefault="00095F50" w:rsidP="000D38E1">
            <w:pPr>
              <w:spacing w:before="120"/>
              <w:jc w:val="center"/>
              <w:rPr>
                <w:rFonts w:ascii="Times New Roman" w:hAnsi="Times New Roman" w:cs="Times New Roman"/>
                <w:b/>
                <w:bCs/>
                <w:sz w:val="26"/>
                <w:szCs w:val="26"/>
              </w:rPr>
            </w:pPr>
            <w:r w:rsidRPr="00756F7F">
              <w:rPr>
                <w:rFonts w:ascii="Times New Roman" w:hAnsi="Times New Roman" w:cs="Times New Roman"/>
                <w:b/>
                <w:bCs/>
                <w:sz w:val="26"/>
                <w:szCs w:val="26"/>
                <w:lang w:val="en-US"/>
              </w:rPr>
              <w:t>ĐỀ</w:t>
            </w:r>
            <w:r w:rsidRPr="00756F7F">
              <w:rPr>
                <w:rFonts w:ascii="Times New Roman" w:hAnsi="Times New Roman" w:cs="Times New Roman"/>
                <w:b/>
                <w:bCs/>
                <w:sz w:val="26"/>
                <w:szCs w:val="26"/>
              </w:rPr>
              <w:t xml:space="preserve"> XU</w:t>
            </w:r>
            <w:r w:rsidRPr="00756F7F">
              <w:rPr>
                <w:rFonts w:ascii="Times New Roman" w:hAnsi="Times New Roman" w:cs="Times New Roman"/>
                <w:b/>
                <w:bCs/>
                <w:sz w:val="26"/>
                <w:szCs w:val="26"/>
                <w:lang w:val="en-US"/>
              </w:rPr>
              <w:t>Ấ</w:t>
            </w:r>
            <w:r w:rsidRPr="00756F7F">
              <w:rPr>
                <w:rFonts w:ascii="Times New Roman" w:hAnsi="Times New Roman" w:cs="Times New Roman"/>
                <w:b/>
                <w:bCs/>
                <w:sz w:val="26"/>
                <w:szCs w:val="26"/>
              </w:rPr>
              <w:t>T XỬ LÝ</w:t>
            </w:r>
          </w:p>
        </w:tc>
      </w:tr>
      <w:tr w:rsidR="00095F50" w:rsidRPr="00756F7F" w14:paraId="0156910A" w14:textId="77777777" w:rsidTr="00E212A2">
        <w:trPr>
          <w:jc w:val="center"/>
        </w:trPr>
        <w:tc>
          <w:tcPr>
            <w:tcW w:w="1575" w:type="pct"/>
            <w:shd w:val="clear" w:color="auto" w:fill="FFFFFF"/>
          </w:tcPr>
          <w:p w14:paraId="2BD82125"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Quy định xây dựng định mức kinh tế - kỹ thuật thuộc phạm vi quản lý nhà nước của Bộ Tài nguyên và Môi trường</w:t>
            </w:r>
          </w:p>
        </w:tc>
        <w:tc>
          <w:tcPr>
            <w:tcW w:w="1492" w:type="pct"/>
            <w:shd w:val="clear" w:color="auto" w:fill="FFFFFF"/>
          </w:tcPr>
          <w:p w14:paraId="1D7C4283"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 xml:space="preserve">Thông tư số 16/2021/TT-BTNMT ngày 27 tháng 9 năm 2021 của Bộ trưởng Bộ Tài nguyên và Môi trường </w:t>
            </w:r>
          </w:p>
        </w:tc>
        <w:tc>
          <w:tcPr>
            <w:tcW w:w="1336" w:type="pct"/>
            <w:shd w:val="clear" w:color="auto" w:fill="FFFFFF"/>
          </w:tcPr>
          <w:p w14:paraId="43106CAA"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Tính hợp hiến, tính hợp pháp, tính thống nhất</w:t>
            </w:r>
          </w:p>
        </w:tc>
        <w:tc>
          <w:tcPr>
            <w:tcW w:w="598" w:type="pct"/>
            <w:shd w:val="clear" w:color="auto" w:fill="FFFFFF"/>
          </w:tcPr>
          <w:p w14:paraId="68257DC3" w14:textId="77777777" w:rsidR="00095F50" w:rsidRPr="00756F7F" w:rsidRDefault="00095F50" w:rsidP="000D38E1">
            <w:pPr>
              <w:spacing w:before="60" w:after="60"/>
              <w:ind w:left="142" w:right="113"/>
              <w:jc w:val="center"/>
              <w:rPr>
                <w:rFonts w:ascii="Times New Roman" w:hAnsi="Times New Roman" w:cs="Times New Roman"/>
                <w:bCs/>
                <w:sz w:val="26"/>
                <w:szCs w:val="26"/>
                <w:lang w:val="pl-PL"/>
              </w:rPr>
            </w:pPr>
          </w:p>
        </w:tc>
      </w:tr>
      <w:tr w:rsidR="00095F50" w:rsidRPr="00756F7F" w14:paraId="4BB86C97" w14:textId="77777777" w:rsidTr="00E212A2">
        <w:trPr>
          <w:jc w:val="center"/>
        </w:trPr>
        <w:tc>
          <w:tcPr>
            <w:tcW w:w="1575" w:type="pct"/>
            <w:shd w:val="clear" w:color="auto" w:fill="FFFFFF"/>
          </w:tcPr>
          <w:p w14:paraId="7106CF06"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Quy định chi tiết một số điều và biện pháp để tổ chức, hướng dẫn thi hành luật ban hành văn bản quy phạm pháp luật;</w:t>
            </w:r>
          </w:p>
        </w:tc>
        <w:tc>
          <w:tcPr>
            <w:tcW w:w="1492" w:type="pct"/>
            <w:shd w:val="clear" w:color="auto" w:fill="FFFFFF"/>
          </w:tcPr>
          <w:p w14:paraId="2D410155"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Nghị định số 78/2025/NĐ-CP ngày 01 tháng 04 năm 2025 của Thủ tướng Chính phủ</w:t>
            </w:r>
          </w:p>
        </w:tc>
        <w:tc>
          <w:tcPr>
            <w:tcW w:w="1336" w:type="pct"/>
            <w:shd w:val="clear" w:color="auto" w:fill="FFFFFF"/>
          </w:tcPr>
          <w:p w14:paraId="31DCEB54"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Tính hợp hiến, tính hợp pháp, tính thống nhất</w:t>
            </w:r>
          </w:p>
        </w:tc>
        <w:tc>
          <w:tcPr>
            <w:tcW w:w="598" w:type="pct"/>
            <w:shd w:val="clear" w:color="auto" w:fill="FFFFFF"/>
          </w:tcPr>
          <w:p w14:paraId="033CBA01" w14:textId="77777777" w:rsidR="00095F50" w:rsidRPr="00756F7F" w:rsidRDefault="00095F50" w:rsidP="000D38E1">
            <w:pPr>
              <w:spacing w:before="60" w:after="60"/>
              <w:ind w:left="142" w:right="113"/>
              <w:jc w:val="center"/>
              <w:rPr>
                <w:rFonts w:ascii="Times New Roman" w:hAnsi="Times New Roman" w:cs="Times New Roman"/>
                <w:bCs/>
                <w:sz w:val="26"/>
                <w:szCs w:val="26"/>
                <w:lang w:val="pl-PL"/>
              </w:rPr>
            </w:pPr>
          </w:p>
        </w:tc>
      </w:tr>
      <w:tr w:rsidR="00095F50" w:rsidRPr="00756F7F" w14:paraId="6E7B4E4A" w14:textId="77777777" w:rsidTr="00E212A2">
        <w:trPr>
          <w:jc w:val="center"/>
        </w:trPr>
        <w:tc>
          <w:tcPr>
            <w:tcW w:w="1575" w:type="pct"/>
            <w:shd w:val="clear" w:color="auto" w:fill="FFFFFF"/>
          </w:tcPr>
          <w:p w14:paraId="7D2AA77C"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Quy định về phân định thẩm quyền của chính quyền địa phương 02 cấp, phân quyền, phân cấp trong lĩnh vực đất đai</w:t>
            </w:r>
          </w:p>
        </w:tc>
        <w:tc>
          <w:tcPr>
            <w:tcW w:w="1492" w:type="pct"/>
            <w:shd w:val="clear" w:color="auto" w:fill="FFFFFF"/>
          </w:tcPr>
          <w:p w14:paraId="68682D97"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Nghị định số 151/2025/NĐ-CP ngày 12 tháng 6 năm 2025 của Chính phủ</w:t>
            </w:r>
          </w:p>
        </w:tc>
        <w:tc>
          <w:tcPr>
            <w:tcW w:w="1336" w:type="pct"/>
            <w:shd w:val="clear" w:color="auto" w:fill="FFFFFF"/>
          </w:tcPr>
          <w:p w14:paraId="7FA9E945"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Tính hợp hiến, tính hợp pháp, tính thống nhất của chính quyền địa phương 02 cấp</w:t>
            </w:r>
          </w:p>
        </w:tc>
        <w:tc>
          <w:tcPr>
            <w:tcW w:w="598" w:type="pct"/>
            <w:shd w:val="clear" w:color="auto" w:fill="FFFFFF"/>
          </w:tcPr>
          <w:p w14:paraId="34670017" w14:textId="77777777" w:rsidR="00095F50" w:rsidRPr="00756F7F" w:rsidRDefault="00095F50" w:rsidP="000D38E1">
            <w:pPr>
              <w:spacing w:before="60" w:after="60"/>
              <w:ind w:left="142" w:right="113"/>
              <w:jc w:val="center"/>
              <w:rPr>
                <w:rFonts w:ascii="Times New Roman" w:hAnsi="Times New Roman" w:cs="Times New Roman"/>
                <w:bCs/>
                <w:sz w:val="26"/>
                <w:szCs w:val="26"/>
                <w:lang w:val="pl-PL"/>
              </w:rPr>
            </w:pPr>
          </w:p>
        </w:tc>
      </w:tr>
      <w:tr w:rsidR="00095F50" w:rsidRPr="00756F7F" w14:paraId="1F3FE8D3" w14:textId="77777777" w:rsidTr="00E212A2">
        <w:trPr>
          <w:jc w:val="center"/>
        </w:trPr>
        <w:tc>
          <w:tcPr>
            <w:tcW w:w="1575" w:type="pct"/>
            <w:shd w:val="clear" w:color="auto" w:fill="FFFFFF"/>
          </w:tcPr>
          <w:p w14:paraId="0B776838"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 xml:space="preserve">Quy định mã số và tiêu chuẩn chức danh nghề nghiệp viên chức chuyên </w:t>
            </w:r>
            <w:r w:rsidRPr="00756F7F">
              <w:rPr>
                <w:rFonts w:ascii="Times New Roman" w:hAnsi="Times New Roman" w:cs="Times New Roman"/>
                <w:bCs/>
                <w:sz w:val="26"/>
                <w:szCs w:val="26"/>
                <w:lang w:val="pl-PL"/>
              </w:rPr>
              <w:lastRenderedPageBreak/>
              <w:t>ngành địa chính</w:t>
            </w:r>
          </w:p>
        </w:tc>
        <w:tc>
          <w:tcPr>
            <w:tcW w:w="1492" w:type="pct"/>
            <w:shd w:val="clear" w:color="auto" w:fill="FFFFFF"/>
          </w:tcPr>
          <w:p w14:paraId="7EE5DF37"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lastRenderedPageBreak/>
              <w:t xml:space="preserve">Thông tư liên tịch số 52/2015/TTLT-BTNMT-BNV ngày 08 </w:t>
            </w:r>
            <w:r w:rsidRPr="00756F7F">
              <w:rPr>
                <w:rFonts w:ascii="Times New Roman" w:hAnsi="Times New Roman" w:cs="Times New Roman"/>
                <w:bCs/>
                <w:sz w:val="26"/>
                <w:szCs w:val="26"/>
                <w:lang w:val="pl-PL"/>
              </w:rPr>
              <w:lastRenderedPageBreak/>
              <w:t>tháng 12 năm 2015 của Bộ Tài nguyên và Môi trường và Bộ Nội vụ</w:t>
            </w:r>
          </w:p>
        </w:tc>
        <w:tc>
          <w:tcPr>
            <w:tcW w:w="1336" w:type="pct"/>
            <w:shd w:val="clear" w:color="auto" w:fill="FFFFFF"/>
          </w:tcPr>
          <w:p w14:paraId="53B14DFF"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lastRenderedPageBreak/>
              <w:t xml:space="preserve">Tính hợp hiến, tính hợp pháp, tính thống </w:t>
            </w:r>
            <w:r w:rsidRPr="00756F7F">
              <w:rPr>
                <w:rFonts w:ascii="Times New Roman" w:hAnsi="Times New Roman" w:cs="Times New Roman"/>
                <w:bCs/>
                <w:sz w:val="26"/>
                <w:szCs w:val="26"/>
                <w:lang w:val="pl-PL"/>
              </w:rPr>
              <w:lastRenderedPageBreak/>
              <w:t>nhất</w:t>
            </w:r>
          </w:p>
        </w:tc>
        <w:tc>
          <w:tcPr>
            <w:tcW w:w="598" w:type="pct"/>
            <w:shd w:val="clear" w:color="auto" w:fill="FFFFFF"/>
          </w:tcPr>
          <w:p w14:paraId="540A03C8" w14:textId="77777777" w:rsidR="00095F50" w:rsidRPr="00756F7F" w:rsidRDefault="00095F50" w:rsidP="000D38E1">
            <w:pPr>
              <w:spacing w:before="60" w:after="60"/>
              <w:ind w:left="142" w:right="113"/>
              <w:jc w:val="center"/>
              <w:rPr>
                <w:rFonts w:ascii="Times New Roman" w:hAnsi="Times New Roman" w:cs="Times New Roman"/>
                <w:bCs/>
                <w:sz w:val="26"/>
                <w:szCs w:val="26"/>
                <w:lang w:val="pl-PL"/>
              </w:rPr>
            </w:pPr>
          </w:p>
        </w:tc>
      </w:tr>
      <w:tr w:rsidR="00095F50" w:rsidRPr="00756F7F" w14:paraId="22BA096C" w14:textId="77777777" w:rsidTr="00E212A2">
        <w:trPr>
          <w:jc w:val="center"/>
        </w:trPr>
        <w:tc>
          <w:tcPr>
            <w:tcW w:w="1575" w:type="pct"/>
            <w:shd w:val="clear" w:color="auto" w:fill="FFFFFF"/>
          </w:tcPr>
          <w:p w14:paraId="71D39FF8"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tc>
        <w:tc>
          <w:tcPr>
            <w:tcW w:w="1492" w:type="pct"/>
            <w:shd w:val="clear" w:color="auto" w:fill="FFFFFF"/>
          </w:tcPr>
          <w:p w14:paraId="5EACEB92"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Thông tư số 23/2023/TT-BTC ngày 25 tháng 4 năm 2023 của Bộ trưởng Bộ Tài chính</w:t>
            </w:r>
          </w:p>
        </w:tc>
        <w:tc>
          <w:tcPr>
            <w:tcW w:w="1336" w:type="pct"/>
            <w:shd w:val="clear" w:color="auto" w:fill="FFFFFF"/>
          </w:tcPr>
          <w:p w14:paraId="2AD63142"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Tính hợp hiến, tính hợp pháp, tính thống nhất</w:t>
            </w:r>
          </w:p>
        </w:tc>
        <w:tc>
          <w:tcPr>
            <w:tcW w:w="598" w:type="pct"/>
            <w:shd w:val="clear" w:color="auto" w:fill="FFFFFF"/>
          </w:tcPr>
          <w:p w14:paraId="762C760F" w14:textId="77777777" w:rsidR="00095F50" w:rsidRPr="00756F7F" w:rsidRDefault="00095F50" w:rsidP="000D38E1">
            <w:pPr>
              <w:spacing w:before="60" w:after="60"/>
              <w:ind w:left="142" w:right="113"/>
              <w:jc w:val="center"/>
              <w:rPr>
                <w:rFonts w:ascii="Times New Roman" w:hAnsi="Times New Roman" w:cs="Times New Roman"/>
                <w:bCs/>
                <w:sz w:val="26"/>
                <w:szCs w:val="26"/>
                <w:lang w:val="pl-PL"/>
              </w:rPr>
            </w:pPr>
          </w:p>
        </w:tc>
      </w:tr>
      <w:tr w:rsidR="00095F50" w:rsidRPr="00756F7F" w14:paraId="6AB8533D" w14:textId="77777777" w:rsidTr="00E212A2">
        <w:trPr>
          <w:jc w:val="center"/>
        </w:trPr>
        <w:tc>
          <w:tcPr>
            <w:tcW w:w="1575" w:type="pct"/>
            <w:shd w:val="clear" w:color="auto" w:fill="FFFFFF"/>
          </w:tcPr>
          <w:p w14:paraId="56084455" w14:textId="0C4554CE" w:rsidR="00095F50" w:rsidRPr="00404274" w:rsidRDefault="00047F49" w:rsidP="000D38E1">
            <w:pPr>
              <w:spacing w:before="60" w:after="60"/>
              <w:ind w:left="142" w:right="113"/>
              <w:jc w:val="both"/>
              <w:rPr>
                <w:rFonts w:ascii="Times New Roman" w:hAnsi="Times New Roman" w:cs="Times New Roman"/>
                <w:bCs/>
                <w:sz w:val="26"/>
                <w:szCs w:val="26"/>
                <w:highlight w:val="yellow"/>
                <w:lang w:val="pl-PL"/>
              </w:rPr>
            </w:pPr>
            <w:r>
              <w:rPr>
                <w:rFonts w:ascii="Times New Roman" w:hAnsi="Times New Roman" w:cs="Times New Roman"/>
                <w:bCs/>
                <w:sz w:val="26"/>
                <w:szCs w:val="26"/>
                <w:lang w:val="pl-PL"/>
              </w:rPr>
              <w:t>Q</w:t>
            </w:r>
            <w:r w:rsidRPr="00047F49">
              <w:rPr>
                <w:rFonts w:ascii="Times New Roman" w:hAnsi="Times New Roman" w:cs="Times New Roman"/>
                <w:bCs/>
                <w:sz w:val="26"/>
                <w:szCs w:val="26"/>
                <w:lang w:val="pl-PL"/>
              </w:rPr>
              <w:t>uy định về thống kê, kiểm kê đất đai và lập bản đồ hiện trạng sử dụng đất</w:t>
            </w:r>
          </w:p>
        </w:tc>
        <w:tc>
          <w:tcPr>
            <w:tcW w:w="1492" w:type="pct"/>
            <w:shd w:val="clear" w:color="auto" w:fill="FFFFFF"/>
          </w:tcPr>
          <w:p w14:paraId="16325164" w14:textId="19E872A2" w:rsidR="00095F50" w:rsidRPr="00756F7F" w:rsidRDefault="00B83701" w:rsidP="000D38E1">
            <w:pPr>
              <w:spacing w:before="60" w:after="60"/>
              <w:ind w:left="142" w:right="113"/>
              <w:jc w:val="both"/>
              <w:rPr>
                <w:rFonts w:ascii="Times New Roman" w:hAnsi="Times New Roman" w:cs="Times New Roman"/>
                <w:bCs/>
                <w:sz w:val="26"/>
                <w:szCs w:val="26"/>
                <w:lang w:val="pl-PL"/>
              </w:rPr>
            </w:pPr>
            <w:r w:rsidRPr="00B83701">
              <w:rPr>
                <w:rFonts w:ascii="Times New Roman" w:hAnsi="Times New Roman" w:cs="Times New Roman"/>
                <w:bCs/>
                <w:sz w:val="26"/>
                <w:szCs w:val="26"/>
                <w:lang w:val="pl-PL"/>
              </w:rPr>
              <w:t>Thông tư số 08/2024/TT-BTNMT ngày 31 tháng 7 năm 2024 của Bộ trưởng Bộ Tài nguyên và Môi trường Quy định về thống kê, kiểm kê đất đai và lập bản đồ hiện trạng sử dụng đất</w:t>
            </w:r>
          </w:p>
        </w:tc>
        <w:tc>
          <w:tcPr>
            <w:tcW w:w="1336" w:type="pct"/>
            <w:shd w:val="clear" w:color="auto" w:fill="FFFFFF"/>
          </w:tcPr>
          <w:p w14:paraId="23691B02"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Tính hợp hiến, tính hợp pháp, tính thống nhất</w:t>
            </w:r>
          </w:p>
        </w:tc>
        <w:tc>
          <w:tcPr>
            <w:tcW w:w="598" w:type="pct"/>
            <w:shd w:val="clear" w:color="auto" w:fill="FFFFFF"/>
          </w:tcPr>
          <w:p w14:paraId="123DDF9D" w14:textId="77777777" w:rsidR="00095F50" w:rsidRPr="00756F7F" w:rsidRDefault="00095F50" w:rsidP="000D38E1">
            <w:pPr>
              <w:spacing w:before="60" w:after="60"/>
              <w:ind w:left="142" w:right="113"/>
              <w:jc w:val="center"/>
              <w:rPr>
                <w:rFonts w:ascii="Times New Roman" w:hAnsi="Times New Roman" w:cs="Times New Roman"/>
                <w:bCs/>
                <w:sz w:val="26"/>
                <w:szCs w:val="26"/>
                <w:lang w:val="pl-PL"/>
              </w:rPr>
            </w:pPr>
          </w:p>
        </w:tc>
      </w:tr>
      <w:tr w:rsidR="00095F50" w:rsidRPr="00756F7F" w14:paraId="5FF0F541" w14:textId="77777777" w:rsidTr="00E212A2">
        <w:trPr>
          <w:jc w:val="center"/>
        </w:trPr>
        <w:tc>
          <w:tcPr>
            <w:tcW w:w="1575" w:type="pct"/>
            <w:shd w:val="clear" w:color="auto" w:fill="FFFFFF"/>
          </w:tcPr>
          <w:p w14:paraId="105F06B4"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Quy định phân cấp, phân định thẩm quyền quản lý nhà nước trong lĩnh vực đất đai</w:t>
            </w:r>
          </w:p>
        </w:tc>
        <w:tc>
          <w:tcPr>
            <w:tcW w:w="1492" w:type="pct"/>
            <w:shd w:val="clear" w:color="auto" w:fill="FFFFFF"/>
          </w:tcPr>
          <w:p w14:paraId="2890F3BF"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Thông tư số 23/TT-BNNMT ngày 20 tháng 6 năm 2025 của Bộ trưởng Bộ Nông nghiệp và Môi trường</w:t>
            </w:r>
          </w:p>
        </w:tc>
        <w:tc>
          <w:tcPr>
            <w:tcW w:w="1336" w:type="pct"/>
            <w:shd w:val="clear" w:color="auto" w:fill="FFFFFF"/>
          </w:tcPr>
          <w:p w14:paraId="5BE39D62" w14:textId="77777777" w:rsidR="00095F50" w:rsidRPr="00756F7F" w:rsidRDefault="00095F50" w:rsidP="000D38E1">
            <w:pPr>
              <w:spacing w:before="60" w:after="60"/>
              <w:ind w:left="142" w:right="113"/>
              <w:jc w:val="both"/>
              <w:rPr>
                <w:rFonts w:ascii="Times New Roman" w:hAnsi="Times New Roman" w:cs="Times New Roman"/>
                <w:bCs/>
                <w:sz w:val="26"/>
                <w:szCs w:val="26"/>
                <w:lang w:val="pl-PL"/>
              </w:rPr>
            </w:pPr>
            <w:r w:rsidRPr="00756F7F">
              <w:rPr>
                <w:rFonts w:ascii="Times New Roman" w:hAnsi="Times New Roman" w:cs="Times New Roman"/>
                <w:bCs/>
                <w:sz w:val="26"/>
                <w:szCs w:val="26"/>
                <w:lang w:val="pl-PL"/>
              </w:rPr>
              <w:t>Tính hợp pháp, tính thống nhất quy trình kỹ thuật phân cấp, phân quyền</w:t>
            </w:r>
          </w:p>
        </w:tc>
        <w:tc>
          <w:tcPr>
            <w:tcW w:w="598" w:type="pct"/>
            <w:shd w:val="clear" w:color="auto" w:fill="FFFFFF"/>
          </w:tcPr>
          <w:p w14:paraId="46199EE1" w14:textId="77777777" w:rsidR="00095F50" w:rsidRPr="00756F7F" w:rsidRDefault="00095F50" w:rsidP="000D38E1">
            <w:pPr>
              <w:spacing w:before="60" w:after="60"/>
              <w:ind w:left="142" w:right="113"/>
              <w:jc w:val="center"/>
              <w:rPr>
                <w:rFonts w:ascii="Times New Roman" w:hAnsi="Times New Roman" w:cs="Times New Roman"/>
                <w:bCs/>
                <w:sz w:val="26"/>
                <w:szCs w:val="26"/>
                <w:lang w:val="pl-PL"/>
              </w:rPr>
            </w:pPr>
          </w:p>
        </w:tc>
      </w:tr>
    </w:tbl>
    <w:p w14:paraId="39FD9E72" w14:textId="2DC0420B" w:rsidR="00095F50" w:rsidRPr="00E463BE" w:rsidRDefault="00095F50" w:rsidP="00095F50">
      <w:pPr>
        <w:spacing w:before="120" w:after="120"/>
        <w:rPr>
          <w:rFonts w:ascii="Times New Roman" w:hAnsi="Times New Roman" w:cs="Times New Roman"/>
          <w:b/>
          <w:bCs/>
          <w:sz w:val="22"/>
          <w:szCs w:val="20"/>
          <w:lang w:val="en-US"/>
        </w:rPr>
      </w:pPr>
      <w:r w:rsidRPr="00D45C70">
        <w:rPr>
          <w:rFonts w:ascii="Times New Roman" w:hAnsi="Times New Roman" w:cs="Times New Roman"/>
          <w:b/>
          <w:bCs/>
          <w:sz w:val="28"/>
          <w:szCs w:val="20"/>
        </w:rPr>
        <w:t>3. Điều ước quốc tế có liên quan đến dự thảo</w:t>
      </w:r>
      <w:r>
        <w:rPr>
          <w:rFonts w:ascii="Times New Roman" w:hAnsi="Times New Roman" w:cs="Times New Roman"/>
          <w:b/>
          <w:bCs/>
          <w:sz w:val="28"/>
          <w:szCs w:val="20"/>
          <w:lang w:val="en-US"/>
        </w:rPr>
        <w:t xml:space="preserve">: </w:t>
      </w:r>
      <w:r w:rsidRPr="00D45C70">
        <w:rPr>
          <w:rFonts w:ascii="Times New Roman" w:hAnsi="Times New Roman" w:cs="Times New Roman"/>
          <w:bCs/>
          <w:sz w:val="28"/>
          <w:szCs w:val="20"/>
          <w:lang w:val="en-US"/>
        </w:rPr>
        <w:t>Không có</w:t>
      </w:r>
      <w:r w:rsidR="00756F7F">
        <w:rPr>
          <w:rFonts w:ascii="Times New Roman" w:hAnsi="Times New Roman" w:cs="Times New Roman"/>
          <w:bCs/>
          <w:sz w:val="28"/>
          <w:szCs w:val="20"/>
          <w:lang w:val="en-US"/>
        </w:rPr>
        <w:t>.</w:t>
      </w:r>
    </w:p>
    <w:sectPr w:rsidR="00095F50" w:rsidRPr="00E463BE" w:rsidSect="00756F7F">
      <w:headerReference w:type="default" r:id="rId6"/>
      <w:pgSz w:w="11907" w:h="16840" w:code="9"/>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3504" w14:textId="77777777" w:rsidR="001E62B6" w:rsidRDefault="001E62B6" w:rsidP="00242CEF">
      <w:r>
        <w:separator/>
      </w:r>
    </w:p>
  </w:endnote>
  <w:endnote w:type="continuationSeparator" w:id="0">
    <w:p w14:paraId="15B537B9" w14:textId="77777777" w:rsidR="001E62B6" w:rsidRDefault="001E62B6" w:rsidP="0024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F3A9" w14:textId="77777777" w:rsidR="001E62B6" w:rsidRDefault="001E62B6" w:rsidP="00242CEF">
      <w:r>
        <w:separator/>
      </w:r>
    </w:p>
  </w:footnote>
  <w:footnote w:type="continuationSeparator" w:id="0">
    <w:p w14:paraId="44903AF8" w14:textId="77777777" w:rsidR="001E62B6" w:rsidRDefault="001E62B6" w:rsidP="0024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128510"/>
      <w:docPartObj>
        <w:docPartGallery w:val="Page Numbers (Top of Page)"/>
        <w:docPartUnique/>
      </w:docPartObj>
    </w:sdtPr>
    <w:sdtEndPr>
      <w:rPr>
        <w:noProof/>
      </w:rPr>
    </w:sdtEndPr>
    <w:sdtContent>
      <w:p w14:paraId="386CB447" w14:textId="4BFDEB8D" w:rsidR="00242CEF" w:rsidRDefault="00242CEF">
        <w:pPr>
          <w:pStyle w:val="Header"/>
          <w:jc w:val="center"/>
        </w:pPr>
        <w:r>
          <w:fldChar w:fldCharType="begin"/>
        </w:r>
        <w:r>
          <w:instrText xml:space="preserve"> PAGE   \* MERGEFORMAT </w:instrText>
        </w:r>
        <w:r>
          <w:fldChar w:fldCharType="separate"/>
        </w:r>
        <w:r w:rsidR="00BE1AAC">
          <w:rPr>
            <w:noProof/>
          </w:rPr>
          <w:t>5</w:t>
        </w:r>
        <w:r>
          <w:rPr>
            <w:noProof/>
          </w:rPr>
          <w:fldChar w:fldCharType="end"/>
        </w:r>
      </w:p>
    </w:sdtContent>
  </w:sdt>
  <w:p w14:paraId="2A645C49" w14:textId="77777777" w:rsidR="00242CEF" w:rsidRDefault="00242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F5"/>
    <w:rsid w:val="00047F49"/>
    <w:rsid w:val="000944B2"/>
    <w:rsid w:val="00095F50"/>
    <w:rsid w:val="00096D54"/>
    <w:rsid w:val="00131050"/>
    <w:rsid w:val="00161FA0"/>
    <w:rsid w:val="001E62B6"/>
    <w:rsid w:val="00200525"/>
    <w:rsid w:val="00242CEF"/>
    <w:rsid w:val="0027532B"/>
    <w:rsid w:val="002D2557"/>
    <w:rsid w:val="002D5B99"/>
    <w:rsid w:val="002E221C"/>
    <w:rsid w:val="003273F5"/>
    <w:rsid w:val="003511F4"/>
    <w:rsid w:val="003C4F25"/>
    <w:rsid w:val="003E6DDC"/>
    <w:rsid w:val="00404274"/>
    <w:rsid w:val="004458F7"/>
    <w:rsid w:val="00463DE9"/>
    <w:rsid w:val="00497362"/>
    <w:rsid w:val="004C0853"/>
    <w:rsid w:val="004D339D"/>
    <w:rsid w:val="004D55B8"/>
    <w:rsid w:val="004F7663"/>
    <w:rsid w:val="00537753"/>
    <w:rsid w:val="00573849"/>
    <w:rsid w:val="005D158E"/>
    <w:rsid w:val="006A30F5"/>
    <w:rsid w:val="006C13E2"/>
    <w:rsid w:val="006C6B3F"/>
    <w:rsid w:val="00707FE7"/>
    <w:rsid w:val="00736A01"/>
    <w:rsid w:val="00741BC1"/>
    <w:rsid w:val="00744FBD"/>
    <w:rsid w:val="00756F7F"/>
    <w:rsid w:val="0079017E"/>
    <w:rsid w:val="007E78CD"/>
    <w:rsid w:val="00811DD1"/>
    <w:rsid w:val="008B69D2"/>
    <w:rsid w:val="008D6CC2"/>
    <w:rsid w:val="00912F7C"/>
    <w:rsid w:val="009D4C05"/>
    <w:rsid w:val="00AC12B4"/>
    <w:rsid w:val="00AD4400"/>
    <w:rsid w:val="00B60C45"/>
    <w:rsid w:val="00B61125"/>
    <w:rsid w:val="00B83701"/>
    <w:rsid w:val="00BD08DA"/>
    <w:rsid w:val="00BE1AAC"/>
    <w:rsid w:val="00BE3915"/>
    <w:rsid w:val="00C46261"/>
    <w:rsid w:val="00C672AA"/>
    <w:rsid w:val="00CF369D"/>
    <w:rsid w:val="00D50C34"/>
    <w:rsid w:val="00D95844"/>
    <w:rsid w:val="00DB594B"/>
    <w:rsid w:val="00DB74C2"/>
    <w:rsid w:val="00DE1C30"/>
    <w:rsid w:val="00E212A2"/>
    <w:rsid w:val="00E421EF"/>
    <w:rsid w:val="00E50BA5"/>
    <w:rsid w:val="00ED7C09"/>
    <w:rsid w:val="00F01D56"/>
    <w:rsid w:val="00F63D28"/>
    <w:rsid w:val="00F83EDF"/>
    <w:rsid w:val="00FC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7534"/>
  <w15:chartTrackingRefBased/>
  <w15:docId w15:val="{08EB1A03-A987-4E87-AA60-9C4DDF51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0F5"/>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3">
    <w:name w:val="heading 3"/>
    <w:basedOn w:val="Normal"/>
    <w:next w:val="Normal"/>
    <w:link w:val="Heading3Char"/>
    <w:qFormat/>
    <w:rsid w:val="00C46261"/>
    <w:pPr>
      <w:keepNext/>
      <w:widowControl/>
      <w:jc w:val="center"/>
      <w:outlineLvl w:val="2"/>
    </w:pPr>
    <w:rPr>
      <w:rFonts w:ascii="Times New Roman" w:hAnsi="Times New Roman" w:cs="Times New Roman"/>
      <w:i/>
      <w:iCs/>
      <w:color w:val="auto"/>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0F5"/>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46261"/>
    <w:rPr>
      <w:rFonts w:eastAsia="Times New Roman" w:cs="Times New Roman"/>
      <w:i/>
      <w:iCs/>
      <w:sz w:val="26"/>
      <w:szCs w:val="24"/>
      <w:lang w:val="x-none" w:eastAsia="x-none"/>
    </w:rPr>
  </w:style>
  <w:style w:type="paragraph" w:styleId="Header">
    <w:name w:val="header"/>
    <w:basedOn w:val="Normal"/>
    <w:link w:val="HeaderChar"/>
    <w:uiPriority w:val="99"/>
    <w:unhideWhenUsed/>
    <w:rsid w:val="00242CEF"/>
    <w:pPr>
      <w:tabs>
        <w:tab w:val="center" w:pos="4680"/>
        <w:tab w:val="right" w:pos="9360"/>
      </w:tabs>
    </w:pPr>
  </w:style>
  <w:style w:type="character" w:customStyle="1" w:styleId="HeaderChar">
    <w:name w:val="Header Char"/>
    <w:basedOn w:val="DefaultParagraphFont"/>
    <w:link w:val="Header"/>
    <w:uiPriority w:val="99"/>
    <w:rsid w:val="00242CEF"/>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242CEF"/>
    <w:pPr>
      <w:tabs>
        <w:tab w:val="center" w:pos="4680"/>
        <w:tab w:val="right" w:pos="9360"/>
      </w:tabs>
    </w:pPr>
  </w:style>
  <w:style w:type="character" w:customStyle="1" w:styleId="FooterChar">
    <w:name w:val="Footer Char"/>
    <w:basedOn w:val="DefaultParagraphFont"/>
    <w:link w:val="Footer"/>
    <w:uiPriority w:val="99"/>
    <w:rsid w:val="00242CEF"/>
    <w:rPr>
      <w:rFonts w:ascii="Courier New" w:eastAsia="Times New Roman"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242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CEF"/>
    <w:rPr>
      <w:rFonts w:ascii="Segoe UI" w:eastAsia="Times New Roman" w:hAnsi="Segoe UI" w:cs="Segoe UI"/>
      <w:color w:val="000000"/>
      <w:sz w:val="18"/>
      <w:szCs w:val="18"/>
      <w:lang w:val="vi-VN" w:eastAsia="vi-VN"/>
    </w:rPr>
  </w:style>
  <w:style w:type="paragraph" w:styleId="ListParagraph">
    <w:name w:val="List Paragraph"/>
    <w:basedOn w:val="Normal"/>
    <w:uiPriority w:val="34"/>
    <w:qFormat/>
    <w:rsid w:val="004F7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HaBV</dc:creator>
  <cp:keywords/>
  <dc:description/>
  <cp:lastModifiedBy>Administrator</cp:lastModifiedBy>
  <cp:revision>2</cp:revision>
  <cp:lastPrinted>2025-06-10T07:36:00Z</cp:lastPrinted>
  <dcterms:created xsi:type="dcterms:W3CDTF">2025-11-05T09:43:00Z</dcterms:created>
  <dcterms:modified xsi:type="dcterms:W3CDTF">2025-11-05T09:43:00Z</dcterms:modified>
</cp:coreProperties>
</file>