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EF99F" w14:textId="77777777" w:rsidR="00681FA7" w:rsidRDefault="00681FA7">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378" w:type="dxa"/>
        <w:tblInd w:w="-172" w:type="dxa"/>
        <w:tblLayout w:type="fixed"/>
        <w:tblLook w:val="0000" w:firstRow="0" w:lastRow="0" w:firstColumn="0" w:lastColumn="0" w:noHBand="0" w:noVBand="0"/>
      </w:tblPr>
      <w:tblGrid>
        <w:gridCol w:w="4283"/>
        <w:gridCol w:w="6095"/>
      </w:tblGrid>
      <w:tr w:rsidR="00681FA7" w14:paraId="7B67FFF5" w14:textId="77777777">
        <w:tc>
          <w:tcPr>
            <w:tcW w:w="4283" w:type="dxa"/>
          </w:tcPr>
          <w:p w14:paraId="7F1B27FE" w14:textId="77777777" w:rsidR="00681FA7" w:rsidRDefault="0000000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UBND THÀNH PHỐ HẢI PHÒNG</w:t>
            </w:r>
          </w:p>
          <w:p w14:paraId="4FDA364E" w14:textId="77777777" w:rsidR="00681FA7"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SỞ KHOA HỌC VÀ CÔNG NGHỆ</w:t>
            </w:r>
          </w:p>
          <w:p w14:paraId="01623212" w14:textId="77777777" w:rsidR="00681FA7" w:rsidRDefault="00000000">
            <w:pPr>
              <w:spacing w:after="0" w:line="240" w:lineRule="auto"/>
              <w:rPr>
                <w:rFonts w:ascii="Times New Roman" w:eastAsia="Times New Roman" w:hAnsi="Times New Roman" w:cs="Times New Roman"/>
                <w:b/>
                <w:bCs/>
              </w:rPr>
            </w:pPr>
            <w:r>
              <w:rPr>
                <w:noProof/>
              </w:rPr>
              <mc:AlternateContent>
                <mc:Choice Requires="wps">
                  <w:drawing>
                    <wp:anchor distT="4294967291" distB="4294967291" distL="114300" distR="114300" simplePos="0" relativeHeight="251658240" behindDoc="0" locked="0" layoutInCell="1" hidden="0" allowOverlap="1" wp14:anchorId="3552BD82" wp14:editId="423CE3B1">
                      <wp:simplePos x="0" y="0"/>
                      <wp:positionH relativeFrom="column">
                        <wp:posOffset>746760</wp:posOffset>
                      </wp:positionH>
                      <wp:positionV relativeFrom="paragraph">
                        <wp:posOffset>30480</wp:posOffset>
                      </wp:positionV>
                      <wp:extent cx="0" cy="12700"/>
                      <wp:effectExtent l="0" t="0" r="0" b="0"/>
                      <wp:wrapNone/>
                      <wp:docPr id="1655754143" name="Straight Arrow Connector 1655754143"/>
                      <wp:cNvGraphicFramePr/>
                      <a:graphic xmlns:a="http://schemas.openxmlformats.org/drawingml/2006/main">
                        <a:graphicData uri="http://schemas.microsoft.com/office/word/2010/wordprocessingShape">
                          <wps:wsp>
                            <wps:cNvCnPr/>
                            <wps:spPr>
                              <a:xfrm>
                                <a:off x="4780215" y="3780000"/>
                                <a:ext cx="11315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746760</wp:posOffset>
                      </wp:positionH>
                      <wp:positionV relativeFrom="paragraph">
                        <wp:posOffset>30480</wp:posOffset>
                      </wp:positionV>
                      <wp:extent cx="0" cy="12700"/>
                      <wp:effectExtent b="0" l="0" r="0" t="0"/>
                      <wp:wrapNone/>
                      <wp:docPr id="1655754143"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2F2786F3" w14:textId="77777777" w:rsidR="00681FA7" w:rsidRDefault="00681FA7">
            <w:pPr>
              <w:spacing w:after="0" w:line="240" w:lineRule="auto"/>
              <w:jc w:val="center"/>
              <w:rPr>
                <w:rFonts w:ascii="Times New Roman" w:eastAsia="Times New Roman" w:hAnsi="Times New Roman" w:cs="Times New Roman"/>
              </w:rPr>
            </w:pPr>
          </w:p>
        </w:tc>
        <w:tc>
          <w:tcPr>
            <w:tcW w:w="6095" w:type="dxa"/>
          </w:tcPr>
          <w:p w14:paraId="1A70EAC7" w14:textId="77777777" w:rsidR="00681FA7" w:rsidRDefault="00000000">
            <w:pPr>
              <w:pStyle w:val="Heading2"/>
              <w:rPr>
                <w:sz w:val="26"/>
                <w:szCs w:val="26"/>
              </w:rPr>
            </w:pPr>
            <w:r>
              <w:rPr>
                <w:sz w:val="26"/>
                <w:szCs w:val="26"/>
              </w:rPr>
              <w:t>CỘNG HOÀ XÃ HỘI CHỦ NGHĨA VIỆT NAM</w:t>
            </w:r>
          </w:p>
          <w:p w14:paraId="78EB92BE" w14:textId="77777777" w:rsidR="00681FA7"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Độc lập - Tự do - Hạnh phúc</w:t>
            </w:r>
          </w:p>
          <w:p w14:paraId="00697F4C" w14:textId="77777777" w:rsidR="00681FA7" w:rsidRDefault="00000000">
            <w:pPr>
              <w:spacing w:after="0" w:line="240" w:lineRule="auto"/>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hidden="0" allowOverlap="1" wp14:anchorId="34F7D15F" wp14:editId="2227FBB6">
                      <wp:simplePos x="0" y="0"/>
                      <wp:positionH relativeFrom="column">
                        <wp:posOffset>792480</wp:posOffset>
                      </wp:positionH>
                      <wp:positionV relativeFrom="paragraph">
                        <wp:posOffset>61413</wp:posOffset>
                      </wp:positionV>
                      <wp:extent cx="0" cy="12700"/>
                      <wp:effectExtent l="0" t="0" r="0" b="0"/>
                      <wp:wrapNone/>
                      <wp:docPr id="1655754139" name="Straight Arrow Connector 1655754139"/>
                      <wp:cNvGraphicFramePr/>
                      <a:graphic xmlns:a="http://schemas.openxmlformats.org/drawingml/2006/main">
                        <a:graphicData uri="http://schemas.microsoft.com/office/word/2010/wordprocessingShape">
                          <wps:wsp>
                            <wps:cNvCnPr/>
                            <wps:spPr>
                              <a:xfrm>
                                <a:off x="4279200" y="3780000"/>
                                <a:ext cx="2133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792480</wp:posOffset>
                      </wp:positionH>
                      <wp:positionV relativeFrom="paragraph">
                        <wp:posOffset>61413</wp:posOffset>
                      </wp:positionV>
                      <wp:extent cx="0" cy="12700"/>
                      <wp:effectExtent b="0" l="0" r="0" t="0"/>
                      <wp:wrapNone/>
                      <wp:docPr id="1655754139"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6A4530A4" w14:textId="77777777" w:rsidR="00681FA7" w:rsidRDefault="00000000">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sz w:val="28"/>
                <w:szCs w:val="28"/>
              </w:rPr>
              <w:t>Hải Phòng, ngày      tháng     năm 2025</w:t>
            </w:r>
          </w:p>
        </w:tc>
      </w:tr>
    </w:tbl>
    <w:p w14:paraId="5FD3564F" w14:textId="77777777" w:rsidR="00681FA7"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49A2FBBA" w14:textId="77777777" w:rsidR="00681FA7" w:rsidRDefault="00681FA7">
      <w:pPr>
        <w:spacing w:after="0" w:line="240" w:lineRule="auto"/>
        <w:jc w:val="center"/>
        <w:rPr>
          <w:rFonts w:ascii="Times New Roman" w:eastAsia="Times New Roman" w:hAnsi="Times New Roman" w:cs="Times New Roman"/>
          <w:b/>
          <w:bCs/>
          <w:sz w:val="28"/>
          <w:szCs w:val="28"/>
        </w:rPr>
      </w:pPr>
    </w:p>
    <w:p w14:paraId="0C9FDF0C" w14:textId="77777777" w:rsidR="00681FA7"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BẢN ĐÁNH GIÁ THỦ TỤC HÀNH CHÍNH, VIỆC PHÂN QUYỀN, </w:t>
      </w:r>
    </w:p>
    <w:p w14:paraId="6C3C85FB" w14:textId="77777777" w:rsidR="00681FA7"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PHÂN CẤP, THỰC HIỆN NHIỆM VỤ, QUYỀN HẠN ĐƯỢC PHÂN CẤP, </w:t>
      </w:r>
    </w:p>
    <w:p w14:paraId="68ECD7FB" w14:textId="77777777" w:rsidR="00681FA7" w:rsidRDefault="00000000">
      <w:pPr>
        <w:spacing w:after="0" w:line="240" w:lineRule="auto"/>
        <w:ind w:left="-284" w:right="-13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VIỆC ỨNG DỤNG, THÚC ĐẨY PHÁT TRIỂN KHOA HỌC, CÔNG NGHỆ, ĐỔI MỚI SÁNG TẠO VÀ CHUYỂN ĐỔI SỐ, BẢO ĐẢM BÌNH ĐẲNG GIỚI, VIỆC THỰC HIỆN CHÍNH SÁCH DÂN TỘC TRONG DỰ THẢO NGHỊ QUYẾT CỦA UỶ BAN NHÂN DÂN THÀNH PHỐ QUYẾT ĐỊNH QUY ĐỊNH HÌNH THỨC, TRÌNH TỰ, THỦ TỤC HỖ TRỢ TỔ CHỨC, CÁ NHÂN THUÊ TRỰC TIẾP TÀI SẢN KẾT CẤU HẠ TẦNG KHOA HỌC VÀ CÔNG NGHỆ KHÔNG THÔNG QUA ĐẤU GIÁ ĐỂ HOẠT ĐỘNG</w:t>
      </w:r>
    </w:p>
    <w:p w14:paraId="6126A44E" w14:textId="77777777" w:rsidR="00681FA7" w:rsidRDefault="00000000">
      <w:pPr>
        <w:spacing w:after="0" w:line="240" w:lineRule="auto"/>
        <w:jc w:val="center"/>
        <w:rPr>
          <w:rFonts w:ascii="Times New Roman" w:eastAsia="Times New Roman" w:hAnsi="Times New Roman" w:cs="Times New Roman"/>
          <w:b/>
          <w:bCs/>
          <w:sz w:val="28"/>
          <w:szCs w:val="28"/>
        </w:rPr>
      </w:pPr>
      <w:r>
        <w:rPr>
          <w:noProof/>
        </w:rPr>
        <mc:AlternateContent>
          <mc:Choice Requires="wps">
            <w:drawing>
              <wp:anchor distT="0" distB="0" distL="114300" distR="114300" simplePos="0" relativeHeight="251660288" behindDoc="0" locked="0" layoutInCell="1" hidden="0" allowOverlap="1" wp14:anchorId="72F0328E" wp14:editId="03D06FB2">
                <wp:simplePos x="0" y="0"/>
                <wp:positionH relativeFrom="column">
                  <wp:posOffset>1791092</wp:posOffset>
                </wp:positionH>
                <wp:positionV relativeFrom="paragraph">
                  <wp:posOffset>120493</wp:posOffset>
                </wp:positionV>
                <wp:extent cx="0" cy="12700"/>
                <wp:effectExtent l="0" t="0" r="0" b="0"/>
                <wp:wrapNone/>
                <wp:docPr id="1655754142" name="Straight Arrow Connector 1655754142"/>
                <wp:cNvGraphicFramePr/>
                <a:graphic xmlns:a="http://schemas.openxmlformats.org/drawingml/2006/main">
                  <a:graphicData uri="http://schemas.microsoft.com/office/word/2010/wordprocessingShape">
                    <wps:wsp>
                      <wps:cNvCnPr/>
                      <wps:spPr>
                        <a:xfrm>
                          <a:off x="4139369" y="3780000"/>
                          <a:ext cx="2413262"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1791092</wp:posOffset>
                </wp:positionH>
                <wp:positionV relativeFrom="paragraph">
                  <wp:posOffset>120493</wp:posOffset>
                </wp:positionV>
                <wp:extent cx="0" cy="12700"/>
                <wp:effectExtent b="0" l="0" r="0" t="0"/>
                <wp:wrapNone/>
                <wp:docPr id="165575414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227A224C" w14:textId="77777777" w:rsidR="00681FA7" w:rsidRDefault="00681FA7">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6"/>
          <w:szCs w:val="26"/>
        </w:rPr>
      </w:pPr>
    </w:p>
    <w:p w14:paraId="42828EE8" w14:textId="77777777" w:rsidR="00681FA7" w:rsidRDefault="00681FA7">
      <w:pPr>
        <w:shd w:val="clear" w:color="auto" w:fill="FFFFFF"/>
        <w:spacing w:after="0"/>
        <w:ind w:firstLine="567"/>
        <w:jc w:val="both"/>
        <w:rPr>
          <w:rFonts w:ascii="Times New Roman" w:eastAsia="Times New Roman" w:hAnsi="Times New Roman" w:cs="Times New Roman"/>
          <w:sz w:val="28"/>
          <w:szCs w:val="28"/>
        </w:rPr>
      </w:pPr>
    </w:p>
    <w:p w14:paraId="25B13732" w14:textId="77777777" w:rsidR="00681FA7" w:rsidRDefault="00000000">
      <w:pPr>
        <w:shd w:val="clear" w:color="auto" w:fill="FFFFFF"/>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Thực hiện quy định của Luật Ban hành văn bản quy phạm pháp luật số 64/2025/QH15 được sửa đổi, bổ sung bởi Luật  số 87/2025/QH15 ngày 25/6/2025; Nghị định số 87/2025/NĐ-CP ngày 01/4/2025 của Chính phủ về </w:t>
      </w:r>
      <w:bookmarkStart w:id="0" w:name="bookmark=id.p51p8nm24e8" w:colFirst="0" w:colLast="0"/>
      <w:bookmarkEnd w:id="0"/>
      <w:r>
        <w:rPr>
          <w:rFonts w:ascii="Times New Roman" w:eastAsia="Times New Roman" w:hAnsi="Times New Roman" w:cs="Times New Roman"/>
          <w:sz w:val="28"/>
          <w:szCs w:val="28"/>
        </w:rPr>
        <w:t>Quy định chi tiết một số điều và biện pháp để tổ chức, hướng dẫn thi hành luật ban hành văn bản quy phạm pháp luật, được sửa đổi, bổ sung bởi Nghị định số 187/2025/NĐ-CP ngày 01/7/2025 của Chính phủ, Sở Khoa học và Công nghệ đã tiến hành đánh giá thủ tục hành chính, việc phân cấp, thực hiện nhiệm vụ, quyền hạn được phân cấp, việc ứng dụng, thúc đẩy phát triển khoa học, công nghệ, đổi mới sáng tạo và chuyển đổi số trong dự thảo Quyết định của Uỷ ban nhân dân thành phố Quyết định quy định</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hình thức, trình tự, thủ tục hỗ trợ tổ chức, cá nhân thuê trực tiếp tài sản kết cấu hạ tầng khoa học và công nghệ không thông qua đấu giá để hoạt động. Kết quả như sau:</w:t>
      </w:r>
    </w:p>
    <w:p w14:paraId="1A9F35A2"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TỔ CHỨC THỰC HIỆN ĐÁNH GIÁ</w:t>
      </w:r>
    </w:p>
    <w:p w14:paraId="68D951BB"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Bối cảnh xây dựng dự thảo văn bản quy phạm pháp luật</w:t>
      </w:r>
    </w:p>
    <w:p w14:paraId="74215084" w14:textId="77777777" w:rsidR="00681FA7" w:rsidRDefault="00000000">
      <w:pPr>
        <w:shd w:val="clear" w:color="auto" w:fill="FFFFFF"/>
        <w:tabs>
          <w:tab w:val="left" w:pos="540"/>
          <w:tab w:val="left" w:pos="567"/>
        </w:tabs>
        <w:spacing w:before="120" w:after="12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Quốc hội đã ban hành Nghị quyết số 226/2025/QH15 ngày 27/6/2025 về thí điểm một số cơ chế, chính sách đặc thù phát triển thành phố Hải Phòng. Trong đó, tại Khoản 3, Điều 7 về quản lý khoa học và công nghệ, đổi mới sáng tạo quy định:</w:t>
      </w:r>
    </w:p>
    <w:p w14:paraId="3D1AD323" w14:textId="77777777" w:rsidR="00681FA7" w:rsidRDefault="00000000">
      <w:pPr>
        <w:spacing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 Việc đầu tư, quản lý, khai thác và xử lý tài sản kết cấu hạ tầng, trang thiết bị phục vụ phát triển khoa học và công nghệ, đổi mới sáng tạo được quy định như sau:</w:t>
      </w:r>
    </w:p>
    <w:p w14:paraId="4922B0DE" w14:textId="77777777" w:rsidR="00681FA7" w:rsidRDefault="00000000">
      <w:pPr>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a) Hội đồng nhân dân Thành phố được quyết định đầu tư, nâng cấp, mở rộng, phát triển và khai thác tài sản kết cấu hạ tầng khoa học và công nghệ từ nguồn ngân sách Thành phố; được quyết định cho các tổ chức, cá nhân khởi nghiệp đổi mới sáng tạo và các tổ chức, cá nhân hỗ trợ khởi nghiệp đổi mới sáng tạo thuê trực tiếp tài sản kết cấu hạ tầng khoa học và công nghệ không thông qua đấu giá để hoạt động;</w:t>
      </w:r>
    </w:p>
    <w:p w14:paraId="52E8159B" w14:textId="77777777" w:rsidR="00681FA7" w:rsidRDefault="00000000">
      <w:pPr>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 Hội đồng nhân dân Thành phố quy định nội dung, mức hỗ trợ, thời gian hỗ trợ, tiêu chí và đối tượng được hỗ trợ. Ủy ban nhân dân Thành phố quy định hình thức, trình tự, thủ tục hỗ trợ quy định tại khoản này;</w:t>
      </w:r>
    </w:p>
    <w:p w14:paraId="2C91B6CC" w14:textId="77777777" w:rsidR="00681FA7" w:rsidRDefault="00000000">
      <w:pPr>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 Ủy ban nhân dân Thành phố là cơ quan quản lý nhà nước về tài sản kết cấu hạ tầng khoa học và công nghệ; quyết định đơn vị được giao tài sản; phê duyệt đề án quản lý, khai thác và xử lý tài sản kết cấu hạ tầng khoa học và công nghệ.”</w:t>
      </w:r>
    </w:p>
    <w:p w14:paraId="6D1E81A1" w14:textId="77777777" w:rsidR="00681FA7" w:rsidRDefault="00000000">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26/10/2025, Hội đồng nhân dân thành phố đã thông qua Nghị quyết số 20/2025/NQ-HĐND Quy định nội dung, mức hỗ trợ, thời gian hỗ trợ, tiêu chí và đối tượng được hỗ trợ thuê trực tiếp tài sản kết cấu hạ tầng khoa học và công nghệ không thông qua đấu giá để hoạt động.</w:t>
      </w:r>
    </w:p>
    <w:p w14:paraId="465FEF4E" w14:textId="77777777" w:rsidR="00681FA7" w:rsidRDefault="00000000">
      <w:pPr>
        <w:tabs>
          <w:tab w:val="left" w:pos="540"/>
          <w:tab w:val="left" w:pos="567"/>
          <w:tab w:val="left" w:pos="3360"/>
        </w:tabs>
        <w:spacing w:before="120" w:after="12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Do đó, việc tham mưu Ủy ban nhân dân thành phố ban hành Quyết định quy định</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hình thức, trình tự, thủ tục hỗ trợ tổ chức, cá nhân thuê trực tiếp tài sản kết cấu hạ tầng khoa học và công nghệ không thông qua đấu giá để hoạt động là cần thiết nhằm thực hiện chỉ đạo của Quốc hội, phù hợp với nhu cầu thực tiễn triển khai chính sách hỗ trợ đã ban hành.</w:t>
      </w:r>
    </w:p>
    <w:p w14:paraId="696C59E0" w14:textId="77777777" w:rsidR="00681FA7" w:rsidRDefault="00000000">
      <w:pPr>
        <w:shd w:val="clear" w:color="auto" w:fill="FFFFFF"/>
        <w:tabs>
          <w:tab w:val="left" w:pos="540"/>
          <w:tab w:val="left" w:pos="567"/>
        </w:tabs>
        <w:spacing w:before="120" w:after="12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Mục đích, yêu cầu đánh giá</w:t>
      </w:r>
    </w:p>
    <w:p w14:paraId="7CC0DEB5" w14:textId="77777777" w:rsidR="00681FA7" w:rsidRDefault="00000000">
      <w:pPr>
        <w:shd w:val="clear" w:color="auto" w:fill="FFFFFF"/>
        <w:tabs>
          <w:tab w:val="left" w:pos="540"/>
          <w:tab w:val="left" w:pos="567"/>
        </w:tabs>
        <w:spacing w:before="120" w:after="120" w:line="240" w:lineRule="auto"/>
        <w:ind w:firstLine="567"/>
        <w:jc w:val="both"/>
        <w:rPr>
          <w:rFonts w:ascii="Times New Roman" w:eastAsia="Times New Roman" w:hAnsi="Times New Roman" w:cs="Times New Roman"/>
          <w:color w:val="000000"/>
          <w:sz w:val="28"/>
          <w:szCs w:val="28"/>
          <w:highlight w:val="white"/>
        </w:rPr>
      </w:pPr>
      <w:bookmarkStart w:id="1" w:name="bookmark=id.hoqq7i39dmrj" w:colFirst="0" w:colLast="0"/>
      <w:bookmarkEnd w:id="1"/>
      <w:r>
        <w:rPr>
          <w:rFonts w:ascii="Times New Roman" w:eastAsia="Times New Roman" w:hAnsi="Times New Roman" w:cs="Times New Roman"/>
          <w:color w:val="000000"/>
          <w:sz w:val="28"/>
          <w:szCs w:val="28"/>
          <w:highlight w:val="white"/>
        </w:rPr>
        <w:t>- Đánh giá sự cần thiết, hợp pháp, hợp lý của thủ tục hành chính trong dự thảo Quyết định của Uỷ ban nhân dân thành phố;</w:t>
      </w:r>
    </w:p>
    <w:p w14:paraId="0E2CBB05" w14:textId="77777777" w:rsidR="00681FA7" w:rsidRDefault="00000000">
      <w:pPr>
        <w:shd w:val="clear" w:color="auto" w:fill="FFFFFF"/>
        <w:tabs>
          <w:tab w:val="left" w:pos="540"/>
          <w:tab w:val="left" w:pos="567"/>
        </w:tabs>
        <w:spacing w:before="120" w:after="12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Đánh giá </w:t>
      </w:r>
      <w:r>
        <w:rPr>
          <w:rFonts w:ascii="Times New Roman" w:eastAsia="Times New Roman" w:hAnsi="Times New Roman" w:cs="Times New Roman"/>
          <w:sz w:val="28"/>
          <w:szCs w:val="28"/>
        </w:rPr>
        <w:t>việc phân cấp, thực hiện nhiệm vụ, quyền hạn được phân cấp, việc ứng dụng, thúc đẩy phát triển khoa học, công nghệ, đổi mới sáng tạo và chuyển đổi số</w:t>
      </w:r>
      <w:r>
        <w:rPr>
          <w:rFonts w:ascii="Times New Roman" w:eastAsia="Times New Roman" w:hAnsi="Times New Roman" w:cs="Times New Roman"/>
          <w:color w:val="000000"/>
          <w:sz w:val="28"/>
          <w:szCs w:val="28"/>
          <w:highlight w:val="white"/>
        </w:rPr>
        <w:t xml:space="preserve"> trong dự thảo Quyết định của Uỷ ban nhân dân thành phố.</w:t>
      </w:r>
    </w:p>
    <w:p w14:paraId="650F6CA1"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KẾT QUẢ ĐÁNH GIÁ</w:t>
      </w:r>
    </w:p>
    <w:p w14:paraId="1BC75713" w14:textId="77777777" w:rsidR="00681FA7" w:rsidRDefault="00000000">
      <w:pPr>
        <w:shd w:val="clear" w:color="auto" w:fill="FFFFFF"/>
        <w:tabs>
          <w:tab w:val="left" w:pos="540"/>
          <w:tab w:val="left" w:pos="567"/>
        </w:tabs>
        <w:spacing w:before="120" w:after="12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Đánh giá thủ tục hành chính</w:t>
      </w:r>
    </w:p>
    <w:p w14:paraId="49642DAC"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Số lượng thủ tục hành chính: 01 thủ tục</w:t>
      </w:r>
    </w:p>
    <w:p w14:paraId="2338FB0D" w14:textId="77777777" w:rsidR="00681FA7" w:rsidRDefault="00000000">
      <w:pPr>
        <w:shd w:val="clear" w:color="auto" w:fill="FFFFFF"/>
        <w:tabs>
          <w:tab w:val="left" w:pos="540"/>
        </w:tabs>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Tên thủ tục hành chính: Thủ tục hỗ trợ kinh phí thuê tài sản kết cấu hạ tầng khoa học và công nghệ không thông qua đấu giá để hoạt động</w:t>
      </w:r>
    </w:p>
    <w:p w14:paraId="5C03D3D9" w14:textId="77777777" w:rsidR="00681FA7" w:rsidRDefault="00000000">
      <w:pPr>
        <w:shd w:val="clear" w:color="auto" w:fill="FFFFFF"/>
        <w:tabs>
          <w:tab w:val="left" w:pos="540"/>
        </w:tabs>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xây dựng thủ tục là cần thiết để triển khai chính sách hỗ trợ kinh phí thuê tài sản kết cấu hạ tầng khoa học và công nghệ cho tổ chức, cá nhân. Thủ tục hành chính tương tự cũng đã được ban hành tại thành phố Đà Nẵng</w:t>
      </w:r>
    </w:p>
    <w:p w14:paraId="19E31988" w14:textId="77777777" w:rsidR="00681FA7" w:rsidRDefault="00000000">
      <w:pPr>
        <w:shd w:val="clear" w:color="auto" w:fill="FFFFFF"/>
        <w:tabs>
          <w:tab w:val="left" w:pos="540"/>
        </w:tabs>
        <w:spacing w:before="120" w:after="12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(Chi tiết trong Phụ lục)</w:t>
      </w:r>
    </w:p>
    <w:p w14:paraId="385726E3"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2. Việc phân quyền, phân cấp </w:t>
      </w:r>
    </w:p>
    <w:p w14:paraId="027B99F3"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phân quyền, phân cấp được thực hiện như sau:</w:t>
      </w:r>
    </w:p>
    <w:p w14:paraId="5ACDBDB1"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7. Tổ chức thực hiện</w:t>
      </w:r>
    </w:p>
    <w:p w14:paraId="21F314E8"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 Sở Khoa học và Công nghệ có trách nhiệm:</w:t>
      </w:r>
    </w:p>
    <w:p w14:paraId="0575DE74"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a) Chủ trì triển khai, hướng dẫn thực hiện chính sách; Tiếp nhận và xử lý các hồ sơ đề nghị hỗ trợ; </w:t>
      </w:r>
    </w:p>
    <w:p w14:paraId="15E3B746"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 Phối hợp với Sở Tài chính tham mưu cơ quan có thẩm quyền bố trí kinh phí hỗ trợ theo quy định tại Điều 6 Nghị quyết số 20/2025/NQ-HĐND ngày 26      tháng 10 năm 2025 của Hội đồng nhân dân thành phố;</w:t>
      </w:r>
    </w:p>
    <w:p w14:paraId="5BFAB592"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c) Tổ chức triển khai chính sách hỗ trợ trên cơ sở các Quyết định hỗ trợ kinh phí đã được phê duyệt; </w:t>
      </w:r>
    </w:p>
    <w:p w14:paraId="3C148445"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d) Tổ chức khảo sát, kiểm tra, giám sát việc thực hiện chính sách hỗ trợ đối với các tổ chức, cá nhân được thụ hưởng chính sách;</w:t>
      </w:r>
    </w:p>
    <w:p w14:paraId="7A2329EC"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e) Trong trường hợp có sự thay đổi, điều chỉnh về trình tự, thủ tục thực hiện, Sở Khoa học và Công nghệ báo cáo Ủy ban nhân dân thành phố xem xét, điều chỉnh cho phù hợp theo quy định.</w:t>
      </w:r>
    </w:p>
    <w:p w14:paraId="320C414A"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 Sở Tài chính có trách nhiệm:</w:t>
      </w:r>
    </w:p>
    <w:p w14:paraId="1B3185C8"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 Tham mưu bố trí kinh phí hỗ trợ theo Điều 6 Nghị quyết số 20/2025/NQ-HĐND ngày 26 tháng 10 năm 2025 của Hội đồng nhân dân thành phố trên cơ sở đề xuất của Sở Khoa học và Công nghệ;</w:t>
      </w:r>
    </w:p>
    <w:p w14:paraId="55E61196"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 Tham gia Hội đồng tư vấn thẩm định hồ sơ đề nghị hỗ trợ kinh phí thuê tài sản kết cấu hạ tầng khoa học và công nghệ;</w:t>
      </w:r>
    </w:p>
    <w:p w14:paraId="763D8FB7"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 Phối hợp khảo sát, kiểm tra, giám sát việc thực hiện chính sách.</w:t>
      </w:r>
    </w:p>
    <w:p w14:paraId="32BF52B9"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 Các Sở, ngành trong phạm vi, chức năng quản lý có trách nhiệm:</w:t>
      </w:r>
    </w:p>
    <w:p w14:paraId="70D544C4"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 Tham gia Hội đồng tư vấn thẩm định hồ sơ đề nghị hỗ trợ kinh phí thuê tài sản kết cấu hạ tầng khoa học và công nghệ theo lĩnh vực chuyên môn liên quan;</w:t>
      </w:r>
    </w:p>
    <w:p w14:paraId="40BC10EF"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 Phối hợp khảo sát, kiểm tra, giám sát việc thực hiện chính sách.</w:t>
      </w:r>
    </w:p>
    <w:p w14:paraId="09E272E0"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4. Các đơn vị được giao tài sản kết cấu hạ tầng khoa học và công nghệ:</w:t>
      </w:r>
    </w:p>
    <w:p w14:paraId="4F5DAAE1"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 Tuân thủ các quy định của pháp luật về quản lý, khai thác tài sản công;</w:t>
      </w:r>
    </w:p>
    <w:p w14:paraId="577159B8"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 Phối hợp, cung cấp hồ sơ tài liệu phục vụ quá trình thực hiện chính sách hỗ trợ kinh phí thuê tài sản.</w:t>
      </w:r>
    </w:p>
    <w:p w14:paraId="328BDBD5"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Việc phân cấp trong triển khai chính sách là cần thiết, phù hợp với quy định tại Nghị quyết 226/2025/QH15 ngày 27/6/2025 của Quốc hội (khoản 3, Điều 7), phù </w:t>
      </w:r>
      <w:r>
        <w:rPr>
          <w:rFonts w:ascii="Times New Roman" w:eastAsia="Times New Roman" w:hAnsi="Times New Roman" w:cs="Times New Roman"/>
          <w:sz w:val="28"/>
          <w:szCs w:val="28"/>
        </w:rPr>
        <w:lastRenderedPageBreak/>
        <w:t>hợp với chức năng, nhiệm vụ của Uỷ ban nhân dân thành phố, các cơ quan chuyên môn, các đơn vị được giao tài sản. Dự thảo Quyết định đã nêu rõ trách nhiệm báo cáo, giám sát việc thực hiện của mỗi cơ quan.</w:t>
      </w:r>
    </w:p>
    <w:p w14:paraId="3A7D5B1D"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 Việc ứng dụng, thúc đẩy phát triển khoa học, công nghệ, đổi mới sáng tạo và chuyển đổi số </w:t>
      </w:r>
    </w:p>
    <w:p w14:paraId="761D2E1D"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gian tới, thành phố xác định khoa học, công nghệ và đổi mới sáng tạo sẽ là động lực tăng trưởng mới của thành phố. Việc ban hành chính sách hỗ trợ sẽ tạo cơ chế cần thiết nhằm tối ưu nguồn lực tài sản công, hỗ trợ kịp thời, tạo môi trường thuận lợi cho các tổ chức, cá nhân khởi nghiệp sáng tạo, đổi mới sáng tạo phát triển, đồng thời thu hút nguồn nhân lực chất lượng cao tới thành phố.</w:t>
      </w:r>
    </w:p>
    <w:p w14:paraId="587F12C8" w14:textId="77777777" w:rsidR="00681FA7" w:rsidRDefault="00000000">
      <w:pPr>
        <w:shd w:val="clear" w:color="auto" w:fill="FFFFFF"/>
        <w:spacing w:before="120" w:after="12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4. Việc bảo đảm bình đẳng giới (nếu trong dự thảo văn bản có quy định về bình đẳng giới): </w:t>
      </w:r>
      <w:r>
        <w:rPr>
          <w:rFonts w:ascii="Times New Roman" w:eastAsia="Times New Roman" w:hAnsi="Times New Roman" w:cs="Times New Roman"/>
          <w:sz w:val="28"/>
          <w:szCs w:val="28"/>
        </w:rPr>
        <w:t>Không có</w:t>
      </w:r>
    </w:p>
    <w:p w14:paraId="1E00736D" w14:textId="77777777" w:rsidR="00681FA7" w:rsidRDefault="00000000">
      <w:pPr>
        <w:spacing w:before="120" w:after="120" w:line="240" w:lineRule="auto"/>
        <w:ind w:firstLine="567"/>
        <w:jc w:val="both"/>
        <w:rPr>
          <w:rFonts w:ascii="Times New Roman" w:eastAsia="Times New Roman" w:hAnsi="Times New Roman" w:cs="Times New Roman"/>
          <w:sz w:val="28"/>
          <w:szCs w:val="28"/>
        </w:rPr>
        <w:sectPr w:rsidR="00681FA7">
          <w:headerReference w:type="even" r:id="rId8"/>
          <w:headerReference w:type="default" r:id="rId9"/>
          <w:pgSz w:w="12240" w:h="15840"/>
          <w:pgMar w:top="1134" w:right="1440" w:bottom="1440" w:left="1440" w:header="720" w:footer="720" w:gutter="0"/>
          <w:pgNumType w:start="1"/>
          <w:cols w:space="720"/>
          <w:titlePg/>
        </w:sectPr>
      </w:pPr>
      <w:r>
        <w:rPr>
          <w:rFonts w:ascii="Times New Roman" w:eastAsia="Times New Roman" w:hAnsi="Times New Roman" w:cs="Times New Roman"/>
          <w:b/>
          <w:bCs/>
          <w:sz w:val="28"/>
          <w:szCs w:val="28"/>
        </w:rPr>
        <w:t xml:space="preserve">5. Việc thực hiện chính sách dân tộc (nếu trong dự thảo văn bản có quy định về chính sách dân tộc): </w:t>
      </w:r>
      <w:r>
        <w:rPr>
          <w:rFonts w:ascii="Times New Roman" w:eastAsia="Times New Roman" w:hAnsi="Times New Roman" w:cs="Times New Roman"/>
          <w:sz w:val="28"/>
          <w:szCs w:val="28"/>
        </w:rPr>
        <w:t>Không có</w:t>
      </w:r>
    </w:p>
    <w:p w14:paraId="1258DE3D" w14:textId="77777777" w:rsidR="00681FA7" w:rsidRDefault="00681FA7">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0"/>
        <w:tblW w:w="10553" w:type="dxa"/>
        <w:tblInd w:w="-522" w:type="dxa"/>
        <w:tblLayout w:type="fixed"/>
        <w:tblLook w:val="0000" w:firstRow="0" w:lastRow="0" w:firstColumn="0" w:lastColumn="0" w:noHBand="0" w:noVBand="0"/>
      </w:tblPr>
      <w:tblGrid>
        <w:gridCol w:w="4381"/>
        <w:gridCol w:w="6172"/>
      </w:tblGrid>
      <w:tr w:rsidR="00681FA7" w14:paraId="425847B3" w14:textId="77777777">
        <w:trPr>
          <w:trHeight w:val="701"/>
        </w:trPr>
        <w:tc>
          <w:tcPr>
            <w:tcW w:w="4381" w:type="dxa"/>
          </w:tcPr>
          <w:p w14:paraId="76528221" w14:textId="77777777" w:rsidR="00681FA7" w:rsidRDefault="00000000">
            <w:pPr>
              <w:spacing w:after="0" w:line="240" w:lineRule="auto"/>
              <w:ind w:right="-108"/>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UBND THÀNH PHỐ HẢI PHÒNG</w:t>
            </w:r>
          </w:p>
          <w:p w14:paraId="56572020" w14:textId="77777777" w:rsidR="00681FA7"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6"/>
                <w:szCs w:val="26"/>
              </w:rPr>
              <w:t>SỞ KHOA HỌC VÀ CÔNG NGHỆ</w:t>
            </w:r>
            <w:r>
              <w:rPr>
                <w:noProof/>
              </w:rPr>
              <mc:AlternateContent>
                <mc:Choice Requires="wps">
                  <w:drawing>
                    <wp:anchor distT="0" distB="0" distL="114300" distR="114300" simplePos="0" relativeHeight="251661312" behindDoc="0" locked="0" layoutInCell="1" hidden="0" allowOverlap="1" wp14:anchorId="6E59A7C0" wp14:editId="00855169">
                      <wp:simplePos x="0" y="0"/>
                      <wp:positionH relativeFrom="column">
                        <wp:posOffset>803910</wp:posOffset>
                      </wp:positionH>
                      <wp:positionV relativeFrom="paragraph">
                        <wp:posOffset>237490</wp:posOffset>
                      </wp:positionV>
                      <wp:extent cx="0" cy="12700"/>
                      <wp:effectExtent l="0" t="0" r="0" b="0"/>
                      <wp:wrapNone/>
                      <wp:docPr id="1655754137" name="Straight Arrow Connector 1655754137"/>
                      <wp:cNvGraphicFramePr/>
                      <a:graphic xmlns:a="http://schemas.openxmlformats.org/drawingml/2006/main">
                        <a:graphicData uri="http://schemas.microsoft.com/office/word/2010/wordprocessingShape">
                          <wps:wsp>
                            <wps:cNvCnPr/>
                            <wps:spPr>
                              <a:xfrm>
                                <a:off x="4850700" y="3780000"/>
                                <a:ext cx="990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803910</wp:posOffset>
                      </wp:positionH>
                      <wp:positionV relativeFrom="paragraph">
                        <wp:posOffset>237490</wp:posOffset>
                      </wp:positionV>
                      <wp:extent cx="0" cy="12700"/>
                      <wp:effectExtent b="0" l="0" r="0" t="0"/>
                      <wp:wrapNone/>
                      <wp:docPr id="1655754137"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c>
          <w:tcPr>
            <w:tcW w:w="6172" w:type="dxa"/>
          </w:tcPr>
          <w:p w14:paraId="67785A71" w14:textId="77777777" w:rsidR="00681FA7" w:rsidRDefault="00000000">
            <w:pPr>
              <w:keepNext/>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CỘNG HÒA XÃ HỘI CHỦ NGHĨA VIỆT NAM</w:t>
            </w:r>
          </w:p>
          <w:p w14:paraId="0F3293B2" w14:textId="77777777" w:rsidR="00681FA7" w:rsidRDefault="00000000">
            <w:pPr>
              <w:keepNext/>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Độc lập - Tự do - Hạnh phúc</w:t>
            </w:r>
          </w:p>
          <w:p w14:paraId="2258C3B2" w14:textId="77777777" w:rsidR="00681FA7" w:rsidRDefault="00000000">
            <w:pPr>
              <w:tabs>
                <w:tab w:val="left" w:pos="1920"/>
                <w:tab w:val="left" w:pos="4236"/>
              </w:tabs>
              <w:spacing w:after="0" w:line="240" w:lineRule="auto"/>
              <w:rPr>
                <w:rFonts w:ascii="Times New Roman" w:eastAsia="Times New Roman" w:hAnsi="Times New Roman" w:cs="Times New Roman"/>
                <w:b/>
                <w:bCs/>
                <w:sz w:val="28"/>
                <w:szCs w:val="28"/>
              </w:rPr>
            </w:pPr>
            <w:r>
              <w:rPr>
                <w:noProof/>
              </w:rPr>
              <mc:AlternateContent>
                <mc:Choice Requires="wps">
                  <w:drawing>
                    <wp:anchor distT="0" distB="0" distL="114300" distR="114300" simplePos="0" relativeHeight="251662336" behindDoc="0" locked="0" layoutInCell="1" hidden="0" allowOverlap="1" wp14:anchorId="1590E8E9" wp14:editId="7343FC39">
                      <wp:simplePos x="0" y="0"/>
                      <wp:positionH relativeFrom="column">
                        <wp:posOffset>813435</wp:posOffset>
                      </wp:positionH>
                      <wp:positionV relativeFrom="paragraph">
                        <wp:posOffset>20955</wp:posOffset>
                      </wp:positionV>
                      <wp:extent cx="0" cy="12700"/>
                      <wp:effectExtent l="0" t="0" r="0" b="0"/>
                      <wp:wrapNone/>
                      <wp:docPr id="1655754141" name="Straight Arrow Connector 1655754141"/>
                      <wp:cNvGraphicFramePr/>
                      <a:graphic xmlns:a="http://schemas.openxmlformats.org/drawingml/2006/main">
                        <a:graphicData uri="http://schemas.microsoft.com/office/word/2010/wordprocessingShape">
                          <wps:wsp>
                            <wps:cNvCnPr/>
                            <wps:spPr>
                              <a:xfrm>
                                <a:off x="4261103" y="3780000"/>
                                <a:ext cx="21697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813435</wp:posOffset>
                      </wp:positionH>
                      <wp:positionV relativeFrom="paragraph">
                        <wp:posOffset>20955</wp:posOffset>
                      </wp:positionV>
                      <wp:extent cx="0" cy="12700"/>
                      <wp:effectExtent b="0" l="0" r="0" t="0"/>
                      <wp:wrapNone/>
                      <wp:docPr id="165575414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r>
    </w:tbl>
    <w:p w14:paraId="4FC3752B" w14:textId="77777777" w:rsidR="00681FA7" w:rsidRDefault="00000000">
      <w:pPr>
        <w:shd w:val="clear" w:color="auto" w:fill="FFFFFF"/>
        <w:spacing w:before="240" w:after="120"/>
        <w:jc w:val="center"/>
        <w:rPr>
          <w:rFonts w:ascii="Times New Roman" w:eastAsia="Times New Roman" w:hAnsi="Times New Roman" w:cs="Times New Roman"/>
          <w:b/>
          <w:bCs/>
          <w:sz w:val="28"/>
          <w:szCs w:val="28"/>
        </w:rPr>
      </w:pPr>
      <w:r>
        <w:rPr>
          <w:noProof/>
        </w:rPr>
        <mc:AlternateContent>
          <mc:Choice Requires="wpg">
            <w:drawing>
              <wp:anchor distT="0" distB="0" distL="114300" distR="114300" simplePos="0" relativeHeight="251663360" behindDoc="0" locked="0" layoutInCell="1" hidden="0" allowOverlap="1" wp14:anchorId="12300A49" wp14:editId="58076038">
                <wp:simplePos x="0" y="0"/>
                <wp:positionH relativeFrom="column">
                  <wp:posOffset>-10475</wp:posOffset>
                </wp:positionH>
                <wp:positionV relativeFrom="paragraph">
                  <wp:posOffset>82868</wp:posOffset>
                </wp:positionV>
                <wp:extent cx="992505" cy="285750"/>
                <wp:effectExtent l="0" t="0" r="0" b="0"/>
                <wp:wrapNone/>
                <wp:docPr id="1655754138" name="Rectangle 1655754138"/>
                <wp:cNvGraphicFramePr/>
                <a:graphic xmlns:a="http://schemas.openxmlformats.org/drawingml/2006/main">
                  <a:graphicData uri="http://schemas.microsoft.com/office/word/2010/wordprocessingShape">
                    <wps:wsp>
                      <wps:cNvSpPr/>
                      <wps:spPr>
                        <a:xfrm>
                          <a:off x="4854510" y="3641888"/>
                          <a:ext cx="982980"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20F790" w14:textId="77777777" w:rsidR="00681FA7" w:rsidRDefault="00000000">
                            <w:pPr>
                              <w:spacing w:line="258" w:lineRule="auto"/>
                              <w:jc w:val="center"/>
                              <w:textDirection w:val="btLr"/>
                            </w:pPr>
                            <w:r>
                              <w:rPr>
                                <w:rFonts w:ascii="Times New Roman" w:eastAsia="Times New Roman" w:hAnsi="Times New Roman" w:cs="Times New Roman"/>
                                <w:b/>
                                <w:color w:val="000000"/>
                              </w:rPr>
                              <w:t>DỰ THẢO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-10475</wp:posOffset>
                </wp:positionH>
                <wp:positionV relativeFrom="paragraph">
                  <wp:posOffset>82868</wp:posOffset>
                </wp:positionV>
                <wp:extent cx="992505" cy="285750"/>
                <wp:effectExtent b="0" l="0" r="0" t="0"/>
                <wp:wrapNone/>
                <wp:docPr id="165575413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992505" cy="285750"/>
                        </a:xfrm>
                        <a:prstGeom prst="rect"/>
                        <a:ln/>
                      </pic:spPr>
                    </pic:pic>
                  </a:graphicData>
                </a:graphic>
              </wp:anchor>
            </w:drawing>
          </mc:Fallback>
        </mc:AlternateContent>
      </w:r>
    </w:p>
    <w:p w14:paraId="1872D5FB" w14:textId="77777777" w:rsidR="00681FA7" w:rsidRDefault="00000000">
      <w:pPr>
        <w:shd w:val="clear" w:color="auto" w:fill="FFFFFF"/>
        <w:spacing w:before="240" w:after="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BÁO CÁO ĐÁNH GIÁ TÁC ĐỘNG CỦA THỦ TỤC HÀNH CHÍNH </w:t>
      </w:r>
    </w:p>
    <w:p w14:paraId="0887AC1E" w14:textId="77777777" w:rsidR="00681FA7"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BAN HÀNH MỚI TRONG DỰ THẢO VĂN BẢN</w:t>
      </w:r>
    </w:p>
    <w:p w14:paraId="57E2BBA3" w14:textId="77777777" w:rsidR="00681FA7" w:rsidRDefault="00000000">
      <w:pPr>
        <w:spacing w:before="360" w:after="1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Tên dự án, dự thảo văn bản:</w:t>
      </w:r>
      <w:r>
        <w:rPr>
          <w:rFonts w:ascii="Times New Roman" w:eastAsia="Times New Roman" w:hAnsi="Times New Roman" w:cs="Times New Roman"/>
          <w:sz w:val="28"/>
          <w:szCs w:val="28"/>
        </w:rPr>
        <w:t> Quyết định của Uỷ ban nhân dân thành phố Hải Phòng quy định</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hình thức, trình tự, thủ tục hỗ trợ tổ chức, cá nhân thuê trực tiếp tài sản kết cấu hạ tầng khoa học và công nghệ không thông qua đấu giá để hoạt động</w:t>
      </w:r>
      <w:r>
        <w:rPr>
          <w:rFonts w:ascii="Times New Roman" w:eastAsia="Times New Roman" w:hAnsi="Times New Roman" w:cs="Times New Roman"/>
          <w:i/>
          <w:iCs/>
          <w:sz w:val="28"/>
          <w:szCs w:val="28"/>
        </w:rPr>
        <w:t>.</w:t>
      </w:r>
      <w:r>
        <w:rPr>
          <w:noProof/>
        </w:rPr>
        <mc:AlternateContent>
          <mc:Choice Requires="wps">
            <w:drawing>
              <wp:anchor distT="0" distB="0" distL="114300" distR="114300" simplePos="0" relativeHeight="251664384" behindDoc="0" locked="0" layoutInCell="1" hidden="0" allowOverlap="1" wp14:anchorId="2E032C0C" wp14:editId="4ABD8AD2">
                <wp:simplePos x="0" y="0"/>
                <wp:positionH relativeFrom="column">
                  <wp:posOffset>1753870</wp:posOffset>
                </wp:positionH>
                <wp:positionV relativeFrom="paragraph">
                  <wp:posOffset>29210</wp:posOffset>
                </wp:positionV>
                <wp:extent cx="0" cy="12700"/>
                <wp:effectExtent l="0" t="0" r="0" b="0"/>
                <wp:wrapNone/>
                <wp:docPr id="1655754140" name="Straight Arrow Connector 1655754140"/>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1753870</wp:posOffset>
                </wp:positionH>
                <wp:positionV relativeFrom="paragraph">
                  <wp:posOffset>29210</wp:posOffset>
                </wp:positionV>
                <wp:extent cx="0" cy="12700"/>
                <wp:effectExtent b="0" l="0" r="0" t="0"/>
                <wp:wrapNone/>
                <wp:docPr id="1655754140"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304533A8" w14:textId="77777777" w:rsidR="00681FA7" w:rsidRDefault="0000000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THỦ TỤC HÀNH CHÍNH:</w:t>
      </w:r>
      <w:r>
        <w:rPr>
          <w:rFonts w:ascii="Times New Roman" w:eastAsia="Times New Roman" w:hAnsi="Times New Roman" w:cs="Times New Roman"/>
          <w:sz w:val="28"/>
          <w:szCs w:val="28"/>
        </w:rPr>
        <w:t xml:space="preserve"> Thủ tục hỗ trợ kinh phí thuê tài sản kết cấu hạ tầng khoa học và công nghệ không thông qua đấu giá để hoạt động</w:t>
      </w:r>
    </w:p>
    <w:tbl>
      <w:tblPr>
        <w:tblStyle w:val="a1"/>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6"/>
        <w:gridCol w:w="6415"/>
      </w:tblGrid>
      <w:tr w:rsidR="00681FA7" w14:paraId="26B9175E" w14:textId="77777777">
        <w:tc>
          <w:tcPr>
            <w:tcW w:w="9341" w:type="dxa"/>
            <w:gridSpan w:val="2"/>
            <w:shd w:val="clear" w:color="auto" w:fill="FFFFFF"/>
          </w:tcPr>
          <w:p w14:paraId="69DB8CE5"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SỰ CẦN THIẾT CỦA QUY ĐỊNH VỀ THỦ TỤC HÀNH CHÍNH TẠI DỰ ÁN, DỰ THẢO VĂN BẢN</w:t>
            </w:r>
          </w:p>
        </w:tc>
      </w:tr>
      <w:tr w:rsidR="00681FA7" w14:paraId="206ED9B3" w14:textId="77777777">
        <w:tc>
          <w:tcPr>
            <w:tcW w:w="2926" w:type="dxa"/>
            <w:shd w:val="clear" w:color="auto" w:fill="FFFFFF"/>
          </w:tcPr>
          <w:p w14:paraId="25C23363"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Nội dung cụ thể trong ngành, lĩnh vực mà Nhà nước cần quản lý hoặc các biện pháp có tính chất đặc thù phù hợp với điều kiện phát triển kinh tế - xã hội của địa phương?</w:t>
            </w:r>
          </w:p>
        </w:tc>
        <w:tc>
          <w:tcPr>
            <w:tcW w:w="6415" w:type="dxa"/>
            <w:shd w:val="clear" w:color="auto" w:fill="FFFFFF"/>
          </w:tcPr>
          <w:p w14:paraId="263A2652" w14:textId="77777777" w:rsidR="00681FA7" w:rsidRDefault="00000000">
            <w:pPr>
              <w:spacing w:before="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Nội dung cụ thể trong ngành, lĩnh vực mà Nhà nước cần quản lý hoặc các biện pháp có tính chất đặc thù phù hợp với điều kiện phát triển kinh tế - xã hội của địa phương: </w:t>
            </w:r>
          </w:p>
          <w:p w14:paraId="1FDCEAF6" w14:textId="77777777" w:rsidR="00681FA7" w:rsidRDefault="00000000">
            <w:pPr>
              <w:shd w:val="clear" w:color="auto" w:fill="FFFFFF"/>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Quy định cách thức triển khai hỗ trợ kinh phí thuê tài sản kết cấu hạ tầng khoa học và công nghệ không thông qua đấu giá để hoạt động trên địa bàn thành phố Hải Phòng</w:t>
            </w:r>
          </w:p>
          <w:p w14:paraId="792EAAA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Nêu rõ lý do Nhà nước cần quản lý hoặc ban hành các biện pháp có tính chất đặc thù phù hợp với điều kiện phát triển kinh tế - xã hội của địa phương: </w:t>
            </w:r>
          </w:p>
          <w:p w14:paraId="0E565105"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Để bảo đảm công tác triển khai hỗ trợ kinh phí thuê tài sản kết cấu hạ tầng khoa học và công nghệ cho tổ chức, cá nhân được thực hiện minh bạch, rõ ràng, tuân thủ các quy định pháp luật </w:t>
            </w:r>
          </w:p>
        </w:tc>
      </w:tr>
      <w:tr w:rsidR="00681FA7" w14:paraId="155C4767" w14:textId="77777777">
        <w:tc>
          <w:tcPr>
            <w:tcW w:w="2926" w:type="dxa"/>
            <w:shd w:val="clear" w:color="auto" w:fill="FFFFFF"/>
          </w:tcPr>
          <w:p w14:paraId="57A27A4C"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Nội dung quyền, nghĩa vụ và lợi ích hợp </w:t>
            </w:r>
            <w:r>
              <w:rPr>
                <w:rFonts w:ascii="Times New Roman" w:eastAsia="Times New Roman" w:hAnsi="Times New Roman" w:cs="Times New Roman"/>
                <w:sz w:val="28"/>
                <w:szCs w:val="28"/>
              </w:rPr>
              <w:lastRenderedPageBreak/>
              <w:t>pháp cụ thể của cá nhân, tổ chức cần được bảo đảm?</w:t>
            </w:r>
          </w:p>
        </w:tc>
        <w:tc>
          <w:tcPr>
            <w:tcW w:w="6415" w:type="dxa"/>
            <w:shd w:val="clear" w:color="auto" w:fill="FFFFFF"/>
          </w:tcPr>
          <w:p w14:paraId="0F3AA063"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Nội dung quyền, nghĩa vụ và lợi ích hợp pháp cụ thể của cá nhân, tổ chức cần được bảo đảm:</w:t>
            </w:r>
          </w:p>
          <w:p w14:paraId="5727A338"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Cơ quan nhà nước có trách nhiệm xét duyệt hồ sơ đề nghị hỗ trợ của tổ chức, cá nhân, đồng thời thực hiện các nhiệm vụ quản lý </w:t>
            </w:r>
          </w:p>
          <w:p w14:paraId="26AD9075"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cá nhân được hưởng chính sách hỗ trợ, đồng thời có trách nhiệm thực hiện các cam kết với nhà nước, và các quy định pháp luật</w:t>
            </w:r>
          </w:p>
          <w:p w14:paraId="6B8BAEAB"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b) Nêu rõ lý do Nhà nước cần quy định: </w:t>
            </w:r>
          </w:p>
          <w:p w14:paraId="68B8D1FA"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Thủ tục trình bày rõ trách nhiệm, quy trình thực hiện của các bên</w:t>
            </w:r>
          </w:p>
        </w:tc>
      </w:tr>
      <w:tr w:rsidR="00681FA7" w14:paraId="6CB76A33" w14:textId="77777777">
        <w:tc>
          <w:tcPr>
            <w:tcW w:w="2926" w:type="dxa"/>
            <w:shd w:val="clear" w:color="auto" w:fill="FFFFFF"/>
          </w:tcPr>
          <w:p w14:paraId="102BFD42"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Lý do lựa chọn biện pháp quy định thủ tục hành chính để thực hiện yêu cầu quản lý nhà nước hoặc thực hiện các biện pháp có tính chất đặc thù phù hợp với điều kiện phát triển kinh tế - xã hội của địa phương và bảo đảm quyền, nghĩa vụ và lợi ích hợp pháp của cá nhân, tổ chức?</w:t>
            </w:r>
          </w:p>
        </w:tc>
        <w:tc>
          <w:tcPr>
            <w:tcW w:w="6415" w:type="dxa"/>
            <w:shd w:val="clear" w:color="auto" w:fill="FFFFFF"/>
          </w:tcPr>
          <w:p w14:paraId="029F815B"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a) Lý do quy định thủ tục hành chính: </w:t>
            </w:r>
          </w:p>
          <w:p w14:paraId="3C323243"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TTHC với các cấu phần được quy định đầy đủ và chặt chẽ là biện pháp hữu hiệu nhất giúp bảo đảm quyền và lợi ích của các dự án thử nghiệm có kiểm soát, đảm bảo việc cấp phép công khai, minh bạch.</w:t>
            </w:r>
          </w:p>
          <w:p w14:paraId="6CBF02A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Nêu rõ điều, khoản quy định thủ tục hành chính tại dự án, dự thảo văn bản: </w:t>
            </w:r>
          </w:p>
          <w:p w14:paraId="76D5374D" w14:textId="77777777" w:rsidR="00681FA7" w:rsidRDefault="00000000">
            <w:pPr>
              <w:spacing w:before="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Quy định tại Điều 4 của Quyết định.</w:t>
            </w:r>
          </w:p>
        </w:tc>
      </w:tr>
      <w:tr w:rsidR="00681FA7" w14:paraId="4C4100B1" w14:textId="77777777">
        <w:tc>
          <w:tcPr>
            <w:tcW w:w="2926" w:type="dxa"/>
            <w:shd w:val="clear" w:color="auto" w:fill="FFFFFF"/>
          </w:tcPr>
          <w:p w14:paraId="53720FA7"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Có biện pháp nào khác có thể sử dụng mà không phải bằng quy định thủ tục hành chính không?</w:t>
            </w:r>
          </w:p>
        </w:tc>
        <w:tc>
          <w:tcPr>
            <w:tcW w:w="6415" w:type="dxa"/>
            <w:shd w:val="clear" w:color="auto" w:fill="FFFFFF"/>
          </w:tcPr>
          <w:p w14:paraId="59CF4D83"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Không</w:t>
            </w:r>
          </w:p>
          <w:p w14:paraId="00DD7E40" w14:textId="77777777" w:rsidR="00681FA7" w:rsidRDefault="00000000">
            <w:pPr>
              <w:spacing w:before="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Không, nêu rõ lý do: TTHC với các cấu phần được quy định đầy đủ và chặt chẽ là biện pháp hữu hiệu nhất giúp bảo đảm quyền và lợi ích của các tổ chức cá nhân đề nghị hỗ trợ kinh phí thuê tài sản kết cấu hạ tầng và các cơ quan, tổ chức, cá nhân. Việc quy định TTHC tạo điều kiện thuận lợi cho tổ chức, cá nhân gửi hồ sơ đề nghị và thụ hưởng hỗ trợ.</w:t>
            </w:r>
          </w:p>
        </w:tc>
      </w:tr>
      <w:tr w:rsidR="00681FA7" w14:paraId="2C2D87C7" w14:textId="77777777">
        <w:tc>
          <w:tcPr>
            <w:tcW w:w="9341" w:type="dxa"/>
            <w:gridSpan w:val="2"/>
            <w:shd w:val="clear" w:color="auto" w:fill="FFFFFF"/>
          </w:tcPr>
          <w:p w14:paraId="74C45CEB"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ĐÁNH GIÁ TÍNH HỢP PHÁP CỦA THỦ TỤC HÀNH CHÍNH</w:t>
            </w:r>
          </w:p>
        </w:tc>
      </w:tr>
      <w:tr w:rsidR="00681FA7" w14:paraId="772EE0CF" w14:textId="77777777">
        <w:tc>
          <w:tcPr>
            <w:tcW w:w="2926" w:type="dxa"/>
            <w:shd w:val="clear" w:color="auto" w:fill="FFFFFF"/>
          </w:tcPr>
          <w:p w14:paraId="69BEA00D"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Có được ban hành theo đúng thẩm quyền không?</w:t>
            </w:r>
          </w:p>
        </w:tc>
        <w:tc>
          <w:tcPr>
            <w:tcW w:w="6415" w:type="dxa"/>
            <w:shd w:val="clear" w:color="auto" w:fill="FFFFFF"/>
          </w:tcPr>
          <w:p w14:paraId="510F0CDB"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496D0A3F"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rõ lý do: Ban hành theo đúng thẩm quyền được giao tại Nghị quyết số 226/2025/QH15, Luật Ban hành văn bản bản quy phạm pháp luật và các quy định của pháp luật về kiểm soát thủ tục hành chính.</w:t>
            </w:r>
          </w:p>
        </w:tc>
      </w:tr>
      <w:tr w:rsidR="00681FA7" w14:paraId="4BBB490B" w14:textId="77777777">
        <w:tc>
          <w:tcPr>
            <w:tcW w:w="2926" w:type="dxa"/>
            <w:shd w:val="clear" w:color="auto" w:fill="FFFFFF"/>
          </w:tcPr>
          <w:p w14:paraId="5C7361CE"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Có mâu thuẫn, chồng chéo hoặc không phù hợp, thống nhất với quy định tại các văn bản khác không?</w:t>
            </w:r>
          </w:p>
        </w:tc>
        <w:tc>
          <w:tcPr>
            <w:tcW w:w="6415" w:type="dxa"/>
            <w:shd w:val="clear" w:color="auto" w:fill="FFFFFF"/>
          </w:tcPr>
          <w:p w14:paraId="517BF85F"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Với văn bản của cơ quan nhà nước cấp trên: </w:t>
            </w:r>
          </w:p>
          <w:p w14:paraId="1BF43ADE"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     Không </w:t>
            </w:r>
            <w:r>
              <w:rPr>
                <w:rFonts w:ascii="Wingdings 2" w:eastAsia="Wingdings 2" w:hAnsi="Wingdings 2" w:cs="Wingdings 2"/>
                <w:sz w:val="28"/>
                <w:szCs w:val="28"/>
              </w:rPr>
              <w:t>☒</w:t>
            </w:r>
          </w:p>
          <w:p w14:paraId="03830EC6"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Nếu Có, đề nghị nêu rõ:</w:t>
            </w:r>
          </w:p>
          <w:p w14:paraId="55DA7747"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Tên bộ phận tạo thành: ………………………………</w:t>
            </w:r>
          </w:p>
          <w:p w14:paraId="391EC538"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rõ điều, khoản, tên văn bản tương ứng: ….</w:t>
            </w:r>
          </w:p>
          <w:p w14:paraId="6C80DAC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cách thức giải quyết để đảm bảo tính thống nhất, đồng bộ của hệ thống pháp luật hoặc lý do vẫn quy định như tại dự án, dự thảo …………</w:t>
            </w:r>
          </w:p>
          <w:p w14:paraId="26569BB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Với văn bản của cơ quan khác: Có □     Không </w:t>
            </w:r>
            <w:r>
              <w:rPr>
                <w:rFonts w:ascii="Wingdings 2" w:eastAsia="Wingdings 2" w:hAnsi="Wingdings 2" w:cs="Wingdings 2"/>
                <w:sz w:val="28"/>
                <w:szCs w:val="28"/>
              </w:rPr>
              <w:t>☒</w:t>
            </w:r>
          </w:p>
          <w:p w14:paraId="63A008E7"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Có, đề nghị nêu rõ:</w:t>
            </w:r>
          </w:p>
          <w:p w14:paraId="0D826ED2"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Tên bộ phận tạo thành: ………………………</w:t>
            </w:r>
          </w:p>
          <w:p w14:paraId="5FE22D27"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rõ điều, khoản, tên văn bản tương ứng: ……</w:t>
            </w:r>
          </w:p>
          <w:p w14:paraId="02EB1A39"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cách thức giải quyết để đảm bảo tính thống nhất, đồng bộ của hệ thống pháp luật hoặc lý do vẫn quy định như tại dự án, dự thảo ……………</w:t>
            </w:r>
          </w:p>
          <w:p w14:paraId="1059A326"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Với điều ước quốc tế có liên quan mà CHXHCN Việt Nam là thành viên: Có □     Không </w:t>
            </w:r>
            <w:r>
              <w:rPr>
                <w:rFonts w:ascii="Wingdings 2" w:eastAsia="Wingdings 2" w:hAnsi="Wingdings 2" w:cs="Wingdings 2"/>
                <w:sz w:val="28"/>
                <w:szCs w:val="28"/>
              </w:rPr>
              <w:t>☒</w:t>
            </w:r>
          </w:p>
          <w:p w14:paraId="59D4A340"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Nếu Có, đề nghị nêu rõ:</w:t>
            </w:r>
          </w:p>
          <w:p w14:paraId="4D87B2CE"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Tên bộ phận tạo thành: ……………………………..</w:t>
            </w:r>
          </w:p>
          <w:p w14:paraId="69E35988"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Nêu rõ điều, khoản, điều ước quốc tế tương ứng: ……</w:t>
            </w:r>
          </w:p>
          <w:p w14:paraId="51EEA84C"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cách thức giải quyết để đảm bảo tính tương thích với điều ước quốc tế hoặc lý do vẫn quy định như tại dự án, dự thảo …………</w:t>
            </w:r>
          </w:p>
        </w:tc>
      </w:tr>
      <w:tr w:rsidR="00681FA7" w14:paraId="4B24D5EB" w14:textId="77777777">
        <w:tc>
          <w:tcPr>
            <w:tcW w:w="9341" w:type="dxa"/>
            <w:gridSpan w:val="2"/>
            <w:shd w:val="clear" w:color="auto" w:fill="FFFFFF"/>
          </w:tcPr>
          <w:p w14:paraId="6AEE183D"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III. ĐÁNH GIÁ TÍNH HỢP LÝ CỦA THỦ TỤC HÀNH CHÍNH</w:t>
            </w:r>
          </w:p>
        </w:tc>
      </w:tr>
      <w:tr w:rsidR="00681FA7" w14:paraId="3B34882B" w14:textId="77777777">
        <w:tc>
          <w:tcPr>
            <w:tcW w:w="9341" w:type="dxa"/>
            <w:gridSpan w:val="2"/>
            <w:shd w:val="clear" w:color="auto" w:fill="FFFFFF"/>
          </w:tcPr>
          <w:p w14:paraId="5F2F78A7"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Tên thủ tục hành chính</w:t>
            </w:r>
          </w:p>
        </w:tc>
      </w:tr>
      <w:tr w:rsidR="00681FA7" w14:paraId="7D36D2F3" w14:textId="77777777">
        <w:tc>
          <w:tcPr>
            <w:tcW w:w="2926" w:type="dxa"/>
            <w:shd w:val="clear" w:color="auto" w:fill="FFFFFF"/>
          </w:tcPr>
          <w:p w14:paraId="6958A9DE"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Có được quy định rõ ràng, cụ thể và phù hợp không?</w:t>
            </w:r>
          </w:p>
        </w:tc>
        <w:tc>
          <w:tcPr>
            <w:tcW w:w="6415" w:type="dxa"/>
            <w:shd w:val="clear" w:color="auto" w:fill="FFFFFF"/>
          </w:tcPr>
          <w:p w14:paraId="09799819"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18CCA085" w14:textId="77777777" w:rsidR="00681FA7" w:rsidRDefault="00000000">
            <w:pPr>
              <w:shd w:val="clear" w:color="auto" w:fill="FFFFFF"/>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rõ lý do: Tên thủ tục hành chính được xác định rõ tại dự thảo Quyết định</w:t>
            </w:r>
          </w:p>
        </w:tc>
      </w:tr>
      <w:tr w:rsidR="00681FA7" w14:paraId="45574D4C" w14:textId="77777777">
        <w:tc>
          <w:tcPr>
            <w:tcW w:w="9341" w:type="dxa"/>
            <w:gridSpan w:val="2"/>
            <w:shd w:val="clear" w:color="auto" w:fill="FFFFFF"/>
          </w:tcPr>
          <w:p w14:paraId="3B479CCE"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Trình tự thực hiện</w:t>
            </w:r>
          </w:p>
        </w:tc>
      </w:tr>
      <w:tr w:rsidR="00681FA7" w14:paraId="76489FCE" w14:textId="77777777">
        <w:tc>
          <w:tcPr>
            <w:tcW w:w="2926" w:type="dxa"/>
            <w:shd w:val="clear" w:color="auto" w:fill="FFFFFF"/>
          </w:tcPr>
          <w:p w14:paraId="413D3ADF"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a) Có được quy định rõ ràng và cụ thể về các bước thực hiện không?</w:t>
            </w:r>
          </w:p>
        </w:tc>
        <w:tc>
          <w:tcPr>
            <w:tcW w:w="6415" w:type="dxa"/>
            <w:shd w:val="clear" w:color="auto" w:fill="FFFFFF"/>
          </w:tcPr>
          <w:p w14:paraId="650843D1"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091E9BB8"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Nêu rõ lý do: Trình tự thực hiện được quy định cụ thể tại Điều 4 của Quyết định.</w:t>
            </w:r>
          </w:p>
        </w:tc>
      </w:tr>
      <w:tr w:rsidR="00681FA7" w14:paraId="656CD015" w14:textId="77777777">
        <w:tc>
          <w:tcPr>
            <w:tcW w:w="2926" w:type="dxa"/>
            <w:shd w:val="clear" w:color="auto" w:fill="FFFFFF"/>
          </w:tcPr>
          <w:p w14:paraId="5B27AA5B"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b) Có được quy định, phân định rõ trách nhiệm và nội dung công việc của cơ quan nhà nước và cá nhân, tổ chức khi thực hiện không?</w:t>
            </w:r>
          </w:p>
        </w:tc>
        <w:tc>
          <w:tcPr>
            <w:tcW w:w="6415" w:type="dxa"/>
            <w:shd w:val="clear" w:color="auto" w:fill="FFFFFF"/>
          </w:tcPr>
          <w:p w14:paraId="1BBF3D1A"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1297D255"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rõ lý do: Việc quy định, phân định rõ trách nhiệm và nội dung công việc của Ủy ban nhân dân, Sở Khoa học và Công nghệ, Sở Tài chính, Hội đồng thẩm định hồ sơ, đảm bảo thủ tục được thực hiện chính xác, hiệu quả.</w:t>
            </w:r>
          </w:p>
        </w:tc>
      </w:tr>
      <w:tr w:rsidR="00681FA7" w14:paraId="30270927" w14:textId="77777777">
        <w:tc>
          <w:tcPr>
            <w:tcW w:w="2926" w:type="dxa"/>
            <w:shd w:val="clear" w:color="auto" w:fill="FFFFFF"/>
          </w:tcPr>
          <w:p w14:paraId="1A77A13B"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c) Có áp dụng cơ chế liên thông không?</w:t>
            </w:r>
          </w:p>
        </w:tc>
        <w:tc>
          <w:tcPr>
            <w:tcW w:w="6415" w:type="dxa"/>
            <w:shd w:val="clear" w:color="auto" w:fill="FFFFFF"/>
          </w:tcPr>
          <w:p w14:paraId="7A71019D"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  Không </w:t>
            </w:r>
            <w:r>
              <w:rPr>
                <w:rFonts w:ascii="Wingdings 2" w:eastAsia="Wingdings 2" w:hAnsi="Wingdings 2" w:cs="Wingdings 2"/>
                <w:sz w:val="28"/>
                <w:szCs w:val="28"/>
              </w:rPr>
              <w:t>☒</w:t>
            </w:r>
          </w:p>
          <w:p w14:paraId="5C57D22E"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rõ lý do: Quá trình xử lý hồ sơ thủ tục hành chính chỉ thực hiện ở Sở Khoa học và Công nghệ không liên thông đến các đơn vị khác.</w:t>
            </w:r>
          </w:p>
        </w:tc>
      </w:tr>
      <w:tr w:rsidR="00681FA7" w14:paraId="0CC4CB6F" w14:textId="77777777">
        <w:tc>
          <w:tcPr>
            <w:tcW w:w="2926" w:type="dxa"/>
            <w:shd w:val="clear" w:color="auto" w:fill="FFFFFF"/>
          </w:tcPr>
          <w:p w14:paraId="6496D9DC"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d) Có quy định việc kiểm tra, đánh giá, xác minh thực tế của cơ quan nhà nước không?</w:t>
            </w:r>
          </w:p>
        </w:tc>
        <w:tc>
          <w:tcPr>
            <w:tcW w:w="6415" w:type="dxa"/>
            <w:shd w:val="clear" w:color="auto" w:fill="FFFFFF"/>
          </w:tcPr>
          <w:p w14:paraId="0A30ABB6"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xml:space="preserve">      Không □</w:t>
            </w:r>
          </w:p>
          <w:p w14:paraId="08380FFB"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Nếu Có, nêu rõ nội dung quy định: Tại điểm b, khoản 2, Điều 4 dự thảo Quyết định: "</w:t>
            </w:r>
            <w:r>
              <w:rPr>
                <w:rFonts w:ascii="Times New Roman" w:eastAsia="Times New Roman" w:hAnsi="Times New Roman" w:cs="Times New Roman"/>
                <w:i/>
                <w:iCs/>
                <w:sz w:val="28"/>
                <w:szCs w:val="28"/>
              </w:rPr>
              <w:t>Sau khi nhận được hồ sơ, Sở Khoa học và Công nghệ xem xét tính đầy đủ, hợp lệ của các hồ sơ và khảo sát thực tế tại địa điểm thuê tài sản</w:t>
            </w:r>
            <w:r>
              <w:rPr>
                <w:rFonts w:ascii="Times New Roman" w:eastAsia="Times New Roman" w:hAnsi="Times New Roman" w:cs="Times New Roman"/>
                <w:sz w:val="28"/>
                <w:szCs w:val="28"/>
              </w:rPr>
              <w:t>"</w:t>
            </w:r>
          </w:p>
          <w:p w14:paraId="69C9BFC3"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biện pháp có thể thay thế: Có □     Không </w:t>
            </w:r>
            <w:r>
              <w:rPr>
                <w:rFonts w:ascii="Wingdings 2" w:eastAsia="Wingdings 2" w:hAnsi="Wingdings 2" w:cs="Wingdings 2"/>
                <w:sz w:val="28"/>
                <w:szCs w:val="28"/>
              </w:rPr>
              <w:t>☒</w:t>
            </w:r>
            <w:r>
              <w:rPr>
                <w:rFonts w:ascii="Times New Roman" w:eastAsia="Times New Roman" w:hAnsi="Times New Roman" w:cs="Times New Roman"/>
                <w:sz w:val="28"/>
                <w:szCs w:val="28"/>
              </w:rPr>
              <w:t> </w:t>
            </w:r>
          </w:p>
          <w:p w14:paraId="7BCE82CA"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Nếu Có, nêu rõ lý do vẫn quy định như tại dự án, dự thảo: ……………………</w:t>
            </w:r>
          </w:p>
          <w:p w14:paraId="3C7C6F40" w14:textId="77777777" w:rsidR="00681FA7" w:rsidRDefault="00681FA7">
            <w:pPr>
              <w:spacing w:before="120" w:after="120"/>
              <w:ind w:left="142" w:right="141"/>
              <w:rPr>
                <w:rFonts w:ascii="Times New Roman" w:eastAsia="Times New Roman" w:hAnsi="Times New Roman" w:cs="Times New Roman"/>
                <w:sz w:val="28"/>
                <w:szCs w:val="28"/>
              </w:rPr>
            </w:pPr>
          </w:p>
        </w:tc>
      </w:tr>
      <w:tr w:rsidR="00681FA7" w14:paraId="18350738" w14:textId="77777777">
        <w:tc>
          <w:tcPr>
            <w:tcW w:w="9341" w:type="dxa"/>
            <w:gridSpan w:val="2"/>
            <w:shd w:val="clear" w:color="auto" w:fill="FFFFFF"/>
          </w:tcPr>
          <w:p w14:paraId="74BD2B5A"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3. Cách thức thực hiện</w:t>
            </w:r>
          </w:p>
        </w:tc>
      </w:tr>
      <w:tr w:rsidR="00681FA7" w14:paraId="39CDC273" w14:textId="77777777">
        <w:tc>
          <w:tcPr>
            <w:tcW w:w="2926" w:type="dxa"/>
            <w:shd w:val="clear" w:color="auto" w:fill="FFFFFF"/>
          </w:tcPr>
          <w:p w14:paraId="4562BBFF"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a) Nộp hồ sơ:</w:t>
            </w:r>
          </w:p>
          <w:p w14:paraId="77D2F881"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Trực tiếp </w:t>
            </w:r>
            <w:r>
              <w:rPr>
                <w:rFonts w:ascii="Wingdings 2" w:eastAsia="Wingdings 2" w:hAnsi="Wingdings 2" w:cs="Wingdings 2"/>
                <w:sz w:val="28"/>
                <w:szCs w:val="28"/>
              </w:rPr>
              <w:t>☒</w:t>
            </w:r>
          </w:p>
          <w:p w14:paraId="73946904"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Bưu chính </w:t>
            </w:r>
            <w:r>
              <w:rPr>
                <w:rFonts w:ascii="Wingdings 2" w:eastAsia="Wingdings 2" w:hAnsi="Wingdings 2" w:cs="Wingdings 2"/>
                <w:sz w:val="28"/>
                <w:szCs w:val="28"/>
              </w:rPr>
              <w:t>☒</w:t>
            </w:r>
          </w:p>
          <w:p w14:paraId="1F8DBDE9"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Điện tử □</w:t>
            </w:r>
          </w:p>
          <w:p w14:paraId="1BBB4613"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b) Nhận kết quả:</w:t>
            </w:r>
          </w:p>
          <w:p w14:paraId="7A7C03BE"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Trực tiếp </w:t>
            </w:r>
            <w:r>
              <w:rPr>
                <w:rFonts w:ascii="Wingdings 2" w:eastAsia="Wingdings 2" w:hAnsi="Wingdings 2" w:cs="Wingdings 2"/>
                <w:sz w:val="28"/>
                <w:szCs w:val="28"/>
              </w:rPr>
              <w:t>☒</w:t>
            </w:r>
          </w:p>
          <w:p w14:paraId="02A87CC0"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Bưu chính </w:t>
            </w:r>
            <w:r>
              <w:rPr>
                <w:rFonts w:ascii="Wingdings 2" w:eastAsia="Wingdings 2" w:hAnsi="Wingdings 2" w:cs="Wingdings 2"/>
                <w:sz w:val="28"/>
                <w:szCs w:val="28"/>
              </w:rPr>
              <w:t>☒</w:t>
            </w:r>
          </w:p>
          <w:p w14:paraId="14C67472"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Điện tử □</w:t>
            </w:r>
          </w:p>
        </w:tc>
        <w:tc>
          <w:tcPr>
            <w:tcW w:w="6415" w:type="dxa"/>
            <w:shd w:val="clear" w:color="auto" w:fill="FFFFFF"/>
          </w:tcPr>
          <w:p w14:paraId="1C6DF0B7"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Có được quy định rõ ràng, cụ thể không? </w:t>
            </w:r>
          </w:p>
          <w:p w14:paraId="40B868E8"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7D9D709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rõ lý do: quy định rõ ràng, cụ thể để tổ chức, doanh nghiệp có nhiều lựa chọn trong việc nộp hồ sơ.</w:t>
            </w:r>
          </w:p>
          <w:p w14:paraId="1BF5F2D5"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Có được quy định phù hợp và tạo thuận lợi, tiết kiệm chi phí cho cơ quan nhà nước, cá nhân, tổ chức khi thực hiện không? </w:t>
            </w:r>
          </w:p>
          <w:p w14:paraId="4571870E"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2F570E56"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rõ lý do: Phù hợp với yêu cầu quản lý, tạo điều kiện thuận lợi cho tổ chức, cá nhân</w:t>
            </w:r>
          </w:p>
        </w:tc>
      </w:tr>
      <w:tr w:rsidR="00681FA7" w14:paraId="71E0F5A2" w14:textId="77777777">
        <w:tc>
          <w:tcPr>
            <w:tcW w:w="9341" w:type="dxa"/>
            <w:gridSpan w:val="2"/>
            <w:shd w:val="clear" w:color="auto" w:fill="FFFFFF"/>
          </w:tcPr>
          <w:p w14:paraId="25A97B03"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Thành phần, số lượng hồ sơ</w:t>
            </w:r>
          </w:p>
        </w:tc>
      </w:tr>
      <w:tr w:rsidR="00681FA7" w14:paraId="7276A49A" w14:textId="77777777">
        <w:tc>
          <w:tcPr>
            <w:tcW w:w="2926" w:type="dxa"/>
            <w:shd w:val="clear" w:color="auto" w:fill="FFFFFF"/>
          </w:tcPr>
          <w:p w14:paraId="5E3C35FF"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a) Tên thành phần hồ sơ 1: Đơn đề nghị</w:t>
            </w:r>
          </w:p>
        </w:tc>
        <w:tc>
          <w:tcPr>
            <w:tcW w:w="6415" w:type="dxa"/>
            <w:shd w:val="clear" w:color="auto" w:fill="FFFFFF"/>
          </w:tcPr>
          <w:p w14:paraId="46F05213"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rõ lý do quy định: Cung cấp các thông tin sơ bộ về nội dung đề nghị hỗ trợ.</w:t>
            </w:r>
          </w:p>
          <w:p w14:paraId="0C8985F6"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về hình thức: Theo mẫu tại Phụ lục ban hành kèm theo Quyết định.</w:t>
            </w:r>
          </w:p>
          <w:p w14:paraId="12E4E6C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thống nhất các nội dung về thông tin, nội dung đề nghị, cam kết của tổ chức, cá nhân đề nghị hỗ trợ.</w:t>
            </w:r>
          </w:p>
        </w:tc>
      </w:tr>
      <w:tr w:rsidR="00681FA7" w14:paraId="2F8A70BD" w14:textId="77777777">
        <w:tc>
          <w:tcPr>
            <w:tcW w:w="2926" w:type="dxa"/>
            <w:shd w:val="clear" w:color="auto" w:fill="FFFFFF"/>
          </w:tcPr>
          <w:p w14:paraId="4C95A440"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Tên thành phần hồ sơ 2: Thuyết minh Dự án khởi nghiệp sáng tạo/đổi mới sáng tạo hoặc hoạt động hỗ trợ khởi nghiệp sáng tạo, đổi mới sáng tạo</w:t>
            </w:r>
          </w:p>
        </w:tc>
        <w:tc>
          <w:tcPr>
            <w:tcW w:w="6415" w:type="dxa"/>
            <w:shd w:val="clear" w:color="auto" w:fill="FFFFFF"/>
          </w:tcPr>
          <w:p w14:paraId="23CB1247"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rõ lý do quy định: Cung cấp thông tin chi tiết về dự án khởi nghiệp sáng tạo/đổi mới sáng tạo hoặc hoạt động hỗ trợ khởi nghiệp sáng tạo, đổi mới sáng tạo</w:t>
            </w:r>
          </w:p>
          <w:p w14:paraId="4088FE4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Yêu cầu về hình thức: Thuyết minh dự án khởi nghiệp sáng tạo (Mẫu số 02) hoặc Thuyết minh dự án đổi mới sáng tạo (Mẫu số 03) hoặc Thuyết minh hoạt động hỗ trợ khởi nghiệp sáng tạo, đổi mới sáng tạo (Mẫu số 04) tại Phụ lục ban hành kèm theo Quyết định </w:t>
            </w:r>
          </w:p>
          <w:p w14:paraId="628F53B0"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cung cấp đầy đủ các thông tin cần thiết để đánh giá đề nghị hỗ trợ.</w:t>
            </w:r>
          </w:p>
        </w:tc>
      </w:tr>
      <w:tr w:rsidR="00681FA7" w14:paraId="676E3016" w14:textId="77777777">
        <w:tc>
          <w:tcPr>
            <w:tcW w:w="2926" w:type="dxa"/>
            <w:shd w:val="clear" w:color="auto" w:fill="FFFFFF"/>
          </w:tcPr>
          <w:p w14:paraId="6D13C86A"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 Tên thành phần hồ sơ 3: Hợp đồng thuê tài sản giữa đơn vị được giao tài sản và tổ chức, cá nhân có đơn đề nghị hỗ trợ;</w:t>
            </w:r>
          </w:p>
        </w:tc>
        <w:tc>
          <w:tcPr>
            <w:tcW w:w="6415" w:type="dxa"/>
            <w:shd w:val="clear" w:color="auto" w:fill="FFFFFF"/>
          </w:tcPr>
          <w:p w14:paraId="2AFC8ED5"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rõ lý do quy định: Cung cấp thông tin chi tiết về hợp đồng thuê tài sản kết cấu hạ tầng khoa học và công nghệ</w:t>
            </w:r>
          </w:p>
          <w:p w14:paraId="360052D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về hình thức: Không</w:t>
            </w:r>
          </w:p>
          <w:p w14:paraId="45765380"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cung cấp đầy đủ các thông tin cần thiết để đánh giá đề nghị hỗ trợ.</w:t>
            </w:r>
          </w:p>
        </w:tc>
      </w:tr>
      <w:tr w:rsidR="00681FA7" w14:paraId="721B5D18" w14:textId="77777777">
        <w:tc>
          <w:tcPr>
            <w:tcW w:w="2926" w:type="dxa"/>
            <w:shd w:val="clear" w:color="auto" w:fill="FFFFFF"/>
          </w:tcPr>
          <w:p w14:paraId="0937ACFD"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Tên thành phần hồ sơ 4: Các tài liệu minh chứng khác</w:t>
            </w:r>
          </w:p>
        </w:tc>
        <w:tc>
          <w:tcPr>
            <w:tcW w:w="6415" w:type="dxa"/>
            <w:shd w:val="clear" w:color="auto" w:fill="FFFFFF"/>
          </w:tcPr>
          <w:p w14:paraId="37F41617"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rõ lý do quy định: Cung cấp thông tin minh chứng về hoạt động thuê tài sản, năng lực hoạt động của tổ chức, cá nhân (nếu cần theo quy định)</w:t>
            </w:r>
          </w:p>
          <w:p w14:paraId="2A00425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về hình thức: </w:t>
            </w:r>
          </w:p>
          <w:p w14:paraId="66FD5F6A"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Bản sao đề án cho thuê tài sản theo quy định của pháp luật về quản lý tài sản công: Không </w:t>
            </w:r>
          </w:p>
          <w:p w14:paraId="2142499D"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Báo cáo của đơn vị được giao tài sản về hiện trạng các tài sản kết cấu hạ tầng khoa học và công nghệ được đề nghị hỗ trợ kinh phí thuê: theo Mẫu số 05 tại Phụ lục ban hành kèm theo Quyết định;</w:t>
            </w:r>
          </w:p>
          <w:p w14:paraId="070ED94A"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 sao hóa đơn, chứng từ liên quan đến việc thuê tài sản: Không;</w:t>
            </w:r>
          </w:p>
          <w:p w14:paraId="5FB2A9C6"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Bản sao Giấy công nhận doanh nghiệp khởi nghiệp sáng tạo (nếu có): theo quy định của pháp luật; </w:t>
            </w:r>
          </w:p>
          <w:p w14:paraId="6427EC1E"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Danh sách chuyên gia và bản sao Giấy công nhận chuyên gia hỗ trợ khởi nghiệp sáng tạo (đối với tổ chức hỗ trợ khởi nghiệp sáng tạo, hỗ trợ đổi mới sáng tạo): theo quy định của pháp luật;</w:t>
            </w:r>
          </w:p>
          <w:p w14:paraId="6A9A16E8"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 sao Giấy công nhận chuyên gia hỗ trợ khởi nghiệp sáng tạo (đối với cá nhân là chuyên gia hỗ trợ khởi nghiệp sáng tạo): ): theo quy định của pháp luật</w:t>
            </w:r>
          </w:p>
          <w:p w14:paraId="346DC495"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cung cấp đầy đủ các thông tin cần thiết để đánh giá đề nghị hỗ trợ.</w:t>
            </w:r>
          </w:p>
        </w:tc>
      </w:tr>
      <w:tr w:rsidR="00681FA7" w14:paraId="4C8D1AF5" w14:textId="77777777">
        <w:tc>
          <w:tcPr>
            <w:tcW w:w="2926" w:type="dxa"/>
            <w:shd w:val="clear" w:color="auto" w:fill="FFFFFF"/>
          </w:tcPr>
          <w:p w14:paraId="1ECF612D"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Các giấy tờ, tài liệu để chứng minh việc đáp ứng yêu cầu, điều kiện </w:t>
            </w:r>
            <w:r>
              <w:rPr>
                <w:rFonts w:ascii="Times New Roman" w:eastAsia="Times New Roman" w:hAnsi="Times New Roman" w:cs="Times New Roman"/>
                <w:sz w:val="28"/>
                <w:szCs w:val="28"/>
              </w:rPr>
              <w:lastRenderedPageBreak/>
              <w:t>thực hiện thủ tục hành chính có được quy định rõ ràng, cụ thể ở thành phần hồ sơ của thủ tục hành chính không?</w:t>
            </w:r>
          </w:p>
        </w:tc>
        <w:tc>
          <w:tcPr>
            <w:tcW w:w="6415" w:type="dxa"/>
            <w:shd w:val="clear" w:color="auto" w:fill="FFFFFF"/>
          </w:tcPr>
          <w:p w14:paraId="14CFADC7"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7E4A6822"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rõ:</w:t>
            </w:r>
          </w:p>
          <w:p w14:paraId="0789CD14" w14:textId="77777777" w:rsidR="00681FA7" w:rsidRDefault="00681FA7">
            <w:pPr>
              <w:widowControl w:val="0"/>
              <w:spacing w:before="120" w:after="120"/>
              <w:ind w:right="141"/>
              <w:jc w:val="both"/>
              <w:rPr>
                <w:rFonts w:ascii="Times New Roman" w:eastAsia="Times New Roman" w:hAnsi="Times New Roman" w:cs="Times New Roman"/>
                <w:sz w:val="28"/>
                <w:szCs w:val="28"/>
              </w:rPr>
            </w:pPr>
          </w:p>
        </w:tc>
      </w:tr>
      <w:tr w:rsidR="00681FA7" w14:paraId="31EF58E5" w14:textId="77777777">
        <w:tc>
          <w:tcPr>
            <w:tcW w:w="2926" w:type="dxa"/>
            <w:shd w:val="clear" w:color="auto" w:fill="FFFFFF"/>
          </w:tcPr>
          <w:p w14:paraId="5C5006AA"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Số lượng bộ hồ sơ: 01 bộ</w:t>
            </w:r>
          </w:p>
        </w:tc>
        <w:tc>
          <w:tcPr>
            <w:tcW w:w="6415" w:type="dxa"/>
            <w:shd w:val="clear" w:color="auto" w:fill="FFFFFF"/>
          </w:tcPr>
          <w:p w14:paraId="051C838D"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Lý do </w:t>
            </w:r>
            <w:r>
              <w:rPr>
                <w:rFonts w:ascii="Times New Roman" w:eastAsia="Times New Roman" w:hAnsi="Times New Roman" w:cs="Times New Roman"/>
                <w:i/>
                <w:iCs/>
                <w:sz w:val="28"/>
                <w:szCs w:val="28"/>
              </w:rPr>
              <w:t>(nếu quy định từ 02 bộ hồ sơ trở lên):……</w:t>
            </w:r>
          </w:p>
        </w:tc>
      </w:tr>
      <w:tr w:rsidR="00681FA7" w14:paraId="07D670DD" w14:textId="77777777">
        <w:tc>
          <w:tcPr>
            <w:tcW w:w="9341" w:type="dxa"/>
            <w:gridSpan w:val="2"/>
            <w:shd w:val="clear" w:color="auto" w:fill="FFFFFF"/>
          </w:tcPr>
          <w:p w14:paraId="46320429"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 Thời hạn giải quyết</w:t>
            </w:r>
          </w:p>
        </w:tc>
      </w:tr>
      <w:tr w:rsidR="00681FA7" w14:paraId="13A238D2" w14:textId="77777777">
        <w:tc>
          <w:tcPr>
            <w:tcW w:w="2926" w:type="dxa"/>
            <w:shd w:val="clear" w:color="auto" w:fill="FFFFFF"/>
          </w:tcPr>
          <w:p w14:paraId="48B48B3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được quy định rõ ràng, cụ thể và phù hợp không?</w:t>
            </w:r>
          </w:p>
        </w:tc>
        <w:tc>
          <w:tcPr>
            <w:tcW w:w="6415" w:type="dxa"/>
            <w:shd w:val="clear" w:color="auto" w:fill="FFFFFF"/>
          </w:tcPr>
          <w:p w14:paraId="514D1737"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15808435"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rõ thời hạn giải quyết thủ tục hành chính: Việc xét duyệt hồ sơ đề nghị hỗ trợ kinh phí thuê tài sản kết cấu hạ tầng khoa học và công nghệ được thực hiện thành 02 đợt vào quý II và quý IV hàng năm. </w:t>
            </w:r>
          </w:p>
          <w:p w14:paraId="7E5C95F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Trên cơ sở Biên bản họp của Hội đồng, trong thời hạn 07 ngày làm việc, Sở Khoa học và Công nghệ ban hành Quyết định hỗ trợ kinh phí hoặc có văn bản từ chối hỗ trợ.</w:t>
            </w:r>
          </w:p>
          <w:p w14:paraId="40F1B46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Hỗ trợ được thực hiện sau khi tổ chức, cá nhân ký hợp đồng thuê tài sản, bảo đảm linh hoạt, thuận tiện và phù hợp với khả năng của cơ quan giải quyết thủ tục hành chính, đảm bảo hiệu quả của việc thực hiện TTHC</w:t>
            </w:r>
          </w:p>
        </w:tc>
      </w:tr>
      <w:tr w:rsidR="00681FA7" w14:paraId="58BDF429" w14:textId="77777777">
        <w:tc>
          <w:tcPr>
            <w:tcW w:w="2926" w:type="dxa"/>
            <w:shd w:val="clear" w:color="auto" w:fill="FFFFFF"/>
          </w:tcPr>
          <w:p w14:paraId="516A979F"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trường hợp một thủ tục hành chính do nhiều cơ quan có thẩm quyền giải quyết, đã quy định rõ ràng, đầy đủ thời hạn giải quyết của từng cơ quan và thời hạn chuyển giao hồ sơ giữa các cơ quan?</w:t>
            </w:r>
          </w:p>
        </w:tc>
        <w:tc>
          <w:tcPr>
            <w:tcW w:w="6415" w:type="dxa"/>
            <w:shd w:val="clear" w:color="auto" w:fill="FFFFFF"/>
          </w:tcPr>
          <w:p w14:paraId="0147859C"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2FDD52C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Chỉ có một cơ quan giải quyết là Sở Khoa học và Công nghệ</w:t>
            </w:r>
          </w:p>
        </w:tc>
      </w:tr>
      <w:tr w:rsidR="00681FA7" w14:paraId="3C885FC7" w14:textId="77777777">
        <w:tc>
          <w:tcPr>
            <w:tcW w:w="9341" w:type="dxa"/>
            <w:gridSpan w:val="2"/>
            <w:shd w:val="clear" w:color="auto" w:fill="FFFFFF"/>
          </w:tcPr>
          <w:p w14:paraId="0A4CBA01"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 Đối tượng thực hiện</w:t>
            </w:r>
          </w:p>
        </w:tc>
      </w:tr>
      <w:tr w:rsidR="00681FA7" w14:paraId="4BA6BFD7" w14:textId="77777777">
        <w:tc>
          <w:tcPr>
            <w:tcW w:w="2926" w:type="dxa"/>
            <w:shd w:val="clear" w:color="auto" w:fill="FFFFFF"/>
          </w:tcPr>
          <w:p w14:paraId="56CF1D99"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Đối tượng thực hiện:</w:t>
            </w:r>
          </w:p>
        </w:tc>
        <w:tc>
          <w:tcPr>
            <w:tcW w:w="6415" w:type="dxa"/>
            <w:shd w:val="clear" w:color="auto" w:fill="FFFFFF"/>
          </w:tcPr>
          <w:p w14:paraId="62AF5B49" w14:textId="77777777" w:rsidR="00681FA7" w:rsidRDefault="00000000">
            <w:pPr>
              <w:pBdr>
                <w:top w:val="nil"/>
                <w:left w:val="nil"/>
                <w:bottom w:val="nil"/>
                <w:right w:val="nil"/>
                <w:between w:val="nil"/>
              </w:pBdr>
              <w:spacing w:after="28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Tổ chức: Trong nước </w:t>
            </w:r>
            <w:r>
              <w:rPr>
                <w:rFonts w:ascii="Wingdings 2" w:eastAsia="Wingdings 2" w:hAnsi="Wingdings 2" w:cs="Wingdings 2"/>
                <w:color w:val="000000"/>
                <w:sz w:val="28"/>
                <w:szCs w:val="28"/>
              </w:rPr>
              <w:t>☒</w:t>
            </w:r>
            <w:r>
              <w:rPr>
                <w:rFonts w:ascii="Times New Roman" w:eastAsia="Times New Roman" w:hAnsi="Times New Roman" w:cs="Times New Roman"/>
                <w:color w:val="000000"/>
                <w:sz w:val="28"/>
                <w:szCs w:val="28"/>
              </w:rPr>
              <w:t xml:space="preserve">      Nước ngoài </w:t>
            </w:r>
            <w:r>
              <w:rPr>
                <w:rFonts w:ascii="Wingdings 2" w:eastAsia="Wingdings 2" w:hAnsi="Wingdings 2" w:cs="Wingdings 2"/>
                <w:color w:val="000000"/>
                <w:sz w:val="28"/>
                <w:szCs w:val="28"/>
              </w:rPr>
              <w:t>☒</w:t>
            </w:r>
            <w:r>
              <w:rPr>
                <w:rFonts w:ascii="Times New Roman" w:eastAsia="Times New Roman" w:hAnsi="Times New Roman" w:cs="Times New Roman"/>
                <w:color w:val="000000"/>
                <w:sz w:val="28"/>
                <w:szCs w:val="28"/>
              </w:rPr>
              <w:t> </w:t>
            </w:r>
          </w:p>
          <w:p w14:paraId="7C4DDE27" w14:textId="77777777" w:rsidR="00681FA7" w:rsidRDefault="00000000">
            <w:pPr>
              <w:pBdr>
                <w:top w:val="nil"/>
                <w:left w:val="nil"/>
                <w:bottom w:val="nil"/>
                <w:right w:val="nil"/>
                <w:between w:val="nil"/>
              </w:pBdr>
              <w:spacing w:after="0" w:line="360" w:lineRule="auto"/>
              <w:ind w:left="1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Mô tả rõ:</w:t>
            </w:r>
          </w:p>
          <w:p w14:paraId="525067D1" w14:textId="77777777" w:rsidR="00681FA7" w:rsidRDefault="00000000">
            <w:pPr>
              <w:pBdr>
                <w:top w:val="nil"/>
                <w:left w:val="nil"/>
                <w:bottom w:val="nil"/>
                <w:right w:val="nil"/>
                <w:between w:val="nil"/>
              </w:pBdr>
              <w:spacing w:after="0" w:line="360" w:lineRule="auto"/>
              <w:ind w:left="18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Dự thảo Quyết định:</w:t>
            </w:r>
          </w:p>
          <w:p w14:paraId="71AB9B42" w14:textId="77777777" w:rsidR="00681FA7" w:rsidRDefault="00000000">
            <w:pPr>
              <w:pBdr>
                <w:top w:val="nil"/>
                <w:left w:val="nil"/>
                <w:bottom w:val="nil"/>
                <w:right w:val="nil"/>
                <w:between w:val="nil"/>
              </w:pBdr>
              <w:spacing w:after="0" w:line="360" w:lineRule="auto"/>
              <w:ind w:left="180" w:right="11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Điều 2. Đối tượng áp dụng</w:t>
            </w:r>
          </w:p>
          <w:p w14:paraId="5F70271D"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Tổ chức, cá nhân được thuê trực tiếp tài sản kết cấu hạ tầng khoa học và công nghệ không thông qua đấu giá để hoạt động theo quy định tại Nghị quyết số  20/2025/NQ-HĐND ngày 26 tháng 10 năm 2025 của Hội đồng nhân dân thành phố quy định nội dung, mức hỗ trợ, thời gian hỗ trợ, tiêu chí và đối tượng được hỗ trợ thuê trực tiếp tài sản kết cấu hạ tầng khoa học và công nghệ không thông qua đấu giá để hoạt động (</w:t>
            </w:r>
            <w:r>
              <w:rPr>
                <w:rFonts w:ascii="Times New Roman" w:eastAsia="Times New Roman" w:hAnsi="Times New Roman" w:cs="Times New Roman"/>
                <w:i/>
                <w:iCs/>
                <w:color w:val="000000"/>
                <w:sz w:val="28"/>
                <w:szCs w:val="28"/>
              </w:rPr>
              <w:t>sau đây gọi là tổ chức, cá nhân</w:t>
            </w:r>
            <w:r>
              <w:rPr>
                <w:rFonts w:ascii="Times New Roman" w:eastAsia="Times New Roman" w:hAnsi="Times New Roman" w:cs="Times New Roman"/>
                <w:color w:val="000000"/>
                <w:sz w:val="28"/>
                <w:szCs w:val="28"/>
              </w:rPr>
              <w:t>)."</w:t>
            </w:r>
          </w:p>
          <w:p w14:paraId="6C99725A"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*Nghị quyết số 20/2025/NQ-HĐND ngày 26 tháng 10 năm 2025 của Hội đồng nhân dân thành phố Quy định nội dung, mức hỗ trợ, thời gian hỗ trợ, tiêu chí và đối tượng được hỗ trợ thuê trực tiếp tài sản kết cấu hạ tầng khoa học và công nghệ không thông qua đấu giá để hoạt động</w:t>
            </w:r>
          </w:p>
          <w:p w14:paraId="55C4D956"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"Điều 2. Đối tượng áp dụng</w:t>
            </w:r>
          </w:p>
          <w:p w14:paraId="7BD28EC8"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Tổ chức, cá nhân trong và ngoài nước thực hiện dự án khởi nghiệp sáng tạo hoặc dự án đổi mới sáng tạo trên địa bàn thành phố;</w:t>
            </w:r>
          </w:p>
          <w:p w14:paraId="57BC86FD"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Tổ chức, cá nhân trong và ngoài nước có hoạt động hỗ trợ khởi nghiệp sáng tạo, hỗ trợ đổi mới sáng tạo trên địa bàn thành phố;</w:t>
            </w:r>
          </w:p>
          <w:p w14:paraId="76938D52"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Điều 4. Đối tượng, tiêu chí được thuê trực tiếp tài sản kết cấu hạ tầng khoa học và công nghệ không thông qua đấu giá để hoạt động</w:t>
            </w:r>
          </w:p>
          <w:p w14:paraId="15A174D5"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Đối tượng được thuê trực tiếp tài sản kết cấu hạ tầng khoa học và công nghệ không thông qua đấu giá là các tổ chức, cá nhân quy định tại khoản 1, khoản 2 Điều</w:t>
            </w:r>
            <w:r>
              <w:rPr>
                <w:rFonts w:ascii="Times New Roman" w:eastAsia="Times New Roman" w:hAnsi="Times New Roman" w:cs="Times New Roman"/>
                <w:color w:val="000000"/>
                <w:sz w:val="28"/>
                <w:szCs w:val="28"/>
              </w:rPr>
              <w:br/>
              <w:t>2 Nghị quyết này và đáp ứng các tiêu chí quy định tại khoản 2, khoản 3 Điều này.</w:t>
            </w:r>
          </w:p>
          <w:p w14:paraId="6E0BD489"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56E57EB5" w14:textId="77777777" w:rsidR="00681FA7" w:rsidRDefault="00000000">
            <w:pPr>
              <w:pBdr>
                <w:top w:val="nil"/>
                <w:left w:val="nil"/>
                <w:bottom w:val="nil"/>
                <w:right w:val="nil"/>
                <w:between w:val="nil"/>
              </w:pBdr>
              <w:spacing w:before="280" w:after="280" w:line="360" w:lineRule="auto"/>
              <w:ind w:left="180"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Lý do quy định: xác định rõ đối tượng thực hiện thủ tục hành chính theo  quy định tại Nghị quyết số 20/2025/NQ-HĐND ngày 26/10/2025 của Hội đồng nhân dân thành phố Hải Phòng</w:t>
            </w:r>
          </w:p>
          <w:p w14:paraId="3D3AD82B"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 nhân: Trong nước </w:t>
            </w:r>
            <w:r>
              <w:rPr>
                <w:rFonts w:ascii="Wingdings 2" w:eastAsia="Wingdings 2" w:hAnsi="Wingdings 2" w:cs="Wingdings 2"/>
                <w:sz w:val="28"/>
                <w:szCs w:val="28"/>
              </w:rPr>
              <w:t>☒</w:t>
            </w:r>
            <w:r>
              <w:rPr>
                <w:rFonts w:ascii="Times New Roman" w:eastAsia="Times New Roman" w:hAnsi="Times New Roman" w:cs="Times New Roman"/>
                <w:sz w:val="28"/>
                <w:szCs w:val="28"/>
              </w:rPr>
              <w:t xml:space="preserve">       Nước ngoài </w:t>
            </w:r>
            <w:r>
              <w:rPr>
                <w:rFonts w:ascii="Wingdings 2" w:eastAsia="Wingdings 2" w:hAnsi="Wingdings 2" w:cs="Wingdings 2"/>
                <w:sz w:val="28"/>
                <w:szCs w:val="28"/>
              </w:rPr>
              <w:t>☒</w:t>
            </w:r>
            <w:r>
              <w:rPr>
                <w:rFonts w:ascii="Times New Roman" w:eastAsia="Times New Roman" w:hAnsi="Times New Roman" w:cs="Times New Roman"/>
                <w:sz w:val="28"/>
                <w:szCs w:val="28"/>
              </w:rPr>
              <w:t>       </w:t>
            </w:r>
          </w:p>
          <w:p w14:paraId="1583D17A" w14:textId="77777777" w:rsidR="00681FA7" w:rsidRDefault="00000000">
            <w:pPr>
              <w:pBdr>
                <w:top w:val="nil"/>
                <w:left w:val="nil"/>
                <w:bottom w:val="nil"/>
                <w:right w:val="nil"/>
                <w:between w:val="nil"/>
              </w:pBdr>
              <w:spacing w:after="0" w:line="360" w:lineRule="auto"/>
              <w:ind w:left="1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Mô tả rõ:</w:t>
            </w:r>
          </w:p>
          <w:p w14:paraId="7D07DF5A" w14:textId="77777777" w:rsidR="00681FA7" w:rsidRDefault="00000000">
            <w:pPr>
              <w:pBdr>
                <w:top w:val="nil"/>
                <w:left w:val="nil"/>
                <w:bottom w:val="nil"/>
                <w:right w:val="nil"/>
                <w:between w:val="nil"/>
              </w:pBdr>
              <w:spacing w:after="0" w:line="360" w:lineRule="auto"/>
              <w:ind w:left="180" w:right="11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Dự thảo Quyết định:</w:t>
            </w:r>
          </w:p>
          <w:p w14:paraId="32107C14" w14:textId="77777777" w:rsidR="00681FA7" w:rsidRDefault="00000000">
            <w:pPr>
              <w:pBdr>
                <w:top w:val="nil"/>
                <w:left w:val="nil"/>
                <w:bottom w:val="nil"/>
                <w:right w:val="nil"/>
                <w:between w:val="nil"/>
              </w:pBdr>
              <w:spacing w:after="0" w:line="360" w:lineRule="auto"/>
              <w:ind w:left="180" w:right="11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Điều 2. Đối tượng áp dụng</w:t>
            </w:r>
          </w:p>
          <w:p w14:paraId="3D74D2D3"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Tổ chức, cá nhân được thuê trực tiếp tài sản kết cấu hạ tầng khoa học và công nghệ không thông qua đấu giá để hoạt động theo quy định tại Nghị quyết số  20/2025/NQ-HĐND ngày 26 tháng 10 năm 2025 của Hội đồng nhân dân thành phố quy định nội dung, mức hỗ trợ, thời gian hỗ trợ, tiêu chí và đối tượng được hỗ trợ thuê trực tiếp tài sản kết cấu hạ tầng khoa học và công nghệ không thông qua đấu giá để hoạt động (</w:t>
            </w:r>
            <w:r>
              <w:rPr>
                <w:rFonts w:ascii="Times New Roman" w:eastAsia="Times New Roman" w:hAnsi="Times New Roman" w:cs="Times New Roman"/>
                <w:i/>
                <w:iCs/>
                <w:color w:val="000000"/>
                <w:sz w:val="28"/>
                <w:szCs w:val="28"/>
              </w:rPr>
              <w:t>sau đây gọi là tổ chức, cá nhân</w:t>
            </w:r>
            <w:r>
              <w:rPr>
                <w:rFonts w:ascii="Times New Roman" w:eastAsia="Times New Roman" w:hAnsi="Times New Roman" w:cs="Times New Roman"/>
                <w:color w:val="000000"/>
                <w:sz w:val="28"/>
                <w:szCs w:val="28"/>
              </w:rPr>
              <w:t>)."</w:t>
            </w:r>
          </w:p>
          <w:p w14:paraId="45C8AE09"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*Nghị quyết số 20/2025/NQ-HĐND ngày 26 tháng 10 năm 2025 của Hội đồng nhân dân thành phố Quy định nội dung, mức hỗ trợ, thời gian hỗ trợ, tiêu chí và đối tượng được hỗ trợ thuê trực tiếp tài sản kết cấu hạ tầng khoa học và công nghệ không thông qua đấu giá để hoạt động</w:t>
            </w:r>
          </w:p>
          <w:p w14:paraId="3EC970C0"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"Điều 2. Đối tượng áp dụng</w:t>
            </w:r>
          </w:p>
          <w:p w14:paraId="50F75BA7"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Tổ chức, cá nhân trong và ngoài nước thực hiện dự án khởi nghiệp sáng tạo hoặc dự án đổi mới sáng tạo trên địa bàn thành phố;</w:t>
            </w:r>
          </w:p>
          <w:p w14:paraId="3C83F0B5"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Tổ chức, cá nhân trong và ngoài nước có hoạt động hỗ trợ khởi nghiệp sáng tạo, hỗ trợ đổi mới sáng tạo trên địa bàn thành phố;</w:t>
            </w:r>
          </w:p>
          <w:p w14:paraId="2CB61DD5"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Điều 4. Đối tượng, tiêu chí được thuê trực tiếp tài sản kết cấu hạ tầng khoa học và công nghệ không thông qua đấu giá để hoạt động</w:t>
            </w:r>
          </w:p>
          <w:p w14:paraId="61A33231"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Đối tượng được thuê trực tiếp tài sản kết cấu hạ tầng khoa học và công nghệ không thông qua đấu giá là các tổ chức, cá nhân quy định tại khoản 1, khoản 2 Điều</w:t>
            </w:r>
            <w:r>
              <w:rPr>
                <w:rFonts w:ascii="Times New Roman" w:eastAsia="Times New Roman" w:hAnsi="Times New Roman" w:cs="Times New Roman"/>
                <w:color w:val="000000"/>
                <w:sz w:val="28"/>
                <w:szCs w:val="28"/>
              </w:rPr>
              <w:br/>
              <w:t>2 Nghị quyết này và đáp ứng các tiêu chí quy định tại khoản 2, khoản 3 Điều này.</w:t>
            </w:r>
          </w:p>
          <w:p w14:paraId="4CC97C62" w14:textId="77777777" w:rsidR="00681FA7" w:rsidRDefault="00000000">
            <w:pPr>
              <w:pBdr>
                <w:top w:val="nil"/>
                <w:left w:val="nil"/>
                <w:bottom w:val="nil"/>
                <w:right w:val="nil"/>
                <w:between w:val="nil"/>
              </w:pBdr>
              <w:spacing w:after="0" w:line="360" w:lineRule="auto"/>
              <w:ind w:left="180" w:right="1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68B59BB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thể mở rộng/ thu hẹp đối tượng thực hiện không?:</w:t>
            </w:r>
          </w:p>
          <w:p w14:paraId="1A2456DD"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     Không </w:t>
            </w:r>
            <w:r>
              <w:rPr>
                <w:rFonts w:ascii="Wingdings 2" w:eastAsia="Wingdings 2" w:hAnsi="Wingdings 2" w:cs="Wingdings 2"/>
                <w:sz w:val="28"/>
                <w:szCs w:val="28"/>
              </w:rPr>
              <w:t>☒</w:t>
            </w:r>
          </w:p>
          <w:p w14:paraId="7F250E69"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rõ lý do: đối tượng thực hiện chính sách đã được quy định cụ thể trong Nghị quyết số 20/2025/NQ-</w:t>
            </w:r>
            <w:r>
              <w:rPr>
                <w:rFonts w:ascii="Times New Roman" w:eastAsia="Times New Roman" w:hAnsi="Times New Roman" w:cs="Times New Roman"/>
                <w:sz w:val="28"/>
                <w:szCs w:val="28"/>
              </w:rPr>
              <w:lastRenderedPageBreak/>
              <w:t>HĐND ngày 26/10/2025 của Hội đồng nhân dân thành phố Hải Phòng</w:t>
            </w:r>
          </w:p>
        </w:tc>
      </w:tr>
      <w:tr w:rsidR="00681FA7" w14:paraId="7269922A" w14:textId="77777777">
        <w:tc>
          <w:tcPr>
            <w:tcW w:w="2926" w:type="dxa"/>
            <w:shd w:val="clear" w:color="auto" w:fill="FFFFFF"/>
          </w:tcPr>
          <w:p w14:paraId="571A71F2"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Phạm vi áp dụng:</w:t>
            </w:r>
          </w:p>
          <w:p w14:paraId="2C923EC3"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415" w:type="dxa"/>
            <w:shd w:val="clear" w:color="auto" w:fill="FFFFFF"/>
          </w:tcPr>
          <w:p w14:paraId="017E7D42"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Toàn quốc □   Vùng □     Địa phương </w:t>
            </w:r>
            <w:r>
              <w:rPr>
                <w:rFonts w:ascii="Wingdings 2" w:eastAsia="Wingdings 2" w:hAnsi="Wingdings 2" w:cs="Wingdings 2"/>
                <w:sz w:val="28"/>
                <w:szCs w:val="28"/>
              </w:rPr>
              <w:t>☒</w:t>
            </w:r>
            <w:r>
              <w:rPr>
                <w:rFonts w:ascii="Times New Roman" w:eastAsia="Times New Roman" w:hAnsi="Times New Roman" w:cs="Times New Roman"/>
                <w:sz w:val="28"/>
                <w:szCs w:val="28"/>
              </w:rPr>
              <w:t>  </w:t>
            </w:r>
          </w:p>
          <w:p w14:paraId="6C980C37"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Nông thôn □    Đô thị □     Miền núi □</w:t>
            </w:r>
          </w:p>
          <w:p w14:paraId="20197F83"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Biên giới, hải đảo □</w:t>
            </w:r>
          </w:p>
          <w:p w14:paraId="0D3D8867"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Lý do quy định: chính sách quy định thử nghiệm có kiểm soát trên địa bàn thành phố Hải Phòng. </w:t>
            </w:r>
          </w:p>
          <w:p w14:paraId="0CA699A8"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Có thể mở rộng/ thu hẹp phạm vi áp dụng không?:</w:t>
            </w:r>
          </w:p>
          <w:p w14:paraId="6E618B62"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     Không </w:t>
            </w:r>
            <w:r>
              <w:rPr>
                <w:rFonts w:ascii="Wingdings 2" w:eastAsia="Wingdings 2" w:hAnsi="Wingdings 2" w:cs="Wingdings 2"/>
                <w:sz w:val="28"/>
                <w:szCs w:val="28"/>
              </w:rPr>
              <w:t>☒</w:t>
            </w:r>
          </w:p>
          <w:p w14:paraId="2F2D2823"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rõ lý do: theo quy định tại Nghị quyết số 226/2025/QH15, chính sách hỗ trợ thuê tài sản kết cấu hạ tầng khoa học và công nghệ không thông qua đấu giá để hoạt động</w:t>
            </w:r>
          </w:p>
        </w:tc>
      </w:tr>
      <w:tr w:rsidR="00681FA7" w14:paraId="016F0783" w14:textId="77777777">
        <w:tc>
          <w:tcPr>
            <w:tcW w:w="9341" w:type="dxa"/>
            <w:gridSpan w:val="2"/>
            <w:shd w:val="clear" w:color="auto" w:fill="FFFFFF"/>
          </w:tcPr>
          <w:p w14:paraId="57195216"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 Cơ quan giải quyết</w:t>
            </w:r>
          </w:p>
        </w:tc>
      </w:tr>
      <w:tr w:rsidR="00681FA7" w14:paraId="7BC7E357" w14:textId="77777777">
        <w:tc>
          <w:tcPr>
            <w:tcW w:w="2926" w:type="dxa"/>
            <w:shd w:val="clear" w:color="auto" w:fill="FFFFFF"/>
          </w:tcPr>
          <w:p w14:paraId="1B7FE730"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được quy định rõ ràng, cụ thể về cơ quan giải quyết thủ tục hành chính không?</w:t>
            </w:r>
          </w:p>
        </w:tc>
        <w:tc>
          <w:tcPr>
            <w:tcW w:w="6415" w:type="dxa"/>
            <w:shd w:val="clear" w:color="auto" w:fill="FFFFFF"/>
          </w:tcPr>
          <w:p w14:paraId="14D4D191"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43785E56"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Lý do quy định: Phân công rõ trách nhiệm Sở Khoa học và Công nghệ trong xử lý hồ sơ đề nghị</w:t>
            </w:r>
          </w:p>
        </w:tc>
      </w:tr>
      <w:tr w:rsidR="00681FA7" w14:paraId="58DB3FE2" w14:textId="77777777">
        <w:tc>
          <w:tcPr>
            <w:tcW w:w="2926" w:type="dxa"/>
            <w:shd w:val="clear" w:color="auto" w:fill="FFFFFF"/>
          </w:tcPr>
          <w:p w14:paraId="3E697DE3"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Có thể mở rộng ủy quyền hoặc phân cấp thực hiện không ?</w:t>
            </w:r>
          </w:p>
        </w:tc>
        <w:tc>
          <w:tcPr>
            <w:tcW w:w="6415" w:type="dxa"/>
            <w:shd w:val="clear" w:color="auto" w:fill="FFFFFF"/>
          </w:tcPr>
          <w:p w14:paraId="700F3BEA"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     Không </w:t>
            </w:r>
            <w:r>
              <w:rPr>
                <w:rFonts w:ascii="Wingdings 2" w:eastAsia="Wingdings 2" w:hAnsi="Wingdings 2" w:cs="Wingdings 2"/>
                <w:sz w:val="28"/>
                <w:szCs w:val="28"/>
              </w:rPr>
              <w:t>☒</w:t>
            </w:r>
          </w:p>
          <w:p w14:paraId="137A60A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rõ lý do: Vì Sở Khoa học và Công nghệ là cơ quan tham mưu, giúp UBND thành phố quản lý nhà nước về khoa học và công nghệ. Do đó, việc quy định Sở Khoa học và Công nghệ là cơ quan đầu mối tiếp nhận hồ sơ, theo dõi tình trạng và trả kết quả giải quyết thủ tục hành chính là phù hợp.</w:t>
            </w:r>
          </w:p>
        </w:tc>
      </w:tr>
      <w:tr w:rsidR="00681FA7" w14:paraId="104ADB13" w14:textId="77777777">
        <w:tc>
          <w:tcPr>
            <w:tcW w:w="9341" w:type="dxa"/>
            <w:gridSpan w:val="2"/>
            <w:shd w:val="clear" w:color="auto" w:fill="FFFFFF"/>
          </w:tcPr>
          <w:p w14:paraId="6E2EB10B"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 Phí, lệ phí và các chi phí khác (nếu có)</w:t>
            </w:r>
          </w:p>
        </w:tc>
      </w:tr>
      <w:tr w:rsidR="00681FA7" w14:paraId="15CE75F5" w14:textId="77777777">
        <w:tc>
          <w:tcPr>
            <w:tcW w:w="2926" w:type="dxa"/>
            <w:shd w:val="clear" w:color="auto" w:fill="FFFFFF"/>
          </w:tcPr>
          <w:p w14:paraId="22C326E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quy định về phí, lệ phí và các chi phí khác (nếu có) không?</w:t>
            </w:r>
          </w:p>
        </w:tc>
        <w:tc>
          <w:tcPr>
            <w:tcW w:w="6415" w:type="dxa"/>
            <w:shd w:val="clear" w:color="auto" w:fill="FFFFFF"/>
          </w:tcPr>
          <w:p w14:paraId="33B8D5FF"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Lệ phí: Không </w:t>
            </w:r>
            <w:r>
              <w:rPr>
                <w:rFonts w:ascii="Wingdings 2" w:eastAsia="Wingdings 2" w:hAnsi="Wingdings 2" w:cs="Wingdings 2"/>
                <w:sz w:val="28"/>
                <w:szCs w:val="28"/>
              </w:rPr>
              <w:t>☒</w:t>
            </w:r>
            <w:r>
              <w:rPr>
                <w:rFonts w:ascii="Times New Roman" w:eastAsia="Times New Roman" w:hAnsi="Times New Roman" w:cs="Times New Roman"/>
                <w:sz w:val="28"/>
                <w:szCs w:val="28"/>
              </w:rPr>
              <w:t>      Có □</w:t>
            </w:r>
          </w:p>
          <w:p w14:paraId="54F65C32"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Nếu có, nêu rõ lý do: ……………………</w:t>
            </w:r>
          </w:p>
          <w:p w14:paraId="0A3BCBB9"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Phí: Không </w:t>
            </w:r>
            <w:r>
              <w:rPr>
                <w:rFonts w:ascii="Wingdings 2" w:eastAsia="Wingdings 2" w:hAnsi="Wingdings 2" w:cs="Wingdings 2"/>
                <w:sz w:val="28"/>
                <w:szCs w:val="28"/>
              </w:rPr>
              <w:t>☒</w:t>
            </w:r>
            <w:r>
              <w:rPr>
                <w:rFonts w:ascii="Times New Roman" w:eastAsia="Times New Roman" w:hAnsi="Times New Roman" w:cs="Times New Roman"/>
                <w:sz w:val="28"/>
                <w:szCs w:val="28"/>
              </w:rPr>
              <w:t>      Có □</w:t>
            </w:r>
          </w:p>
          <w:p w14:paraId="33033EB7"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Nếu Có nêu rõ lý do:…………………………………….</w:t>
            </w:r>
          </w:p>
          <w:p w14:paraId="1E89C966"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Chi phí khác: Không □      Có </w:t>
            </w:r>
            <w:r>
              <w:rPr>
                <w:rFonts w:ascii="Wingdings 2" w:eastAsia="Wingdings 2" w:hAnsi="Wingdings 2" w:cs="Wingdings 2"/>
                <w:sz w:val="28"/>
                <w:szCs w:val="28"/>
              </w:rPr>
              <w:t>☒</w:t>
            </w:r>
          </w:p>
          <w:p w14:paraId="27001C82"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Nếu Có, nêu rõ lý do: Chi phí chi cho Hội đồng thẩm định hồ sơ đề nghị hỗ trợ</w:t>
            </w:r>
          </w:p>
          <w:p w14:paraId="4A526185"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Nêu rõ mức phí, lệ phí hoặc chi phí khác (</w:t>
            </w:r>
            <w:r>
              <w:rPr>
                <w:rFonts w:ascii="Times New Roman" w:eastAsia="Times New Roman" w:hAnsi="Times New Roman" w:cs="Times New Roman"/>
                <w:i/>
                <w:iCs/>
                <w:sz w:val="28"/>
                <w:szCs w:val="28"/>
              </w:rPr>
              <w:t>nếu được quy định tại dự án, dự thảo</w:t>
            </w:r>
            <w:r>
              <w:rPr>
                <w:rFonts w:ascii="Times New Roman" w:eastAsia="Times New Roman" w:hAnsi="Times New Roman" w:cs="Times New Roman"/>
                <w:sz w:val="28"/>
                <w:szCs w:val="28"/>
              </w:rPr>
              <w:t>):</w:t>
            </w:r>
          </w:p>
          <w:p w14:paraId="5574114B"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Mức phí (hoặc đính kèm biểu phí): ………………</w:t>
            </w:r>
          </w:p>
          <w:p w14:paraId="60C84C40"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Mức lệ phí (hoặc đính kèm biểu lệ phí): …………</w:t>
            </w:r>
          </w:p>
          <w:p w14:paraId="7F222390"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Mức chi phí khác: Kinh phí chi cho Hội đồng được được ngân sách thành phố bảo đảm. Mức chi được thực hiện theo quy định đối với mức chi thù lao tham gia các Hội đồng tư vấn khoa học công nghệ cấp thành phố quy định tại tiểu mục 1.a, khoản 3 Điều 2  Nghị quyết số 03/2025/NQ-HĐND ngày 21 tháng 02 năm 2025 của Hội đồng nhân dân thành phố Hải Phòng quy định nội dung và mức chi thực hiện nhiệm vụ khoa học và công nghệ sử dụng ngân sách thành phố Hải Phòng.</w:t>
            </w:r>
          </w:p>
          <w:p w14:paraId="5BBB563A"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Mức phí, lệ phí và các chi phí khác (nếu có) có phù hợp không: 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3CE7E648"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tạo cơ chế cần thiết cho hoạt động của hội đồng, bảo đảm phù hợp với các quy định pháp luật hiện hành</w:t>
            </w:r>
          </w:p>
          <w:p w14:paraId="277A319F"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Nếu mức phí, lệ phí hoặc chi phí khác (nếu có) chưa được quy định tại dự án, dự thảo thì nêu rõ lý do: ......</w:t>
            </w:r>
          </w:p>
        </w:tc>
      </w:tr>
      <w:tr w:rsidR="00681FA7" w14:paraId="15745961" w14:textId="77777777">
        <w:tc>
          <w:tcPr>
            <w:tcW w:w="2926" w:type="dxa"/>
            <w:shd w:val="clear" w:color="auto" w:fill="FFFFFF"/>
          </w:tcPr>
          <w:p w14:paraId="2C8FFFA3"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Quy định về cách thức, thời điểm nộp phí, lệ phí và các chi phí khác (nếu có) có hợp lý không?</w:t>
            </w:r>
          </w:p>
        </w:tc>
        <w:tc>
          <w:tcPr>
            <w:tcW w:w="6415" w:type="dxa"/>
            <w:shd w:val="clear" w:color="auto" w:fill="FFFFFF"/>
          </w:tcPr>
          <w:p w14:paraId="2B4EDC92"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xml:space="preserve">     Không </w:t>
            </w:r>
          </w:p>
          <w:p w14:paraId="0B70840A"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quy định: Kinh phí chi cho Hội đồng được được ngân sách thành phố bảo đảm</w:t>
            </w:r>
          </w:p>
          <w:p w14:paraId="7686338B"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Ngân sách thành phố bảo đảm kinh phí phục vụ công tác quản lý nhà nước</w:t>
            </w:r>
          </w:p>
        </w:tc>
      </w:tr>
      <w:tr w:rsidR="00681FA7" w14:paraId="24E9E0CF" w14:textId="77777777">
        <w:tc>
          <w:tcPr>
            <w:tcW w:w="9341" w:type="dxa"/>
            <w:gridSpan w:val="2"/>
            <w:shd w:val="clear" w:color="auto" w:fill="FFFFFF"/>
          </w:tcPr>
          <w:p w14:paraId="2B9597B6"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 Mẫu đơn, tờ khai</w:t>
            </w:r>
          </w:p>
        </w:tc>
      </w:tr>
      <w:tr w:rsidR="00681FA7" w14:paraId="7261FF78" w14:textId="77777777">
        <w:tc>
          <w:tcPr>
            <w:tcW w:w="2926" w:type="dxa"/>
            <w:shd w:val="clear" w:color="auto" w:fill="FFFFFF"/>
          </w:tcPr>
          <w:p w14:paraId="3B6227D0"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Có quy định về mẫu đơn, tờ khai không?</w:t>
            </w:r>
          </w:p>
          <w:p w14:paraId="3F9E1C65"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415" w:type="dxa"/>
            <w:shd w:val="clear" w:color="auto" w:fill="FFFFFF"/>
          </w:tcPr>
          <w:p w14:paraId="2FB4339F"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2F2D27F0"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Cung cấp các thông tin chung, nội dung đề nghị hỗ trợ của tổ chức, cá nhân</w:t>
            </w:r>
          </w:p>
        </w:tc>
      </w:tr>
      <w:tr w:rsidR="00681FA7" w14:paraId="353C4D0E" w14:textId="77777777">
        <w:tc>
          <w:tcPr>
            <w:tcW w:w="2926" w:type="dxa"/>
            <w:shd w:val="clear" w:color="auto" w:fill="FFFFFF"/>
          </w:tcPr>
          <w:p w14:paraId="3492A44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Tên mẫu đơn, tờ khai 1: Đơn đề nghị </w:t>
            </w:r>
          </w:p>
          <w:p w14:paraId="78B4A056"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415" w:type="dxa"/>
            <w:shd w:val="clear" w:color="auto" w:fill="FFFFFF"/>
          </w:tcPr>
          <w:p w14:paraId="44780910"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rõ những nội dung (nhóm) thông tin cần cung cấp trong mẫu đơn, tờ khai:</w:t>
            </w:r>
          </w:p>
          <w:p w14:paraId="4C009489"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thông tin 1: Thông tin chung về tổ chức/cá nhân đề nghị (Tên tổ chức, địa chỉ, điện thoại, email, thông tin người đại diện theo pháp luật, mã số doanh nghiệp hoặc căn cước công dân/hộ chiếu)</w:t>
            </w:r>
          </w:p>
          <w:p w14:paraId="4D4F30EC"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cung cấp các thông tin cơ bản về đối tượng đề nghị hỗ trợ</w:t>
            </w:r>
          </w:p>
          <w:p w14:paraId="7214AFD0"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thông tin 2: thông tin về nội dung đề nghị hỗ trợ (tên dự án/hoạt động, tên tài sản, mức đề nghị hỗ trợ, thời gian đề nghị hỗ trợ)</w:t>
            </w:r>
          </w:p>
          <w:p w14:paraId="1EA9B5DA"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cung cấp thông tin cơ bản về nội dung đề nghị hỗ trợ</w:t>
            </w:r>
          </w:p>
          <w:p w14:paraId="6FB22643"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thông tin 3: Các tài liệu kèm theo</w:t>
            </w:r>
          </w:p>
          <w:p w14:paraId="2072CFC7"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liệt kê các tài liệu kèm theo Đơn đề nghị làm cơ sở để xem xét, thẩm định.</w:t>
            </w:r>
          </w:p>
          <w:p w14:paraId="6F99CD72"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thông tin 4: Cam kết của tổ chức, cá nhân</w:t>
            </w:r>
          </w:p>
          <w:p w14:paraId="7A6B8B8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Lý do quy định: các cam kết về trách nhiệm của tổ chức, cá nhân khi đề nghị hỗ trợ </w:t>
            </w:r>
          </w:p>
          <w:p w14:paraId="0AD53A87"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Có quy định việc xác nhận tại đơn, tờ khai không? </w:t>
            </w:r>
          </w:p>
          <w:p w14:paraId="3132F73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0B435007"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Có, nêu rõ nội dung xác nhận, người/cơ quan có thẩm quyền xác nhận: Người đại diện theo pháp luật ký xác nhận và đóng dấu</w:t>
            </w:r>
          </w:p>
          <w:p w14:paraId="3061DBDC"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Lý do quy định: xác nhận và chịu trách nhiệm đối với thông tin khai tại đơn. </w:t>
            </w:r>
          </w:p>
        </w:tc>
      </w:tr>
      <w:tr w:rsidR="00681FA7" w14:paraId="5DB7A612" w14:textId="77777777">
        <w:tc>
          <w:tcPr>
            <w:tcW w:w="2926" w:type="dxa"/>
            <w:shd w:val="clear" w:color="auto" w:fill="FFFFFF"/>
          </w:tcPr>
          <w:p w14:paraId="6564EC86"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Mẫu đơn, tờ khai 2: Thuyết minh Dự án </w:t>
            </w:r>
            <w:r>
              <w:rPr>
                <w:rFonts w:ascii="Times New Roman" w:eastAsia="Times New Roman" w:hAnsi="Times New Roman" w:cs="Times New Roman"/>
                <w:sz w:val="28"/>
                <w:szCs w:val="28"/>
              </w:rPr>
              <w:lastRenderedPageBreak/>
              <w:t xml:space="preserve">khởi nghiệp sáng tạo/đổi mới sáng tạo hoặc hoạt động hỗ trợ khởi nghiệp sáng tạo, đổi mới sáng tạo </w:t>
            </w:r>
          </w:p>
        </w:tc>
        <w:tc>
          <w:tcPr>
            <w:tcW w:w="6415" w:type="dxa"/>
            <w:shd w:val="clear" w:color="auto" w:fill="FFFFFF"/>
          </w:tcPr>
          <w:p w14:paraId="6BD2B3BC"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Nêu rõ những nội dung (nhóm) thông tin cần cung cấp trong mẫu đơn, tờ khai:</w:t>
            </w:r>
          </w:p>
          <w:p w14:paraId="0D461216"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Nội dung thông tin 1: Thông tin chung</w:t>
            </w:r>
          </w:p>
          <w:p w14:paraId="543080ED"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Lý do quy định: cung cấp các thông tin cơ bản về đối tượng đề nghị </w:t>
            </w:r>
          </w:p>
          <w:p w14:paraId="63CEE102"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thông tin 2: Mô tả về dự án/hoạt động của tổ chức/cá nhân</w:t>
            </w:r>
          </w:p>
          <w:p w14:paraId="129AEC8F"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cung cấp các thông tin về dự án, năng lực, kế hoạch thực hiện của tổ chức/cá nhân</w:t>
            </w:r>
          </w:p>
          <w:p w14:paraId="5C71F3D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thông tin 3: Mô tả thông tin về nhu cầu sử dụng hạ tầng</w:t>
            </w:r>
          </w:p>
          <w:p w14:paraId="1AA3E99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cung cấp các thông tin để đối chiếu nhu cầu sử dụng hạ tầng với phạm vi, quy mô, tính chất dự án/ hoạt đồng và đề nghị hỗ trợ của tổ chức cá nhân</w:t>
            </w:r>
          </w:p>
          <w:p w14:paraId="1D458DC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Có quy định việc xác nhận tại đơn, tờ khai không? </w:t>
            </w:r>
          </w:p>
          <w:p w14:paraId="105C635C"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435C7B04"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Có, nêu rõ nội dung xác nhận, người/cơ quan có thẩm quyền xác nhận: Người đại diện theo pháp luật ký xác nhận và đóng dấu</w:t>
            </w:r>
          </w:p>
          <w:p w14:paraId="4DE823F1"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xác nhận và chịu trách nhiệm đối với thông tin khai tại thuyết minh.</w:t>
            </w:r>
          </w:p>
        </w:tc>
      </w:tr>
      <w:tr w:rsidR="00681FA7" w14:paraId="0C1AD4F9" w14:textId="77777777">
        <w:tc>
          <w:tcPr>
            <w:tcW w:w="2926" w:type="dxa"/>
            <w:shd w:val="clear" w:color="auto" w:fill="FFFFFF"/>
          </w:tcPr>
          <w:p w14:paraId="696AF25A"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Ngôn ngữ</w:t>
            </w:r>
          </w:p>
        </w:tc>
        <w:tc>
          <w:tcPr>
            <w:tcW w:w="6415" w:type="dxa"/>
            <w:shd w:val="clear" w:color="auto" w:fill="FFFFFF"/>
          </w:tcPr>
          <w:p w14:paraId="46E06387"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Tiếng Việt </w:t>
            </w:r>
            <w:r>
              <w:rPr>
                <w:rFonts w:ascii="Wingdings 2" w:eastAsia="Wingdings 2" w:hAnsi="Wingdings 2" w:cs="Wingdings 2"/>
                <w:sz w:val="28"/>
                <w:szCs w:val="28"/>
              </w:rPr>
              <w:t>☒</w:t>
            </w:r>
            <w:r>
              <w:rPr>
                <w:rFonts w:ascii="Times New Roman" w:eastAsia="Times New Roman" w:hAnsi="Times New Roman" w:cs="Times New Roman"/>
                <w:sz w:val="28"/>
                <w:szCs w:val="28"/>
              </w:rPr>
              <w:t>     Song ngữ □     </w:t>
            </w:r>
          </w:p>
          <w:p w14:paraId="2956FD0C"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Nêu rõ loại song ngữ: …………………</w:t>
            </w:r>
          </w:p>
          <w:p w14:paraId="09368862"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(trong trường hợp mẫu đơn song ngữ): ………..</w:t>
            </w:r>
          </w:p>
        </w:tc>
      </w:tr>
      <w:tr w:rsidR="00681FA7" w14:paraId="63065D25" w14:textId="77777777">
        <w:tc>
          <w:tcPr>
            <w:tcW w:w="9341" w:type="dxa"/>
            <w:gridSpan w:val="2"/>
            <w:shd w:val="clear" w:color="auto" w:fill="FFFFFF"/>
          </w:tcPr>
          <w:p w14:paraId="7C68FEDD"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 Yêu cầu, điều kiện</w:t>
            </w:r>
          </w:p>
        </w:tc>
      </w:tr>
      <w:tr w:rsidR="00681FA7" w14:paraId="15840EC5" w14:textId="77777777">
        <w:trPr>
          <w:trHeight w:val="1204"/>
        </w:trPr>
        <w:tc>
          <w:tcPr>
            <w:tcW w:w="2926" w:type="dxa"/>
            <w:shd w:val="clear" w:color="auto" w:fill="FFFFFF"/>
          </w:tcPr>
          <w:p w14:paraId="06302DD6"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quy định yêu cầu, điều kiện không?</w:t>
            </w:r>
          </w:p>
        </w:tc>
        <w:tc>
          <w:tcPr>
            <w:tcW w:w="6415" w:type="dxa"/>
            <w:shd w:val="clear" w:color="auto" w:fill="FFFFFF"/>
          </w:tcPr>
          <w:p w14:paraId="015B129C"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1DE59010"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w:t>
            </w:r>
          </w:p>
          <w:p w14:paraId="0AD481CB"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Thủ tục hành chính áp dụng cho các tổ chức, cá nhân, doanh nghiệp </w:t>
            </w:r>
          </w:p>
        </w:tc>
      </w:tr>
      <w:tr w:rsidR="00681FA7" w14:paraId="14460A92" w14:textId="77777777">
        <w:tc>
          <w:tcPr>
            <w:tcW w:w="9341" w:type="dxa"/>
            <w:gridSpan w:val="2"/>
            <w:shd w:val="clear" w:color="auto" w:fill="FFFFFF"/>
          </w:tcPr>
          <w:p w14:paraId="06375860"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11. Kết quả thực hiện</w:t>
            </w:r>
          </w:p>
        </w:tc>
      </w:tr>
      <w:tr w:rsidR="00681FA7" w14:paraId="08F75C0A" w14:textId="77777777">
        <w:tc>
          <w:tcPr>
            <w:tcW w:w="2926" w:type="dxa"/>
            <w:shd w:val="clear" w:color="auto" w:fill="FFFFFF"/>
          </w:tcPr>
          <w:p w14:paraId="5E103AE6"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Hình thức của kết quả thực hiện thủ tục hành chính là gì ?</w:t>
            </w:r>
          </w:p>
        </w:tc>
        <w:tc>
          <w:tcPr>
            <w:tcW w:w="6415" w:type="dxa"/>
            <w:shd w:val="clear" w:color="auto" w:fill="FFFFFF"/>
          </w:tcPr>
          <w:p w14:paraId="2FB06010"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Giấy phép □</w:t>
            </w:r>
          </w:p>
          <w:p w14:paraId="1C620129"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Giấy chứng nhận □</w:t>
            </w:r>
          </w:p>
          <w:p w14:paraId="76D32FF9"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Giấy đăng ký □</w:t>
            </w:r>
          </w:p>
          <w:p w14:paraId="1EE4587F"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Chứng chỉ □</w:t>
            </w:r>
          </w:p>
          <w:p w14:paraId="3923CF7D"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Thẻ □</w:t>
            </w:r>
          </w:p>
          <w:p w14:paraId="2DDBAF99"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Quyết định hành chính </w:t>
            </w:r>
            <w:r>
              <w:rPr>
                <w:rFonts w:ascii="Wingdings 2" w:eastAsia="Wingdings 2" w:hAnsi="Wingdings 2" w:cs="Wingdings 2"/>
                <w:sz w:val="28"/>
                <w:szCs w:val="28"/>
              </w:rPr>
              <w:t>☒</w:t>
            </w:r>
          </w:p>
          <w:p w14:paraId="5FEC5B78"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Văn bản xác nhận/chấp thuận □</w:t>
            </w:r>
          </w:p>
          <w:p w14:paraId="097DF119"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Loại khác: □ Đề nghị nêu rõ: ……………………..</w:t>
            </w:r>
          </w:p>
          <w:p w14:paraId="3F971224"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Kết quả thực hiện thủ tục hành chính: </w:t>
            </w:r>
          </w:p>
          <w:p w14:paraId="219FC28D"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Bản giấy </w:t>
            </w:r>
            <w:r>
              <w:rPr>
                <w:rFonts w:ascii="Wingdings 2" w:eastAsia="Wingdings 2" w:hAnsi="Wingdings 2" w:cs="Wingdings 2"/>
                <w:sz w:val="28"/>
                <w:szCs w:val="28"/>
              </w:rPr>
              <w:t>☒</w:t>
            </w:r>
            <w:r>
              <w:rPr>
                <w:rFonts w:ascii="Times New Roman" w:eastAsia="Times New Roman" w:hAnsi="Times New Roman" w:cs="Times New Roman"/>
                <w:sz w:val="28"/>
                <w:szCs w:val="28"/>
              </w:rPr>
              <w:t>     Bản điện tử □</w:t>
            </w:r>
          </w:p>
        </w:tc>
      </w:tr>
      <w:tr w:rsidR="00681FA7" w14:paraId="069B5385" w14:textId="77777777">
        <w:tc>
          <w:tcPr>
            <w:tcW w:w="2926" w:type="dxa"/>
            <w:shd w:val="clear" w:color="auto" w:fill="FFFFFF"/>
          </w:tcPr>
          <w:p w14:paraId="1492A3AF"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Kết quả thực hiện thủ tục hành chính có được mẫu hóa phù hợp không?</w:t>
            </w:r>
          </w:p>
        </w:tc>
        <w:tc>
          <w:tcPr>
            <w:tcW w:w="6415" w:type="dxa"/>
            <w:shd w:val="clear" w:color="auto" w:fill="FFFFFF"/>
          </w:tcPr>
          <w:p w14:paraId="589E1EF4"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 </w:t>
            </w:r>
          </w:p>
          <w:p w14:paraId="45166130"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quy định: Thống nhất với nội dung và bố cục văn bản đề nghị hỗ trợ.</w:t>
            </w:r>
          </w:p>
        </w:tc>
      </w:tr>
      <w:tr w:rsidR="00681FA7" w14:paraId="175F36B4" w14:textId="77777777">
        <w:tc>
          <w:tcPr>
            <w:tcW w:w="2926" w:type="dxa"/>
            <w:shd w:val="clear" w:color="auto" w:fill="FFFFFF"/>
          </w:tcPr>
          <w:p w14:paraId="0FDFCA12"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 định về thời hạn có giá trị hiệu lực của kết quả thực hiện thủ tục hành chính có hợp lý không (nếu có)?</w:t>
            </w:r>
          </w:p>
        </w:tc>
        <w:tc>
          <w:tcPr>
            <w:tcW w:w="6415" w:type="dxa"/>
            <w:shd w:val="clear" w:color="auto" w:fill="FFFFFF"/>
          </w:tcPr>
          <w:p w14:paraId="1757C339"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Wingdings 2" w:eastAsia="Wingdings 2" w:hAnsi="Wingdings 2" w:cs="Wingdings 2"/>
                <w:sz w:val="28"/>
                <w:szCs w:val="28"/>
              </w:rPr>
              <w:t>☒</w:t>
            </w:r>
            <w:r>
              <w:rPr>
                <w:rFonts w:ascii="Times New Roman" w:eastAsia="Times New Roman" w:hAnsi="Times New Roman" w:cs="Times New Roman"/>
                <w:sz w:val="28"/>
                <w:szCs w:val="28"/>
              </w:rPr>
              <w:t>     Không □</w:t>
            </w:r>
          </w:p>
          <w:p w14:paraId="1CE91B67"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Nếu Có, nêu thời hạn cụ thể:  theo quy định thời gian hỗ trợ tại Nghị quyết số 20/2025/NQ-HĐND của Hội đồng nhân dân thành phố Hải Phòng</w:t>
            </w:r>
          </w:p>
          <w:p w14:paraId="35CD1303"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Nếu Không, nêu rõ lý do: ....</w:t>
            </w:r>
          </w:p>
        </w:tc>
      </w:tr>
      <w:tr w:rsidR="00681FA7" w14:paraId="1B2D7BE2" w14:textId="77777777">
        <w:tc>
          <w:tcPr>
            <w:tcW w:w="2926" w:type="dxa"/>
            <w:shd w:val="clear" w:color="auto" w:fill="FFFFFF"/>
          </w:tcPr>
          <w:p w14:paraId="3AC25E59"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Quy định về phạm vi có hiệu lực của kết quả thực hiện thủ tục hành chính có hợp lý không (nếu có) ?</w:t>
            </w:r>
          </w:p>
        </w:tc>
        <w:tc>
          <w:tcPr>
            <w:tcW w:w="6415" w:type="dxa"/>
            <w:shd w:val="clear" w:color="auto" w:fill="FFFFFF"/>
          </w:tcPr>
          <w:p w14:paraId="4DAA56B2"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Toàn quốc □   Địa phương </w:t>
            </w:r>
            <w:r>
              <w:rPr>
                <w:rFonts w:ascii="Wingdings 2" w:eastAsia="Wingdings 2" w:hAnsi="Wingdings 2" w:cs="Wingdings 2"/>
                <w:sz w:val="28"/>
                <w:szCs w:val="28"/>
              </w:rPr>
              <w:t>☒</w:t>
            </w:r>
          </w:p>
          <w:p w14:paraId="1ACCC6C1" w14:textId="77777777" w:rsidR="00681FA7" w:rsidRDefault="00000000">
            <w:pPr>
              <w:spacing w:before="120" w:after="120"/>
              <w:ind w:left="142"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Nghị quyết số 226/2025/QH15 ngày 27/6/2025 chỉ quy định các chính sách đặc thù áp dụng cho thành phố Hải Phòng.</w:t>
            </w:r>
          </w:p>
          <w:p w14:paraId="3CF196A8" w14:textId="77777777" w:rsidR="00681FA7" w:rsidRDefault="00681FA7">
            <w:pPr>
              <w:spacing w:before="120" w:after="120"/>
              <w:ind w:left="142" w:right="141"/>
              <w:rPr>
                <w:rFonts w:ascii="Times New Roman" w:eastAsia="Times New Roman" w:hAnsi="Times New Roman" w:cs="Times New Roman"/>
                <w:sz w:val="28"/>
                <w:szCs w:val="28"/>
              </w:rPr>
            </w:pPr>
          </w:p>
        </w:tc>
      </w:tr>
      <w:tr w:rsidR="00681FA7" w14:paraId="1409E016" w14:textId="77777777">
        <w:tc>
          <w:tcPr>
            <w:tcW w:w="9341" w:type="dxa"/>
            <w:gridSpan w:val="2"/>
            <w:shd w:val="clear" w:color="auto" w:fill="FFFFFF"/>
          </w:tcPr>
          <w:p w14:paraId="3AF64034"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IV. THÔNG TIN LIÊN HỆ</w:t>
            </w:r>
          </w:p>
        </w:tc>
      </w:tr>
      <w:tr w:rsidR="00681FA7" w14:paraId="595B1FA3" w14:textId="77777777">
        <w:tc>
          <w:tcPr>
            <w:tcW w:w="9341" w:type="dxa"/>
            <w:gridSpan w:val="2"/>
            <w:shd w:val="clear" w:color="auto" w:fill="FFFFFF"/>
          </w:tcPr>
          <w:p w14:paraId="59E6739F"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Họ và tên người điền: Trần Minh Quang</w:t>
            </w:r>
          </w:p>
          <w:p w14:paraId="78EE8D79"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Điện thoại cố định: 0225.3846475; Di động: 0947.423.169; </w:t>
            </w:r>
          </w:p>
          <w:p w14:paraId="72B65EAE" w14:textId="77777777" w:rsidR="00681FA7" w:rsidRDefault="00000000">
            <w:pPr>
              <w:spacing w:before="120" w:after="120"/>
              <w:ind w:left="142" w:right="141"/>
              <w:rPr>
                <w:rFonts w:ascii="Times New Roman" w:eastAsia="Times New Roman" w:hAnsi="Times New Roman" w:cs="Times New Roman"/>
                <w:sz w:val="28"/>
                <w:szCs w:val="28"/>
              </w:rPr>
            </w:pPr>
            <w:r>
              <w:rPr>
                <w:rFonts w:ascii="Times New Roman" w:eastAsia="Times New Roman" w:hAnsi="Times New Roman" w:cs="Times New Roman"/>
                <w:sz w:val="28"/>
                <w:szCs w:val="28"/>
              </w:rPr>
              <w:t>E-mail: tranminhquang@haiphong.gov.vn</w:t>
            </w:r>
          </w:p>
        </w:tc>
      </w:tr>
    </w:tbl>
    <w:p w14:paraId="17D995BF" w14:textId="77777777" w:rsidR="00681FA7" w:rsidRDefault="00681FA7">
      <w:pPr>
        <w:shd w:val="clear" w:color="auto" w:fill="FFFFFF"/>
        <w:spacing w:before="120" w:after="120"/>
        <w:ind w:firstLine="567"/>
        <w:rPr>
          <w:rFonts w:ascii="Times New Roman" w:eastAsia="Times New Roman" w:hAnsi="Times New Roman" w:cs="Times New Roman"/>
          <w:sz w:val="28"/>
          <w:szCs w:val="28"/>
        </w:rPr>
      </w:pPr>
    </w:p>
    <w:p w14:paraId="11527896" w14:textId="77777777" w:rsidR="00681FA7" w:rsidRDefault="00681FA7">
      <w:pPr>
        <w:spacing w:before="120" w:after="120" w:line="240" w:lineRule="auto"/>
        <w:ind w:firstLine="567"/>
        <w:jc w:val="both"/>
        <w:rPr>
          <w:rFonts w:ascii="Times New Roman" w:eastAsia="Times New Roman" w:hAnsi="Times New Roman" w:cs="Times New Roman"/>
          <w:b/>
          <w:bCs/>
          <w:sz w:val="28"/>
          <w:szCs w:val="28"/>
        </w:rPr>
      </w:pPr>
    </w:p>
    <w:p w14:paraId="23E8CED0" w14:textId="77777777" w:rsidR="00681FA7" w:rsidRDefault="00681FA7">
      <w:pPr>
        <w:shd w:val="clear" w:color="auto" w:fill="FFFFFF"/>
        <w:spacing w:before="120" w:after="120"/>
        <w:ind w:firstLine="567"/>
        <w:rPr>
          <w:rFonts w:ascii="Times New Roman" w:eastAsia="Times New Roman" w:hAnsi="Times New Roman" w:cs="Times New Roman"/>
          <w:sz w:val="28"/>
          <w:szCs w:val="28"/>
        </w:rPr>
      </w:pPr>
    </w:p>
    <w:sectPr w:rsidR="00681FA7">
      <w:pgSz w:w="12240" w:h="15840"/>
      <w:pgMar w:top="1134"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1DF10" w14:textId="77777777" w:rsidR="00AA01C8" w:rsidRDefault="00AA01C8">
      <w:pPr>
        <w:spacing w:after="0" w:line="240" w:lineRule="auto"/>
      </w:pPr>
      <w:r>
        <w:separator/>
      </w:r>
    </w:p>
  </w:endnote>
  <w:endnote w:type="continuationSeparator" w:id="0">
    <w:p w14:paraId="0214309B" w14:textId="77777777" w:rsidR="00AA01C8" w:rsidRDefault="00AA0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CF1E9CA-8F9F-4064-A6BC-3C8AA44BDC0F}"/>
    <w:embedBold r:id="rId2" w:fontKey="{F1CF465B-33FA-468F-97D1-F8B881E848FF}"/>
    <w:embedItalic r:id="rId3" w:fontKey="{73197449-E149-4B6C-AD48-1525185DD027}"/>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embedRegular r:id="rId4" w:fontKey="{2BABAF4E-671F-4279-BFE6-E8061F4A7E50}"/>
  </w:font>
  <w:font w:name="Georgia">
    <w:panose1 w:val="02040502050405020303"/>
    <w:charset w:val="00"/>
    <w:family w:val="roman"/>
    <w:pitch w:val="variable"/>
    <w:sig w:usb0="00000287" w:usb1="00000000" w:usb2="00000000" w:usb3="00000000" w:csb0="0000009F" w:csb1="00000000"/>
    <w:embedItalic r:id="rId5" w:fontKey="{D7E7E372-F6B4-49AB-9146-D9AE3AF71383}"/>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6" w:fontKey="{9B28B124-6B7E-48F2-A2DC-81870D0169E4}"/>
  </w:font>
  <w:font w:name="Calibri Light">
    <w:panose1 w:val="020F0302020204030204"/>
    <w:charset w:val="00"/>
    <w:family w:val="swiss"/>
    <w:pitch w:val="variable"/>
    <w:sig w:usb0="E4002EFF" w:usb1="C000247B" w:usb2="00000009" w:usb3="00000000" w:csb0="000001FF" w:csb1="00000000"/>
    <w:embedRegular r:id="rId7" w:fontKey="{EE61D513-9B96-45E4-96DE-403C632107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FC8F4" w14:textId="77777777" w:rsidR="00AA01C8" w:rsidRDefault="00AA01C8">
      <w:pPr>
        <w:spacing w:after="0" w:line="240" w:lineRule="auto"/>
      </w:pPr>
      <w:r>
        <w:separator/>
      </w:r>
    </w:p>
  </w:footnote>
  <w:footnote w:type="continuationSeparator" w:id="0">
    <w:p w14:paraId="1D823316" w14:textId="77777777" w:rsidR="00AA01C8" w:rsidRDefault="00AA0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0835D" w14:textId="77777777" w:rsidR="00681FA7"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EAC6079" w14:textId="77777777" w:rsidR="00681FA7" w:rsidRDefault="00681FA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B6B7" w14:textId="77777777" w:rsidR="00681FA7"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D6B29">
      <w:rPr>
        <w:noProof/>
        <w:color w:val="000000"/>
      </w:rPr>
      <w:t>2</w:t>
    </w:r>
    <w:r>
      <w:rPr>
        <w:color w:val="000000"/>
      </w:rPr>
      <w:fldChar w:fldCharType="end"/>
    </w:r>
  </w:p>
  <w:p w14:paraId="184F7E53" w14:textId="77777777" w:rsidR="00681FA7" w:rsidRDefault="00681FA7">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FA7"/>
    <w:rsid w:val="001B6DB4"/>
    <w:rsid w:val="002D6B29"/>
    <w:rsid w:val="00681FA7"/>
    <w:rsid w:val="00AA0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46AA6"/>
  <w15:docId w15:val="{FA986A97-FC49-447C-91A6-7C49D353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basedOn w:val="DefaultParagraphFont"/>
    <w:link w:val="Heading2"/>
    <w:uiPriority w:val="9"/>
    <w:rsid w:val="00EB4B92"/>
    <w:rPr>
      <w:rFonts w:ascii="Times New Roman" w:eastAsia="Times New Roman" w:hAnsi="Times New Roman" w:cs="Times New Roman"/>
      <w:b/>
      <w:sz w:val="24"/>
      <w:szCs w:val="24"/>
      <w:lang w:val="x-none" w:eastAsia="x-none"/>
    </w:rPr>
  </w:style>
  <w:style w:type="paragraph" w:styleId="NormalWeb">
    <w:name w:val="Normal (Web)"/>
    <w:basedOn w:val="Normal"/>
    <w:link w:val="NormalWebChar"/>
    <w:uiPriority w:val="99"/>
    <w:unhideWhenUsed/>
    <w:rsid w:val="00E03186"/>
    <w:pPr>
      <w:spacing w:before="100" w:beforeAutospacing="1" w:after="100" w:afterAutospacing="1" w:line="240" w:lineRule="auto"/>
    </w:pPr>
    <w:rPr>
      <w:rFonts w:ascii="Times New Roman" w:eastAsia="Times New Roman" w:hAnsi="Times New Roman"/>
      <w:sz w:val="24"/>
      <w:szCs w:val="24"/>
    </w:rPr>
  </w:style>
  <w:style w:type="character" w:customStyle="1" w:styleId="Vnbnnidung4">
    <w:name w:val="Văn bản nội dung (4)_"/>
    <w:link w:val="Vnbnnidung40"/>
    <w:uiPriority w:val="99"/>
    <w:rsid w:val="00E03186"/>
    <w:rPr>
      <w:i/>
      <w:iCs/>
      <w:sz w:val="26"/>
      <w:szCs w:val="26"/>
      <w:shd w:val="clear" w:color="auto" w:fill="FFFFFF"/>
    </w:rPr>
  </w:style>
  <w:style w:type="paragraph" w:customStyle="1" w:styleId="Vnbnnidung40">
    <w:name w:val="Văn bản nội dung (4)"/>
    <w:basedOn w:val="Normal"/>
    <w:link w:val="Vnbnnidung4"/>
    <w:uiPriority w:val="99"/>
    <w:rsid w:val="00E03186"/>
    <w:pPr>
      <w:widowControl w:val="0"/>
      <w:shd w:val="clear" w:color="auto" w:fill="FFFFFF"/>
      <w:spacing w:before="360" w:after="720" w:line="240" w:lineRule="atLeast"/>
      <w:jc w:val="both"/>
    </w:pPr>
    <w:rPr>
      <w:rFonts w:asciiTheme="minorHAnsi" w:eastAsiaTheme="minorHAnsi" w:hAnsiTheme="minorHAnsi" w:cstheme="minorBidi"/>
      <w:i/>
      <w:iCs/>
      <w:sz w:val="26"/>
      <w:szCs w:val="26"/>
    </w:rPr>
  </w:style>
  <w:style w:type="paragraph" w:styleId="ListParagraph">
    <w:name w:val="List Paragraph"/>
    <w:basedOn w:val="Normal"/>
    <w:uiPriority w:val="34"/>
    <w:qFormat/>
    <w:rsid w:val="00553F4C"/>
    <w:pPr>
      <w:ind w:left="720"/>
      <w:contextualSpacing/>
    </w:pPr>
  </w:style>
  <w:style w:type="paragraph" w:customStyle="1" w:styleId="Char">
    <w:name w:val="Char"/>
    <w:basedOn w:val="Normal"/>
    <w:autoRedefine/>
    <w:rsid w:val="001D51DB"/>
    <w:pPr>
      <w:spacing w:line="240" w:lineRule="exact"/>
    </w:pPr>
    <w:rPr>
      <w:rFonts w:ascii="Verdana" w:eastAsia="Times New Roman" w:hAnsi="Verdana" w:cs="Verdana"/>
      <w:sz w:val="20"/>
      <w:szCs w:val="20"/>
    </w:rPr>
  </w:style>
  <w:style w:type="character" w:customStyle="1" w:styleId="NormalWebChar">
    <w:name w:val="Normal (Web) Char"/>
    <w:link w:val="NormalWeb"/>
    <w:uiPriority w:val="99"/>
    <w:locked/>
    <w:rsid w:val="00D3112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97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966"/>
    <w:rPr>
      <w:rFonts w:ascii="Calibri" w:eastAsia="Calibri" w:hAnsi="Calibri" w:cs="Times New Roman"/>
    </w:rPr>
  </w:style>
  <w:style w:type="character" w:styleId="PageNumber">
    <w:name w:val="page number"/>
    <w:basedOn w:val="DefaultParagraphFont"/>
    <w:uiPriority w:val="99"/>
    <w:semiHidden/>
    <w:unhideWhenUsed/>
    <w:rsid w:val="0099796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bdmNd1dVjT1Y5ok/MggokljtMw==">CgMxLjAyDmlkLnA1MXA4bm0yNGU4Mg9pZC5ob3FxN2kzOWRtcmo4AHIhMU1ibWNsTlVlNzdlajZJcGF0RTA4dE0xTW44dFlxX2dL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4064</Words>
  <Characters>23169</Characters>
  <Application>Microsoft Office Word</Application>
  <DocSecurity>0</DocSecurity>
  <Lines>193</Lines>
  <Paragraphs>54</Paragraphs>
  <ScaleCrop>false</ScaleCrop>
  <Company/>
  <LinksUpToDate>false</LinksUpToDate>
  <CharactersWithSpaces>27179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dcterms:created xsi:type="dcterms:W3CDTF">2025-11-17T02:09:00Z</dcterms:created>
  <dcterms:modified xsi:type="dcterms:W3CDTF">2025-11-17T02:09:00Z</dcterms:modified>
</cp:coreProperties>
</file>