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DB13" w14:textId="77777777" w:rsidR="00CE28F1" w:rsidRDefault="00CE28F1" w:rsidP="00CE28F1">
      <w:pPr>
        <w:spacing w:after="0" w:line="24" w:lineRule="auto"/>
        <w:rPr>
          <w:b/>
          <w:color w:val="000000" w:themeColor="text1"/>
          <w:sz w:val="28"/>
          <w:szCs w:val="28"/>
          <w:lang w:val="pt-BR"/>
        </w:rPr>
      </w:pPr>
    </w:p>
    <w:tbl>
      <w:tblPr>
        <w:tblW w:w="10207" w:type="dxa"/>
        <w:tblInd w:w="-709" w:type="dxa"/>
        <w:tblLook w:val="01E0" w:firstRow="1" w:lastRow="1" w:firstColumn="1" w:lastColumn="1" w:noHBand="0" w:noVBand="0"/>
      </w:tblPr>
      <w:tblGrid>
        <w:gridCol w:w="4678"/>
        <w:gridCol w:w="5529"/>
      </w:tblGrid>
      <w:tr w:rsidR="00CE28F1" w:rsidRPr="004923CB" w14:paraId="1623BBAB" w14:textId="77777777" w:rsidTr="00494252">
        <w:trPr>
          <w:trHeight w:val="1270"/>
        </w:trPr>
        <w:tc>
          <w:tcPr>
            <w:tcW w:w="4678" w:type="dxa"/>
          </w:tcPr>
          <w:p w14:paraId="40195A3E" w14:textId="73BB6E31" w:rsidR="00CE28F1" w:rsidRPr="00E72815" w:rsidRDefault="00CE28F1" w:rsidP="00B35123">
            <w:pPr>
              <w:spacing w:after="0"/>
              <w:jc w:val="center"/>
              <w:rPr>
                <w:sz w:val="24"/>
                <w:szCs w:val="24"/>
              </w:rPr>
            </w:pPr>
            <w:r w:rsidRPr="00E72815">
              <w:rPr>
                <w:sz w:val="24"/>
                <w:szCs w:val="24"/>
              </w:rPr>
              <w:t xml:space="preserve">  </w:t>
            </w:r>
            <w:r w:rsidR="00494252">
              <w:rPr>
                <w:sz w:val="24"/>
                <w:szCs w:val="24"/>
              </w:rPr>
              <w:t>UBND THÀNH PHỐ HẢI PHÒNG</w:t>
            </w:r>
          </w:p>
          <w:p w14:paraId="27A7DD68" w14:textId="087687C6" w:rsidR="00CE28F1" w:rsidRPr="00494252" w:rsidRDefault="00494252" w:rsidP="00494252">
            <w:pPr>
              <w:spacing w:after="0"/>
              <w:jc w:val="center"/>
              <w:rPr>
                <w:b/>
                <w:bCs/>
                <w:spacing w:val="-4"/>
                <w:sz w:val="24"/>
                <w:szCs w:val="24"/>
              </w:rPr>
            </w:pPr>
            <w:r w:rsidRPr="00494252">
              <w:rPr>
                <w:b/>
                <w:bCs/>
                <w:sz w:val="24"/>
                <w:szCs w:val="24"/>
              </w:rPr>
              <w:t>SỞ NÔNG NGHIỆP VÀ MÔI TRƯỜNG</w:t>
            </w:r>
          </w:p>
          <w:p w14:paraId="28CBB02E" w14:textId="6287C4E2" w:rsidR="00CE28F1" w:rsidRPr="00BF2623" w:rsidRDefault="00CE28F1" w:rsidP="00BF2623">
            <w:pPr>
              <w:rPr>
                <w:rFonts w:ascii=".VnTime" w:hAnsi=".VnTime"/>
                <w:sz w:val="24"/>
                <w:szCs w:val="24"/>
              </w:rPr>
            </w:pPr>
            <w:r>
              <w:rPr>
                <w:rFonts w:ascii=".VnTime" w:hAnsi=".VnTime"/>
                <w:noProof/>
                <w:sz w:val="24"/>
                <w:szCs w:val="24"/>
              </w:rPr>
              <mc:AlternateContent>
                <mc:Choice Requires="wps">
                  <w:drawing>
                    <wp:anchor distT="0" distB="0" distL="114300" distR="114300" simplePos="0" relativeHeight="251659264" behindDoc="0" locked="0" layoutInCell="1" allowOverlap="1" wp14:anchorId="5EEDF50C" wp14:editId="2BD3E8A8">
                      <wp:simplePos x="0" y="0"/>
                      <wp:positionH relativeFrom="column">
                        <wp:posOffset>865505</wp:posOffset>
                      </wp:positionH>
                      <wp:positionV relativeFrom="paragraph">
                        <wp:posOffset>17780</wp:posOffset>
                      </wp:positionV>
                      <wp:extent cx="10801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D02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1.4pt" to="153.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"/>
                  </w:pict>
                </mc:Fallback>
              </mc:AlternateContent>
            </w:r>
          </w:p>
        </w:tc>
        <w:tc>
          <w:tcPr>
            <w:tcW w:w="5529" w:type="dxa"/>
          </w:tcPr>
          <w:p w14:paraId="2932B05A" w14:textId="77777777" w:rsidR="00CE28F1" w:rsidRPr="004923CB" w:rsidRDefault="00CE28F1" w:rsidP="00B35123">
            <w:pPr>
              <w:spacing w:after="0"/>
              <w:jc w:val="center"/>
              <w:rPr>
                <w:b/>
                <w:sz w:val="24"/>
                <w:szCs w:val="24"/>
              </w:rPr>
            </w:pPr>
            <w:r w:rsidRPr="004923CB">
              <w:rPr>
                <w:b/>
                <w:sz w:val="24"/>
                <w:szCs w:val="24"/>
              </w:rPr>
              <w:t>CỘNG HOÀ XÃ HỘI CHỦ NGHĨA VIỆT NAM</w:t>
            </w:r>
          </w:p>
          <w:p w14:paraId="18A425CB" w14:textId="77777777" w:rsidR="00CE28F1" w:rsidRPr="004923CB" w:rsidRDefault="00CE28F1" w:rsidP="00B35123">
            <w:pPr>
              <w:spacing w:after="0"/>
              <w:jc w:val="center"/>
              <w:rPr>
                <w:b/>
              </w:rPr>
            </w:pPr>
            <w:r w:rsidRPr="004923CB">
              <w:rPr>
                <w:b/>
              </w:rPr>
              <w:t>Độc lập - Tự do - Hạnh phúc</w:t>
            </w:r>
          </w:p>
          <w:p w14:paraId="6C4A9FF4" w14:textId="77777777" w:rsidR="00CE28F1" w:rsidRPr="00E72815" w:rsidRDefault="00CE28F1" w:rsidP="00B35123">
            <w:pPr>
              <w:jc w:val="center"/>
              <w:rPr>
                <w:rFonts w:ascii=".VnTime" w:hAnsi=".VnTime"/>
                <w:b/>
              </w:rPr>
            </w:pPr>
            <w:r>
              <w:rPr>
                <w:rFonts w:ascii=".VnTime" w:hAnsi=".VnTime"/>
                <w:b/>
                <w:noProof/>
              </w:rPr>
              <mc:AlternateContent>
                <mc:Choice Requires="wps">
                  <w:drawing>
                    <wp:anchor distT="0" distB="0" distL="114300" distR="114300" simplePos="0" relativeHeight="251660288" behindDoc="0" locked="0" layoutInCell="1" allowOverlap="1" wp14:anchorId="21813602" wp14:editId="1C97DF7F">
                      <wp:simplePos x="0" y="0"/>
                      <wp:positionH relativeFrom="column">
                        <wp:posOffset>735330</wp:posOffset>
                      </wp:positionH>
                      <wp:positionV relativeFrom="paragraph">
                        <wp:posOffset>13970</wp:posOffset>
                      </wp:positionV>
                      <wp:extent cx="18954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AC7E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1pt" to="207.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kVsAEAAEgDAAAOAAAAZHJzL2Uyb0RvYy54bWysU8Fu2zAMvQ/YPwi6L06CZW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"/>
                  </w:pict>
                </mc:Fallback>
              </mc:AlternateContent>
            </w:r>
          </w:p>
          <w:p w14:paraId="05E75139" w14:textId="0D64E46B" w:rsidR="00CE28F1" w:rsidRPr="004923CB" w:rsidRDefault="00CE28F1" w:rsidP="00B35123">
            <w:pPr>
              <w:rPr>
                <w:i/>
              </w:rPr>
            </w:pPr>
            <w:r w:rsidRPr="004923CB">
              <w:rPr>
                <w:rFonts w:ascii=".VnTime" w:hAnsi=".VnTime"/>
                <w:i/>
              </w:rPr>
              <w:t xml:space="preserve">          </w:t>
            </w:r>
            <w:r w:rsidRPr="004923CB">
              <w:rPr>
                <w:i/>
              </w:rPr>
              <w:t xml:space="preserve">Hải </w:t>
            </w:r>
            <w:proofErr w:type="gramStart"/>
            <w:r w:rsidRPr="004923CB">
              <w:rPr>
                <w:i/>
              </w:rPr>
              <w:t>Phòng,  ngày</w:t>
            </w:r>
            <w:proofErr w:type="gramEnd"/>
            <w:r w:rsidRPr="004923CB">
              <w:rPr>
                <w:i/>
              </w:rPr>
              <w:t xml:space="preserve">   </w:t>
            </w:r>
            <w:r>
              <w:rPr>
                <w:i/>
              </w:rPr>
              <w:t xml:space="preserve">  </w:t>
            </w:r>
            <w:r w:rsidRPr="004923CB">
              <w:rPr>
                <w:i/>
              </w:rPr>
              <w:t xml:space="preserve"> tháng</w:t>
            </w:r>
            <w:r>
              <w:rPr>
                <w:i/>
              </w:rPr>
              <w:t xml:space="preserve"> </w:t>
            </w:r>
            <w:r w:rsidRPr="004923CB">
              <w:rPr>
                <w:i/>
              </w:rPr>
              <w:t xml:space="preserve">     năm 20</w:t>
            </w:r>
            <w:r>
              <w:rPr>
                <w:i/>
              </w:rPr>
              <w:t>2</w:t>
            </w:r>
            <w:r w:rsidR="00AF668F">
              <w:rPr>
                <w:i/>
              </w:rPr>
              <w:t>5</w:t>
            </w:r>
          </w:p>
        </w:tc>
      </w:tr>
    </w:tbl>
    <w:p w14:paraId="29DF7CEC" w14:textId="4525FDE4" w:rsidR="00BF2623" w:rsidRDefault="00BF2623" w:rsidP="00BF2623">
      <w:pPr>
        <w:spacing w:before="240" w:line="276" w:lineRule="auto"/>
        <w:jc w:val="center"/>
        <w:rPr>
          <w:b/>
          <w:bCs/>
          <w:color w:val="000000" w:themeColor="text1"/>
          <w:spacing w:val="0"/>
          <w:sz w:val="28"/>
          <w:szCs w:val="28"/>
          <w:lang w:val="pt-BR"/>
        </w:rPr>
      </w:pPr>
      <w:r w:rsidRPr="00BF2623">
        <w:rPr>
          <w:b/>
          <w:bCs/>
          <w:color w:val="000000" w:themeColor="text1"/>
          <w:spacing w:val="0"/>
          <w:sz w:val="28"/>
          <w:szCs w:val="28"/>
          <w:lang w:val="pt-BR"/>
        </w:rPr>
        <w:t>BÁO CÁO ĐÁNH GIÁ TÁC ĐỘNG</w:t>
      </w:r>
    </w:p>
    <w:p w14:paraId="50AE2152" w14:textId="77777777" w:rsidR="00BF2623" w:rsidRDefault="00BF2623" w:rsidP="00BF2623">
      <w:pPr>
        <w:jc w:val="center"/>
        <w:rPr>
          <w:b/>
          <w:sz w:val="28"/>
          <w:lang w:val="nl-NL"/>
        </w:rPr>
      </w:pPr>
      <w:r>
        <w:rPr>
          <w:b/>
          <w:sz w:val="28"/>
          <w:szCs w:val="28"/>
          <w:lang w:val="nl-NL"/>
        </w:rPr>
        <w:t xml:space="preserve">Nội dung dự thảo Nghị quyết Quy định </w:t>
      </w:r>
      <w:r>
        <w:rPr>
          <w:b/>
          <w:sz w:val="28"/>
          <w:lang w:val="nl-NL"/>
        </w:rPr>
        <w:t>mức thu, chế độ thu, nộp,</w:t>
      </w:r>
    </w:p>
    <w:p w14:paraId="13850E23" w14:textId="36D517E8" w:rsidR="00BF2623" w:rsidRDefault="00BF2623" w:rsidP="00BF2623">
      <w:pPr>
        <w:jc w:val="center"/>
        <w:rPr>
          <w:b/>
          <w:sz w:val="28"/>
          <w:lang w:val="nl-NL"/>
        </w:rPr>
      </w:pPr>
      <w:r>
        <w:rPr>
          <w:b/>
          <w:sz w:val="28"/>
          <w:lang w:val="nl-NL"/>
        </w:rPr>
        <w:t xml:space="preserve">quản lý và sử dụng các loại phí, </w:t>
      </w:r>
      <w:r w:rsidRPr="004A415F">
        <w:rPr>
          <w:b/>
          <w:sz w:val="28"/>
          <w:lang w:val="nl-NL"/>
        </w:rPr>
        <w:t xml:space="preserve">lệ phí </w:t>
      </w:r>
      <w:r>
        <w:rPr>
          <w:b/>
          <w:sz w:val="28"/>
          <w:lang w:val="nl-NL"/>
        </w:rPr>
        <w:t>trong lĩnh vực đất đai</w:t>
      </w:r>
    </w:p>
    <w:p w14:paraId="40E42034" w14:textId="367722F6" w:rsidR="00BF2623" w:rsidRDefault="00BF2623" w:rsidP="00BF2623">
      <w:pPr>
        <w:jc w:val="center"/>
        <w:rPr>
          <w:b/>
          <w:sz w:val="28"/>
          <w:lang w:val="nl-NL"/>
        </w:rPr>
      </w:pPr>
      <w:r w:rsidRPr="004A415F">
        <w:rPr>
          <w:b/>
          <w:sz w:val="28"/>
          <w:lang w:val="nl-NL"/>
        </w:rPr>
        <w:t>trên địa bàn thành phố Hải Phòng</w:t>
      </w:r>
    </w:p>
    <w:p w14:paraId="076F27AF" w14:textId="3D33933B" w:rsidR="00BF2623" w:rsidRPr="00BF2623" w:rsidRDefault="00BF2623" w:rsidP="00BF2623">
      <w:pPr>
        <w:jc w:val="center"/>
        <w:rPr>
          <w:bCs/>
          <w:i/>
          <w:sz w:val="28"/>
          <w:szCs w:val="28"/>
        </w:rPr>
      </w:pPr>
      <w:r>
        <w:rPr>
          <w:b/>
          <w:bCs/>
          <w:noProof/>
          <w:color w:val="000000" w:themeColor="text1"/>
          <w:spacing w:val="0"/>
          <w:sz w:val="28"/>
          <w:szCs w:val="28"/>
          <w:lang w:val="pt-BR"/>
        </w:rPr>
        <mc:AlternateContent>
          <mc:Choice Requires="wps">
            <w:drawing>
              <wp:anchor distT="0" distB="0" distL="114300" distR="114300" simplePos="0" relativeHeight="251661312" behindDoc="0" locked="0" layoutInCell="1" allowOverlap="1" wp14:anchorId="7ACB810B" wp14:editId="561ABCAF">
                <wp:simplePos x="0" y="0"/>
                <wp:positionH relativeFrom="column">
                  <wp:posOffset>1805305</wp:posOffset>
                </wp:positionH>
                <wp:positionV relativeFrom="paragraph">
                  <wp:posOffset>233680</wp:posOffset>
                </wp:positionV>
                <wp:extent cx="22002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C8A9A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2.15pt,18.4pt" to="315.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" strokecolor="black [3200]" strokeweight=".5pt">
                <v:stroke joinstyle="miter"/>
              </v:line>
            </w:pict>
          </mc:Fallback>
        </mc:AlternateContent>
      </w:r>
      <w:r w:rsidRPr="006313CD">
        <w:rPr>
          <w:i/>
          <w:sz w:val="28"/>
          <w:szCs w:val="28"/>
          <w:lang w:val="nl-NL"/>
        </w:rPr>
        <w:t>(Kèm theo Hồ sơ dự thảo Nghị quyết)</w:t>
      </w:r>
    </w:p>
    <w:p w14:paraId="6522DDF8" w14:textId="77777777" w:rsidR="007473D8" w:rsidRPr="007473D8" w:rsidRDefault="007473D8" w:rsidP="00494252">
      <w:pPr>
        <w:widowControl w:val="0"/>
        <w:spacing w:before="240"/>
        <w:ind w:firstLine="567"/>
        <w:rPr>
          <w:sz w:val="28"/>
          <w:szCs w:val="28"/>
        </w:rPr>
      </w:pPr>
      <w:r w:rsidRPr="007473D8">
        <w:rPr>
          <w:b/>
          <w:bCs/>
          <w:sz w:val="28"/>
          <w:szCs w:val="28"/>
          <w:lang w:val="en-SG"/>
        </w:rPr>
        <w:t>I. XÁC ĐỊNH VẤN ĐỀ</w:t>
      </w:r>
    </w:p>
    <w:p w14:paraId="05AA6D9B" w14:textId="45EC8024" w:rsidR="007473D8" w:rsidRPr="007473D8" w:rsidRDefault="007473D8" w:rsidP="00494252">
      <w:pPr>
        <w:widowControl w:val="0"/>
        <w:spacing w:before="60"/>
        <w:ind w:firstLine="567"/>
        <w:rPr>
          <w:sz w:val="28"/>
          <w:szCs w:val="28"/>
        </w:rPr>
      </w:pPr>
      <w:r w:rsidRPr="007473D8">
        <w:rPr>
          <w:b/>
          <w:bCs/>
          <w:sz w:val="28"/>
          <w:szCs w:val="28"/>
          <w:lang w:val="en-SG"/>
        </w:rPr>
        <w:t xml:space="preserve">1. </w:t>
      </w:r>
      <w:r w:rsidRPr="007473D8">
        <w:rPr>
          <w:b/>
          <w:bCs/>
          <w:sz w:val="28"/>
          <w:szCs w:val="28"/>
        </w:rPr>
        <w:t xml:space="preserve">Bối cảnh xây dựng </w:t>
      </w:r>
      <w:r w:rsidR="00C33646">
        <w:rPr>
          <w:b/>
          <w:bCs/>
          <w:sz w:val="28"/>
          <w:szCs w:val="28"/>
        </w:rPr>
        <w:t>Nghị quyết</w:t>
      </w:r>
    </w:p>
    <w:p w14:paraId="11189A09" w14:textId="77777777" w:rsidR="007473D8" w:rsidRDefault="007473D8" w:rsidP="00494252">
      <w:pPr>
        <w:spacing w:before="60" w:line="276" w:lineRule="auto"/>
        <w:ind w:firstLine="709"/>
        <w:rPr>
          <w:sz w:val="28"/>
          <w:szCs w:val="28"/>
        </w:rPr>
      </w:pPr>
      <w:r>
        <w:rPr>
          <w:sz w:val="28"/>
          <w:szCs w:val="28"/>
        </w:rPr>
        <w:t xml:space="preserve">Theo khoản 1 Điều 1 Luật Tổ chức chính quyền địa phương </w:t>
      </w:r>
      <w:r w:rsidRPr="00F05170">
        <w:rPr>
          <w:iCs/>
          <w:sz w:val="28"/>
          <w:szCs w:val="28"/>
        </w:rPr>
        <w:t>ngày 16</w:t>
      </w:r>
      <w:r>
        <w:rPr>
          <w:iCs/>
          <w:sz w:val="28"/>
          <w:szCs w:val="28"/>
        </w:rPr>
        <w:t>/</w:t>
      </w:r>
      <w:r w:rsidRPr="00F05170">
        <w:rPr>
          <w:iCs/>
          <w:sz w:val="28"/>
          <w:szCs w:val="28"/>
        </w:rPr>
        <w:t>6</w:t>
      </w:r>
      <w:r>
        <w:rPr>
          <w:iCs/>
          <w:sz w:val="28"/>
          <w:szCs w:val="28"/>
        </w:rPr>
        <w:t>/</w:t>
      </w:r>
      <w:r w:rsidRPr="00F05170">
        <w:rPr>
          <w:iCs/>
          <w:sz w:val="28"/>
          <w:szCs w:val="28"/>
        </w:rPr>
        <w:t>2025</w:t>
      </w:r>
      <w:r>
        <w:rPr>
          <w:sz w:val="28"/>
          <w:szCs w:val="28"/>
        </w:rPr>
        <w:t xml:space="preserve"> quy định: </w:t>
      </w:r>
    </w:p>
    <w:p w14:paraId="77DA0077" w14:textId="77777777" w:rsidR="007473D8" w:rsidRDefault="007473D8" w:rsidP="00494252">
      <w:pPr>
        <w:spacing w:before="60" w:line="276" w:lineRule="auto"/>
        <w:ind w:firstLine="709"/>
        <w:rPr>
          <w:sz w:val="28"/>
          <w:szCs w:val="28"/>
        </w:rPr>
      </w:pPr>
      <w:r>
        <w:rPr>
          <w:sz w:val="28"/>
          <w:szCs w:val="28"/>
        </w:rPr>
        <w:t>“</w:t>
      </w:r>
      <w:r w:rsidRPr="000D45C7">
        <w:rPr>
          <w:i/>
          <w:iCs/>
          <w:sz w:val="28"/>
          <w:szCs w:val="28"/>
        </w:rPr>
        <w:t>1. Đơn vị hành chính của nước Cộng hòa xã hội chủ nghĩa Việt Nam được tổ chức thành 02 cấp, gồm có:</w:t>
      </w:r>
    </w:p>
    <w:p w14:paraId="0150D417" w14:textId="77777777" w:rsidR="007473D8" w:rsidRPr="00CE38A2" w:rsidRDefault="007473D8" w:rsidP="00494252">
      <w:pPr>
        <w:spacing w:before="60" w:line="276" w:lineRule="auto"/>
        <w:ind w:firstLine="709"/>
        <w:rPr>
          <w:sz w:val="28"/>
          <w:szCs w:val="28"/>
        </w:rPr>
      </w:pPr>
      <w:r>
        <w:rPr>
          <w:sz w:val="28"/>
          <w:szCs w:val="28"/>
        </w:rPr>
        <w:t xml:space="preserve">a) </w:t>
      </w:r>
      <w:r w:rsidRPr="00CE38A2">
        <w:rPr>
          <w:i/>
          <w:iCs/>
          <w:sz w:val="28"/>
          <w:szCs w:val="28"/>
        </w:rPr>
        <w:t>Tỉnh, thành phố trực thuộc trung ương (sau đây gọi chung là cấp tỉnh);</w:t>
      </w:r>
    </w:p>
    <w:p w14:paraId="14E51767" w14:textId="77777777" w:rsidR="007473D8" w:rsidRPr="007473D8" w:rsidRDefault="007473D8" w:rsidP="00494252">
      <w:pPr>
        <w:spacing w:before="60" w:line="276" w:lineRule="auto"/>
        <w:ind w:firstLine="709"/>
        <w:rPr>
          <w:rFonts w:ascii="Times New Roman Italic" w:hAnsi="Times New Roman Italic"/>
          <w:i/>
          <w:iCs/>
          <w:spacing w:val="0"/>
          <w:sz w:val="28"/>
          <w:szCs w:val="28"/>
        </w:rPr>
      </w:pPr>
      <w:r w:rsidRPr="007473D8">
        <w:rPr>
          <w:rFonts w:ascii="Times New Roman Italic" w:hAnsi="Times New Roman Italic"/>
          <w:i/>
          <w:iCs/>
          <w:spacing w:val="0"/>
          <w:sz w:val="28"/>
          <w:szCs w:val="28"/>
        </w:rPr>
        <w:t>b) Xã, phường, đặc khu trực thuộc cấp tỉnh (sau đây gọi chung là cấp xã).</w:t>
      </w:r>
    </w:p>
    <w:p w14:paraId="33BF81DE" w14:textId="77777777" w:rsidR="007473D8" w:rsidRDefault="007473D8" w:rsidP="00494252">
      <w:pPr>
        <w:spacing w:before="60" w:line="276" w:lineRule="auto"/>
        <w:ind w:firstLine="709"/>
        <w:rPr>
          <w:sz w:val="28"/>
          <w:szCs w:val="28"/>
        </w:rPr>
      </w:pPr>
      <w:r>
        <w:rPr>
          <w:sz w:val="28"/>
          <w:szCs w:val="28"/>
        </w:rPr>
        <w:t xml:space="preserve">Theo khoản 7 Điều 1 Nghị quyết số 202/2025/QH15 ngày 12/6/2025 của Quốc hội về việc sắp xếp đơn vị hành chính cấp tỉnh: </w:t>
      </w:r>
      <w:r w:rsidRPr="00AB33F7">
        <w:rPr>
          <w:i/>
          <w:iCs/>
          <w:sz w:val="28"/>
          <w:szCs w:val="28"/>
        </w:rPr>
        <w:t>“7. Sắp xếp toàn bộ diện tích tự nhiên, quy mô dân số của thành phố Hải Phòng và tỉnh Hải Dương thành thành phố mới có tên gọi là thành phố Hải Phòng”</w:t>
      </w:r>
      <w:r>
        <w:rPr>
          <w:sz w:val="28"/>
          <w:szCs w:val="28"/>
        </w:rPr>
        <w:t>.</w:t>
      </w:r>
    </w:p>
    <w:p w14:paraId="54E5F082" w14:textId="77777777" w:rsidR="007473D8" w:rsidRDefault="007473D8" w:rsidP="00494252">
      <w:pPr>
        <w:spacing w:before="60" w:line="276" w:lineRule="auto"/>
        <w:ind w:firstLine="709"/>
        <w:rPr>
          <w:sz w:val="28"/>
          <w:szCs w:val="28"/>
        </w:rPr>
      </w:pPr>
      <w:r>
        <w:rPr>
          <w:sz w:val="28"/>
          <w:szCs w:val="28"/>
        </w:rPr>
        <w:t>Theo khoản 2 Điều 2 Nghị quyết số 202/2025/QH15 quy định:</w:t>
      </w:r>
    </w:p>
    <w:p w14:paraId="5D98E100" w14:textId="77777777" w:rsidR="007473D8" w:rsidRDefault="007473D8" w:rsidP="00494252">
      <w:pPr>
        <w:widowControl w:val="0"/>
        <w:spacing w:before="60"/>
        <w:ind w:firstLine="567"/>
        <w:rPr>
          <w:i/>
          <w:iCs/>
          <w:sz w:val="28"/>
          <w:szCs w:val="28"/>
        </w:rPr>
      </w:pPr>
      <w:r w:rsidRPr="000D45C7">
        <w:rPr>
          <w:i/>
          <w:iCs/>
          <w:sz w:val="28"/>
          <w:szCs w:val="28"/>
        </w:rPr>
        <w:t>“2.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ngày 7 năm 2025”</w:t>
      </w:r>
      <w:r>
        <w:rPr>
          <w:i/>
          <w:iCs/>
          <w:sz w:val="28"/>
          <w:szCs w:val="28"/>
        </w:rPr>
        <w:t>.</w:t>
      </w:r>
    </w:p>
    <w:p w14:paraId="0D04C9F7" w14:textId="7AAB62D8" w:rsidR="007473D8" w:rsidRPr="007473D8" w:rsidRDefault="007473D8" w:rsidP="00494252">
      <w:pPr>
        <w:widowControl w:val="0"/>
        <w:spacing w:before="60"/>
        <w:ind w:firstLine="567"/>
        <w:rPr>
          <w:sz w:val="28"/>
          <w:szCs w:val="28"/>
        </w:rPr>
      </w:pPr>
      <w:r w:rsidRPr="007473D8">
        <w:rPr>
          <w:b/>
          <w:bCs/>
          <w:sz w:val="28"/>
          <w:szCs w:val="28"/>
          <w:lang w:val="en-SG"/>
        </w:rPr>
        <w:t xml:space="preserve">2. </w:t>
      </w:r>
      <w:r w:rsidRPr="007473D8">
        <w:rPr>
          <w:b/>
          <w:bCs/>
          <w:sz w:val="28"/>
          <w:szCs w:val="28"/>
        </w:rPr>
        <w:t xml:space="preserve">Mục tiêu xây dựng </w:t>
      </w:r>
      <w:r w:rsidR="00C33646">
        <w:rPr>
          <w:b/>
          <w:bCs/>
          <w:sz w:val="28"/>
          <w:szCs w:val="28"/>
        </w:rPr>
        <w:t>Nghị quyết</w:t>
      </w:r>
    </w:p>
    <w:p w14:paraId="6790C1CF" w14:textId="7526690C" w:rsidR="00BF2623" w:rsidRPr="008F0276" w:rsidRDefault="00BF2623" w:rsidP="00494252">
      <w:pPr>
        <w:widowControl w:val="0"/>
        <w:spacing w:before="60"/>
        <w:ind w:firstLine="567"/>
        <w:rPr>
          <w:sz w:val="28"/>
          <w:szCs w:val="28"/>
        </w:rPr>
      </w:pPr>
      <w:r w:rsidRPr="008F0276">
        <w:rPr>
          <w:sz w:val="28"/>
          <w:szCs w:val="28"/>
        </w:rPr>
        <w:t>Hiện nay mức thu phí, lệ phí trong lĩnh vực đất đai trên địa bàn thành phố Hải Phòng (sau sắp xếp) đang thực hiện theo các Nghị quyết:</w:t>
      </w:r>
    </w:p>
    <w:p w14:paraId="3767FF43" w14:textId="77777777" w:rsidR="00BF2623" w:rsidRPr="008F0276" w:rsidRDefault="00BF2623" w:rsidP="00494252">
      <w:pPr>
        <w:pStyle w:val="ListParagraph"/>
        <w:widowControl w:val="0"/>
        <w:numPr>
          <w:ilvl w:val="0"/>
          <w:numId w:val="5"/>
        </w:numPr>
        <w:spacing w:before="60" w:line="276" w:lineRule="auto"/>
        <w:ind w:left="0" w:firstLine="567"/>
        <w:rPr>
          <w:sz w:val="28"/>
          <w:szCs w:val="28"/>
        </w:rPr>
      </w:pPr>
      <w:r w:rsidRPr="008F0276">
        <w:rPr>
          <w:sz w:val="28"/>
          <w:szCs w:val="28"/>
        </w:rPr>
        <w:t>Đối với địa bàn tỉnh Hải Dương trước khi sắp xếp: thực hiện mức thu phí, lệ phí theo Nghị quyết số 08/2025/NQ-HĐND ngày 26/6/2025 của Hội đồng nhân dân tỉnh Hải Dương về việc Quy định mức thu, chế độ thu, nộp, quản lý và sử dụng phí, lệ phí thuộc thẩm quyền quyết định của Hội đồng nhân dân tỉnh.</w:t>
      </w:r>
    </w:p>
    <w:p w14:paraId="2BB877BF" w14:textId="77777777" w:rsidR="00BF2623" w:rsidRPr="007473D8" w:rsidRDefault="00BF2623" w:rsidP="00494252">
      <w:pPr>
        <w:pStyle w:val="ListParagraph"/>
        <w:numPr>
          <w:ilvl w:val="0"/>
          <w:numId w:val="5"/>
        </w:numPr>
        <w:spacing w:before="60" w:line="276" w:lineRule="auto"/>
        <w:ind w:left="0" w:firstLine="567"/>
        <w:rPr>
          <w:sz w:val="28"/>
          <w:szCs w:val="28"/>
        </w:rPr>
      </w:pPr>
      <w:r w:rsidRPr="008F0276">
        <w:rPr>
          <w:spacing w:val="-2"/>
          <w:sz w:val="28"/>
          <w:szCs w:val="28"/>
        </w:rPr>
        <w:t xml:space="preserve">Đối với địa bàn thành phố Hải Phòng trước khi sắp xếp: thực hiện mức thu phí, lệ phí theo các Nghị quyết của Hội đồng nhân dân thành phố Hải Phòng: số 12/2018/NQ-HĐND ngày 12/7/2018 về việc quy định một số loại phí, lệ phí thuộc thẩm quyền Hội đồng nhân dân thành phố trên địa bàn thành phố Hải Phòng; số 45/2018/NQ-HĐND ngày 10/12/2018 về việc quy định một số loại phí, lệ phí trên </w:t>
      </w:r>
      <w:r w:rsidRPr="008F0276">
        <w:rPr>
          <w:spacing w:val="-2"/>
          <w:sz w:val="28"/>
          <w:szCs w:val="28"/>
        </w:rPr>
        <w:lastRenderedPageBreak/>
        <w:t>địa bàn thành phố Hải Phòng và số 17/2024/NQ-HĐND ngày 06/12/2024 về việc quy định mức thu, chế độ thu, nộp quản lý và sử dụng phí thẩm định hồ sơ và lệ phí cấp giấy chứng nhận quyền sử dụng đất, quyền sở hữu tài sản gắn liền với đất trên địa bàn thành phố Hải Phòng.</w:t>
      </w:r>
    </w:p>
    <w:p w14:paraId="5B21291E" w14:textId="223343BC" w:rsidR="007473D8" w:rsidRPr="008F0276" w:rsidRDefault="007473D8" w:rsidP="00494252">
      <w:pPr>
        <w:pStyle w:val="ListParagraph"/>
        <w:spacing w:before="60" w:line="276" w:lineRule="auto"/>
        <w:ind w:left="0" w:firstLine="709"/>
        <w:rPr>
          <w:sz w:val="28"/>
          <w:szCs w:val="28"/>
        </w:rPr>
      </w:pPr>
      <w:r w:rsidRPr="00B62C66">
        <w:rPr>
          <w:spacing w:val="-2"/>
          <w:sz w:val="28"/>
          <w:szCs w:val="28"/>
        </w:rPr>
        <w:t xml:space="preserve">Để đảm bảo </w:t>
      </w:r>
      <w:r w:rsidRPr="00B62C66">
        <w:rPr>
          <w:sz w:val="28"/>
          <w:szCs w:val="28"/>
          <w:lang w:val="pt-BR"/>
        </w:rPr>
        <w:t>thống nhất về mức thu phí, lệ phí</w:t>
      </w:r>
      <w:r>
        <w:rPr>
          <w:sz w:val="28"/>
          <w:szCs w:val="28"/>
          <w:lang w:val="pt-BR"/>
        </w:rPr>
        <w:t xml:space="preserve">, </w:t>
      </w:r>
      <w:r>
        <w:rPr>
          <w:bCs/>
          <w:sz w:val="28"/>
          <w:lang w:val="nl-NL"/>
        </w:rPr>
        <w:t>tỷ lệ trích để lại cho tổ chức thu phí</w:t>
      </w:r>
      <w:r w:rsidRPr="00B62C66">
        <w:rPr>
          <w:bCs/>
          <w:sz w:val="28"/>
          <w:szCs w:val="28"/>
          <w:lang w:val="nl-NL"/>
        </w:rPr>
        <w:t xml:space="preserve"> trong lĩnh vực đất đai trên địa bàn thành phố Hải Phòng sau sắp xếp, Hội đồng nhân dân thành phố cần ban hành Nghị quyết </w:t>
      </w:r>
      <w:r w:rsidRPr="00B62C66">
        <w:rPr>
          <w:bCs/>
          <w:sz w:val="28"/>
          <w:lang w:val="nl-NL"/>
        </w:rPr>
        <w:t>Quy định mức thu, chế độ thu, nộp, quản lý và sử dụng các loại phí, lệ phí trong lĩnh vực đất đai trên địa bàn thành phố Hải Phòng theo các quy định hiện hành.</w:t>
      </w:r>
    </w:p>
    <w:p w14:paraId="71E27FD2" w14:textId="55DFB4F8" w:rsidR="000023E3" w:rsidRDefault="000023E3" w:rsidP="00494252">
      <w:pPr>
        <w:spacing w:before="60" w:line="264" w:lineRule="auto"/>
        <w:ind w:firstLine="720"/>
        <w:rPr>
          <w:b/>
          <w:bCs/>
          <w:spacing w:val="-2"/>
          <w:sz w:val="28"/>
          <w:szCs w:val="28"/>
        </w:rPr>
      </w:pPr>
      <w:r w:rsidRPr="000023E3">
        <w:rPr>
          <w:b/>
          <w:bCs/>
          <w:spacing w:val="-2"/>
          <w:sz w:val="28"/>
          <w:szCs w:val="28"/>
          <w:lang w:val="en-SG"/>
        </w:rPr>
        <w:t xml:space="preserve">II. </w:t>
      </w:r>
      <w:r w:rsidRPr="000023E3">
        <w:rPr>
          <w:b/>
          <w:bCs/>
          <w:spacing w:val="-2"/>
          <w:sz w:val="28"/>
          <w:szCs w:val="28"/>
        </w:rPr>
        <w:t>ĐÁNH GIÁ TÁC ĐỘNG</w:t>
      </w:r>
    </w:p>
    <w:p w14:paraId="48C8E242" w14:textId="416C46BC" w:rsidR="00CE28F1" w:rsidRDefault="00BF2623" w:rsidP="00494252">
      <w:pPr>
        <w:spacing w:before="60" w:line="264" w:lineRule="auto"/>
        <w:ind w:firstLine="720"/>
        <w:rPr>
          <w:spacing w:val="-2"/>
          <w:sz w:val="28"/>
          <w:szCs w:val="28"/>
        </w:rPr>
      </w:pPr>
      <w:r w:rsidRPr="008F0276">
        <w:rPr>
          <w:spacing w:val="-2"/>
          <w:sz w:val="28"/>
          <w:szCs w:val="28"/>
        </w:rPr>
        <w:t xml:space="preserve">Tại các Nghị quyết trên mức thu phí thẩm định hồ sơ cấp Giấy chứng nhận quyền sử dụng đất, phí khai thác và sử dụng tài liệu đất đai trên địa bàn tỉnh Hải Dương (trước sắp xếp) cao hơn mức thu phí trên địa bàn thành phố Hải Phòng (trước sắp xếp), mức thu lệ phí </w:t>
      </w:r>
      <w:r w:rsidRPr="008F0276">
        <w:rPr>
          <w:spacing w:val="4"/>
          <w:sz w:val="28"/>
          <w:szCs w:val="28"/>
        </w:rPr>
        <w:t>cấp giấy chứng nhận quyền sử dụng đất, quyền sở hữu tài sản gắn liền với đất</w:t>
      </w:r>
      <w:r w:rsidRPr="008F0276">
        <w:rPr>
          <w:spacing w:val="-2"/>
          <w:sz w:val="28"/>
          <w:szCs w:val="28"/>
        </w:rPr>
        <w:t xml:space="preserve"> trên địa bàn tỉnh Hải Dương (trước sắp xếp) thấp hơn mức thu phí trên địa bàn thành phố Hải Phòng. Mặt khác tỷ lệ trích lại cho tổ chức thu phí đối với phí thẩm định hồ sơ cấp Giấy chứng nhận quyền sử dụng đất trên địa bản tỉnh Hải Dương (trước sắp xếp) là 80% cao hơn tỷ lệ trích lại cho tổ chức thu phí trên địa bàn thành phố Hải Phòng (trước sắp xếp) là 70%.</w:t>
      </w:r>
    </w:p>
    <w:p w14:paraId="02F080A9" w14:textId="77777777" w:rsidR="000023E3" w:rsidRPr="00EA6E68" w:rsidRDefault="000023E3" w:rsidP="00BF2623">
      <w:pPr>
        <w:spacing w:before="60"/>
        <w:ind w:firstLine="567"/>
        <w:rPr>
          <w:i/>
          <w:iCs/>
          <w:sz w:val="28"/>
          <w:szCs w:val="28"/>
          <w:u w:val="single"/>
        </w:rPr>
      </w:pPr>
      <w:r w:rsidRPr="00EA6E68">
        <w:rPr>
          <w:i/>
          <w:iCs/>
          <w:sz w:val="28"/>
          <w:szCs w:val="28"/>
          <w:u w:val="single"/>
        </w:rPr>
        <w:t>M</w:t>
      </w:r>
      <w:r w:rsidRPr="00EA6E68">
        <w:rPr>
          <w:i/>
          <w:iCs/>
          <w:sz w:val="28"/>
          <w:szCs w:val="28"/>
          <w:u w:val="single"/>
        </w:rPr>
        <w:t xml:space="preserve">ức thu phí thẩm định hồ sơ cấp giấy chứng nhận quyền sử dụng đất </w:t>
      </w:r>
      <w:r w:rsidRPr="00EA6E68">
        <w:rPr>
          <w:i/>
          <w:iCs/>
          <w:sz w:val="28"/>
          <w:szCs w:val="28"/>
          <w:u w:val="single"/>
        </w:rPr>
        <w:t xml:space="preserve">mới </w:t>
      </w:r>
      <w:r w:rsidRPr="00EA6E68">
        <w:rPr>
          <w:i/>
          <w:iCs/>
          <w:sz w:val="28"/>
          <w:szCs w:val="28"/>
          <w:u w:val="single"/>
        </w:rPr>
        <w:t>thấp hơn mức thu đang thực hiện</w:t>
      </w:r>
      <w:r w:rsidRPr="00EA6E68">
        <w:rPr>
          <w:i/>
          <w:iCs/>
          <w:sz w:val="28"/>
          <w:szCs w:val="28"/>
          <w:u w:val="single"/>
        </w:rPr>
        <w:t>:</w:t>
      </w:r>
    </w:p>
    <w:p w14:paraId="23FEEC5F" w14:textId="4D8503D2" w:rsidR="00BF2623" w:rsidRPr="00DE1CB6" w:rsidRDefault="000023E3" w:rsidP="00BF2623">
      <w:pPr>
        <w:spacing w:before="60"/>
        <w:ind w:firstLine="567"/>
        <w:rPr>
          <w:sz w:val="28"/>
          <w:szCs w:val="28"/>
        </w:rPr>
      </w:pPr>
      <w:r>
        <w:rPr>
          <w:sz w:val="28"/>
          <w:szCs w:val="28"/>
        </w:rPr>
        <w:t xml:space="preserve"> T</w:t>
      </w:r>
      <w:r w:rsidR="00BF2623">
        <w:rPr>
          <w:sz w:val="28"/>
          <w:szCs w:val="28"/>
        </w:rPr>
        <w:t xml:space="preserve">heo quy định tại điểm b khoản 4 Điều 13 Nghị định số 102/2024/NĐ-CP ngày </w:t>
      </w:r>
      <w:r w:rsidR="00BF2623" w:rsidRPr="005B1DF4">
        <w:rPr>
          <w:i/>
          <w:sz w:val="28"/>
          <w:szCs w:val="28"/>
          <w:lang w:val="pt-BR"/>
        </w:rPr>
        <w:t>30 tháng 7 năm 2024 của Chính phủ</w:t>
      </w:r>
      <w:r w:rsidR="00BF2623">
        <w:rPr>
          <w:i/>
          <w:sz w:val="28"/>
          <w:szCs w:val="28"/>
          <w:lang w:val="pt-BR"/>
        </w:rPr>
        <w:t xml:space="preserve"> quy định: </w:t>
      </w:r>
    </w:p>
    <w:p w14:paraId="05BEBE6C" w14:textId="77777777" w:rsidR="00BF2623" w:rsidRPr="008F0276" w:rsidRDefault="00BF2623" w:rsidP="00BF2623">
      <w:pPr>
        <w:spacing w:before="60"/>
        <w:ind w:firstLine="567"/>
        <w:rPr>
          <w:i/>
          <w:sz w:val="28"/>
          <w:szCs w:val="28"/>
        </w:rPr>
      </w:pPr>
      <w:r w:rsidRPr="008F0276">
        <w:rPr>
          <w:i/>
          <w:sz w:val="28"/>
          <w:szCs w:val="28"/>
          <w:lang w:val="pt-BR"/>
        </w:rPr>
        <w:t>“</w:t>
      </w:r>
      <w:r w:rsidRPr="008F0276">
        <w:rPr>
          <w:i/>
          <w:sz w:val="28"/>
          <w:szCs w:val="28"/>
        </w:rPr>
        <w:t>b) Nguồn thu từ hoạt động sự nghiệp gồm thu từ phí theo quy định của pháp luật về phí và lệ phí, thu từ các dịch vụ công về đất đai, nguồn thu khác theo quy định của pháp luật.</w:t>
      </w:r>
    </w:p>
    <w:p w14:paraId="5A7A6198" w14:textId="145255B3" w:rsidR="00BF2623" w:rsidRPr="00EA6E68" w:rsidRDefault="00BF2623" w:rsidP="00EA6E68">
      <w:pPr>
        <w:spacing w:before="60"/>
        <w:ind w:firstLine="567"/>
        <w:rPr>
          <w:i/>
          <w:sz w:val="28"/>
          <w:szCs w:val="28"/>
        </w:rPr>
      </w:pPr>
      <w:r w:rsidRPr="008F0276">
        <w:rPr>
          <w:i/>
          <w:sz w:val="28"/>
          <w:szCs w:val="28"/>
        </w:rPr>
        <w:t>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14:paraId="41586E8F" w14:textId="2AE58B93" w:rsidR="00BF2623" w:rsidRDefault="00EA6E68" w:rsidP="00BF2623">
      <w:pPr>
        <w:spacing w:after="120" w:line="264" w:lineRule="auto"/>
        <w:ind w:firstLine="720"/>
        <w:rPr>
          <w:sz w:val="28"/>
          <w:szCs w:val="28"/>
        </w:rPr>
      </w:pPr>
      <w:r w:rsidRPr="00EA6E68">
        <w:rPr>
          <w:i/>
          <w:iCs/>
          <w:sz w:val="28"/>
          <w:szCs w:val="28"/>
          <w:u w:val="single"/>
        </w:rPr>
        <w:t>M</w:t>
      </w:r>
      <w:r w:rsidR="000023E3" w:rsidRPr="00EA6E68">
        <w:rPr>
          <w:i/>
          <w:iCs/>
          <w:sz w:val="28"/>
          <w:szCs w:val="28"/>
          <w:u w:val="single"/>
        </w:rPr>
        <w:t>ức thu phí đăng ký giao dịch bảo đảm cao hơn mức thu đang thực hiện</w:t>
      </w:r>
      <w:r w:rsidRPr="00EA6E68">
        <w:rPr>
          <w:i/>
          <w:iCs/>
          <w:sz w:val="28"/>
          <w:szCs w:val="28"/>
          <w:u w:val="single"/>
        </w:rPr>
        <w:t>:</w:t>
      </w:r>
      <w:r w:rsidR="000023E3">
        <w:rPr>
          <w:sz w:val="28"/>
          <w:szCs w:val="28"/>
        </w:rPr>
        <w:t xml:space="preserve"> </w:t>
      </w:r>
    </w:p>
    <w:p w14:paraId="6458EBA9" w14:textId="64267B20" w:rsidR="00EA6E68" w:rsidRPr="008F0276" w:rsidRDefault="00EA6E68" w:rsidP="00EA6E68">
      <w:pPr>
        <w:spacing w:before="60"/>
        <w:ind w:firstLine="567"/>
        <w:rPr>
          <w:sz w:val="28"/>
          <w:szCs w:val="28"/>
        </w:rPr>
      </w:pPr>
      <w:r>
        <w:rPr>
          <w:sz w:val="28"/>
          <w:szCs w:val="28"/>
        </w:rPr>
        <w:t>Do q</w:t>
      </w:r>
      <w:r w:rsidRPr="008F0276">
        <w:rPr>
          <w:sz w:val="28"/>
          <w:szCs w:val="28"/>
        </w:rPr>
        <w:t>ua 08 năm thực hiện, 05 yếu tố cấu thành cơ bản của mức thu (gồm: chi phí nhân công, vật tư, dụng cụ, chi phí sử dụng thiết bị và chi phí chung) đến nay đã không còn phù hợp vì đơn giá vật tư thiết bị, dụng cụ và mức lương cơ bản đã thay đổi; một số nội dung công việc triển khai thực hiện thực hiện liên quan đến việc thu phí, lệ phí cũng có thay đổi cụ thể:</w:t>
      </w:r>
    </w:p>
    <w:p w14:paraId="42559440" w14:textId="77777777" w:rsidR="00EA6E68" w:rsidRPr="008F0276" w:rsidRDefault="00EA6E68" w:rsidP="00EA6E68">
      <w:pPr>
        <w:pStyle w:val="NormalWeb"/>
        <w:spacing w:before="120" w:beforeAutospacing="0" w:after="0" w:afterAutospacing="0"/>
        <w:ind w:firstLine="567"/>
        <w:jc w:val="both"/>
        <w:rPr>
          <w:sz w:val="28"/>
          <w:szCs w:val="28"/>
        </w:rPr>
      </w:pPr>
      <w:r w:rsidRPr="008F0276">
        <w:rPr>
          <w:sz w:val="28"/>
          <w:szCs w:val="28"/>
        </w:rPr>
        <w:t>+ Mức lương cơ sở biến động qua từng thời kỳ: từ ngày 01/7/2018 đến hết tháng 6/201</w:t>
      </w:r>
      <w:r>
        <w:rPr>
          <w:sz w:val="28"/>
          <w:szCs w:val="28"/>
        </w:rPr>
        <w:t>9</w:t>
      </w:r>
      <w:r w:rsidRPr="008F0276">
        <w:rPr>
          <w:sz w:val="28"/>
          <w:szCs w:val="28"/>
        </w:rPr>
        <w:t xml:space="preserve"> là 1.390.000 đồng/tháng</w:t>
      </w:r>
      <w:r w:rsidRPr="008F0276">
        <w:rPr>
          <w:iCs/>
          <w:sz w:val="28"/>
          <w:szCs w:val="28"/>
        </w:rPr>
        <w:t xml:space="preserve">, </w:t>
      </w:r>
      <w:r w:rsidRPr="008F0276">
        <w:rPr>
          <w:sz w:val="28"/>
          <w:szCs w:val="28"/>
        </w:rPr>
        <w:t xml:space="preserve">từ ngày 01/7/2019 đến hết tháng 6/2023 là </w:t>
      </w:r>
      <w:r w:rsidRPr="008F0276">
        <w:rPr>
          <w:sz w:val="28"/>
          <w:szCs w:val="28"/>
        </w:rPr>
        <w:lastRenderedPageBreak/>
        <w:t xml:space="preserve">1.490.000 đồng/tháng, từ ngày 01/7/2023 đến hết tháng 6/2024 là 1.800.000 đồng/tháng. </w:t>
      </w:r>
      <w:r w:rsidRPr="008F0276">
        <w:rPr>
          <w:sz w:val="28"/>
          <w:szCs w:val="28"/>
          <w:lang w:val="de-DE"/>
        </w:rPr>
        <w:t xml:space="preserve">Nghị định số 73/2024/NĐ-CP ngày 30 tháng 6 năm 2025 của Chính phủ </w:t>
      </w:r>
      <w:r w:rsidRPr="008F0276">
        <w:rPr>
          <w:sz w:val="28"/>
          <w:szCs w:val="28"/>
        </w:rPr>
        <w:t>quy định tăng mức lương cơ sở</w:t>
      </w:r>
      <w:r>
        <w:rPr>
          <w:sz w:val="28"/>
          <w:szCs w:val="28"/>
        </w:rPr>
        <w:t xml:space="preserve"> </w:t>
      </w:r>
      <w:r w:rsidRPr="008F0276">
        <w:rPr>
          <w:sz w:val="28"/>
          <w:szCs w:val="28"/>
        </w:rPr>
        <w:t>lên 2.340.000 đồng/tháng kể từ ngày 01/7/2024. Do vậy, Sở Nông nghiệp và Môi trường xây dựng Đề án này theo mức lương cơ sở 2.340.000 đồng/tháng để khi Nghị quyết ban hành có hiệu lực phù hợp quy định hiện hành.</w:t>
      </w:r>
    </w:p>
    <w:p w14:paraId="3C24A19E" w14:textId="402FC857" w:rsidR="00EA6E68" w:rsidRDefault="00EA6E68" w:rsidP="00EA6E68">
      <w:pPr>
        <w:spacing w:after="120" w:line="264" w:lineRule="auto"/>
        <w:ind w:firstLine="720"/>
        <w:rPr>
          <w:sz w:val="28"/>
          <w:szCs w:val="28"/>
        </w:rPr>
      </w:pPr>
      <w:r w:rsidRPr="008F0276">
        <w:rPr>
          <w:sz w:val="28"/>
          <w:szCs w:val="28"/>
        </w:rPr>
        <w:t>+ Giá thị trường các loại vật tư, dụng cụ và thiết bị hiện nay cũng có sự thay đổi</w:t>
      </w:r>
      <w:r>
        <w:rPr>
          <w:sz w:val="28"/>
          <w:szCs w:val="28"/>
        </w:rPr>
        <w:t xml:space="preserve"> cao hơn thời điểm xây dựng Nghị quyết trước đây</w:t>
      </w:r>
      <w:r w:rsidRPr="008F0276">
        <w:rPr>
          <w:sz w:val="28"/>
          <w:szCs w:val="28"/>
        </w:rPr>
        <w:t>.</w:t>
      </w:r>
    </w:p>
    <w:p w14:paraId="2CEB028A" w14:textId="5893CF5A" w:rsidR="00EA6E68" w:rsidRPr="00EA6E68" w:rsidRDefault="00EA6E68" w:rsidP="00EA6E68">
      <w:pPr>
        <w:spacing w:after="120" w:line="264" w:lineRule="auto"/>
        <w:ind w:firstLine="720"/>
        <w:rPr>
          <w:b/>
          <w:i/>
          <w:iCs/>
          <w:color w:val="000000" w:themeColor="text1"/>
          <w:sz w:val="28"/>
          <w:szCs w:val="28"/>
          <w:u w:val="single"/>
        </w:rPr>
      </w:pPr>
      <w:r w:rsidRPr="00EA6E68">
        <w:rPr>
          <w:i/>
          <w:iCs/>
          <w:sz w:val="28"/>
          <w:szCs w:val="28"/>
          <w:u w:val="single"/>
        </w:rPr>
        <w:t>Tỷ lệ trích để lại cho tổ chức thu phí:</w:t>
      </w:r>
    </w:p>
    <w:p w14:paraId="29A23655" w14:textId="77777777" w:rsidR="00C33646" w:rsidRPr="0060285B" w:rsidRDefault="00C33646" w:rsidP="00C33646">
      <w:pPr>
        <w:widowControl w:val="0"/>
        <w:spacing w:after="20"/>
        <w:ind w:firstLine="720"/>
        <w:rPr>
          <w:b/>
          <w:spacing w:val="-2"/>
          <w:sz w:val="28"/>
          <w:szCs w:val="28"/>
          <w:lang w:val="vi-VN"/>
        </w:rPr>
      </w:pPr>
      <w:r w:rsidRPr="0060285B">
        <w:rPr>
          <w:spacing w:val="-2"/>
          <w:sz w:val="28"/>
          <w:szCs w:val="28"/>
        </w:rPr>
        <w:t>Tỷ lệ trích lại cho tổ chức thu phí</w:t>
      </w:r>
      <w:r w:rsidRPr="0060285B">
        <w:rPr>
          <w:spacing w:val="-2"/>
          <w:sz w:val="28"/>
          <w:szCs w:val="28"/>
          <w:lang w:val="vi-VN"/>
        </w:rPr>
        <w:t xml:space="preserve"> để </w:t>
      </w:r>
      <w:r w:rsidRPr="0060285B">
        <w:rPr>
          <w:spacing w:val="-2"/>
          <w:sz w:val="28"/>
          <w:szCs w:val="28"/>
        </w:rPr>
        <w:t xml:space="preserve">trang trải </w:t>
      </w:r>
      <w:r w:rsidRPr="0060285B">
        <w:rPr>
          <w:spacing w:val="-2"/>
          <w:sz w:val="28"/>
          <w:szCs w:val="28"/>
          <w:lang w:val="vi-VN"/>
        </w:rPr>
        <w:t xml:space="preserve">chi phí cho hoạt động </w:t>
      </w:r>
      <w:r w:rsidRPr="0060285B">
        <w:rPr>
          <w:spacing w:val="-2"/>
          <w:sz w:val="28"/>
          <w:szCs w:val="28"/>
        </w:rPr>
        <w:t>thu phí</w:t>
      </w:r>
      <w:r w:rsidRPr="0060285B">
        <w:rPr>
          <w:spacing w:val="-2"/>
          <w:sz w:val="28"/>
          <w:szCs w:val="28"/>
          <w:lang w:val="vi-VN"/>
        </w:rPr>
        <w:t xml:space="preserve"> được tính toán theo quy định tại Khoản 1 Điều 5 Nghị định số 120/2016/NĐ-CP ngày 23/8/2016 của Chính phủ</w:t>
      </w:r>
      <w:r w:rsidRPr="0060285B">
        <w:rPr>
          <w:spacing w:val="-2"/>
          <w:sz w:val="28"/>
          <w:szCs w:val="28"/>
        </w:rPr>
        <w:t>,</w:t>
      </w:r>
      <w:r w:rsidRPr="0060285B">
        <w:rPr>
          <w:spacing w:val="-2"/>
          <w:sz w:val="28"/>
          <w:szCs w:val="28"/>
          <w:lang w:val="vi-VN"/>
        </w:rPr>
        <w:t xml:space="preserve"> thì tỷ lệ % để lại được xác định theo công thức như sau:</w:t>
      </w:r>
    </w:p>
    <w:tbl>
      <w:tblPr>
        <w:tblW w:w="7980" w:type="dxa"/>
        <w:tblInd w:w="1242" w:type="dxa"/>
        <w:tblLayout w:type="fixed"/>
        <w:tblLook w:val="04A0" w:firstRow="1" w:lastRow="0" w:firstColumn="1" w:lastColumn="0" w:noHBand="0" w:noVBand="1"/>
      </w:tblPr>
      <w:tblGrid>
        <w:gridCol w:w="2151"/>
        <w:gridCol w:w="624"/>
        <w:gridCol w:w="5205"/>
      </w:tblGrid>
      <w:tr w:rsidR="00C33646" w:rsidRPr="0060285B" w14:paraId="42CE0C3F" w14:textId="77777777" w:rsidTr="00ED38FC">
        <w:trPr>
          <w:trHeight w:val="705"/>
        </w:trPr>
        <w:tc>
          <w:tcPr>
            <w:tcW w:w="2151" w:type="dxa"/>
            <w:vAlign w:val="center"/>
            <w:hideMark/>
          </w:tcPr>
          <w:p w14:paraId="4F0B3218" w14:textId="77777777" w:rsidR="00C33646" w:rsidRPr="0060285B" w:rsidRDefault="00C33646" w:rsidP="00ED38FC">
            <w:pPr>
              <w:spacing w:after="20"/>
              <w:jc w:val="center"/>
              <w:rPr>
                <w:sz w:val="28"/>
                <w:szCs w:val="28"/>
                <w:lang w:val="vi-VN"/>
              </w:rPr>
            </w:pPr>
            <w:r w:rsidRPr="0060285B">
              <w:rPr>
                <w:rStyle w:val="fontstyle01"/>
                <w:sz w:val="28"/>
                <w:szCs w:val="28"/>
                <w:lang w:val="vi-VN"/>
              </w:rPr>
              <w:t>Số tiền phí                được để lại</w:t>
            </w:r>
          </w:p>
        </w:tc>
        <w:tc>
          <w:tcPr>
            <w:tcW w:w="624" w:type="dxa"/>
            <w:vAlign w:val="center"/>
            <w:hideMark/>
          </w:tcPr>
          <w:p w14:paraId="7B8DAD0A" w14:textId="77777777" w:rsidR="00C33646" w:rsidRPr="0060285B" w:rsidRDefault="00C33646" w:rsidP="00ED38FC">
            <w:pPr>
              <w:spacing w:after="20"/>
              <w:rPr>
                <w:sz w:val="28"/>
                <w:szCs w:val="28"/>
              </w:rPr>
            </w:pPr>
            <w:r w:rsidRPr="0060285B">
              <w:rPr>
                <w:rStyle w:val="fontstyle01"/>
                <w:sz w:val="28"/>
                <w:szCs w:val="28"/>
              </w:rPr>
              <w:t xml:space="preserve">= </w:t>
            </w:r>
          </w:p>
        </w:tc>
        <w:tc>
          <w:tcPr>
            <w:tcW w:w="5205" w:type="dxa"/>
            <w:vAlign w:val="center"/>
            <w:hideMark/>
          </w:tcPr>
          <w:p w14:paraId="05344F2C" w14:textId="77777777" w:rsidR="00C33646" w:rsidRPr="0060285B" w:rsidRDefault="00C33646" w:rsidP="00ED38FC">
            <w:pPr>
              <w:spacing w:after="20"/>
              <w:rPr>
                <w:sz w:val="28"/>
                <w:szCs w:val="28"/>
              </w:rPr>
            </w:pPr>
            <w:r w:rsidRPr="0060285B">
              <w:rPr>
                <w:rStyle w:val="fontstyle01"/>
                <w:sz w:val="28"/>
                <w:szCs w:val="28"/>
              </w:rPr>
              <w:t xml:space="preserve">Số tiền phí thu </w:t>
            </w:r>
            <w:proofErr w:type="gramStart"/>
            <w:r w:rsidRPr="0060285B">
              <w:rPr>
                <w:rStyle w:val="fontstyle01"/>
                <w:sz w:val="28"/>
                <w:szCs w:val="28"/>
              </w:rPr>
              <w:t>được  x</w:t>
            </w:r>
            <w:proofErr w:type="gramEnd"/>
            <w:r w:rsidRPr="0060285B">
              <w:rPr>
                <w:rStyle w:val="fontstyle01"/>
                <w:sz w:val="28"/>
                <w:szCs w:val="28"/>
              </w:rPr>
              <w:t xml:space="preserve">  Tỷ lệ để lại</w:t>
            </w:r>
          </w:p>
        </w:tc>
      </w:tr>
    </w:tbl>
    <w:p w14:paraId="75B8AEBD" w14:textId="77777777" w:rsidR="00C33646" w:rsidRPr="0060285B" w:rsidRDefault="00C33646" w:rsidP="00C33646">
      <w:pPr>
        <w:widowControl w:val="0"/>
        <w:spacing w:before="120" w:after="120"/>
        <w:rPr>
          <w:sz w:val="28"/>
          <w:szCs w:val="28"/>
        </w:rPr>
      </w:pPr>
      <w:r w:rsidRPr="0060285B">
        <w:rPr>
          <w:sz w:val="28"/>
          <w:szCs w:val="28"/>
        </w:rPr>
        <w:tab/>
        <w:t>- Tỷ lệ để lại được xác định như sau:</w:t>
      </w:r>
    </w:p>
    <w:tbl>
      <w:tblPr>
        <w:tblW w:w="0" w:type="auto"/>
        <w:tblInd w:w="461" w:type="dxa"/>
        <w:tblLook w:val="04A0" w:firstRow="1" w:lastRow="0" w:firstColumn="1" w:lastColumn="0" w:noHBand="0" w:noVBand="1"/>
      </w:tblPr>
      <w:tblGrid>
        <w:gridCol w:w="1526"/>
        <w:gridCol w:w="567"/>
        <w:gridCol w:w="5245"/>
        <w:gridCol w:w="567"/>
        <w:gridCol w:w="708"/>
      </w:tblGrid>
      <w:tr w:rsidR="00C33646" w:rsidRPr="0060285B" w14:paraId="0141984F" w14:textId="77777777" w:rsidTr="00ED38FC">
        <w:tc>
          <w:tcPr>
            <w:tcW w:w="1526" w:type="dxa"/>
            <w:vMerge w:val="restart"/>
            <w:shd w:val="clear" w:color="auto" w:fill="auto"/>
            <w:vAlign w:val="center"/>
          </w:tcPr>
          <w:p w14:paraId="49149167" w14:textId="77777777" w:rsidR="00C33646" w:rsidRPr="0060285B" w:rsidRDefault="00C33646" w:rsidP="00ED38FC">
            <w:pPr>
              <w:widowControl w:val="0"/>
              <w:spacing w:after="20"/>
              <w:jc w:val="center"/>
              <w:rPr>
                <w:sz w:val="28"/>
                <w:szCs w:val="28"/>
              </w:rPr>
            </w:pPr>
            <w:r w:rsidRPr="0060285B">
              <w:rPr>
                <w:sz w:val="28"/>
                <w:szCs w:val="28"/>
              </w:rPr>
              <w:t>Tỷ lệ để lại (%)</w:t>
            </w:r>
          </w:p>
        </w:tc>
        <w:tc>
          <w:tcPr>
            <w:tcW w:w="567" w:type="dxa"/>
            <w:vMerge w:val="restart"/>
            <w:shd w:val="clear" w:color="auto" w:fill="auto"/>
            <w:vAlign w:val="center"/>
          </w:tcPr>
          <w:p w14:paraId="351B094A" w14:textId="77777777" w:rsidR="00C33646" w:rsidRPr="0060285B" w:rsidRDefault="00C33646" w:rsidP="00ED38FC">
            <w:pPr>
              <w:widowControl w:val="0"/>
              <w:spacing w:after="20"/>
              <w:jc w:val="center"/>
              <w:rPr>
                <w:sz w:val="28"/>
                <w:szCs w:val="28"/>
              </w:rPr>
            </w:pPr>
            <w:r w:rsidRPr="0060285B">
              <w:rPr>
                <w:sz w:val="28"/>
                <w:szCs w:val="28"/>
              </w:rPr>
              <w:t>=</w:t>
            </w:r>
          </w:p>
        </w:tc>
        <w:tc>
          <w:tcPr>
            <w:tcW w:w="5245" w:type="dxa"/>
            <w:shd w:val="clear" w:color="auto" w:fill="auto"/>
          </w:tcPr>
          <w:p w14:paraId="694032CC" w14:textId="2E877130" w:rsidR="00C33646" w:rsidRPr="0060285B" w:rsidRDefault="00C33646" w:rsidP="00ED38FC">
            <w:pPr>
              <w:widowControl w:val="0"/>
              <w:spacing w:after="20"/>
              <w:jc w:val="center"/>
              <w:rPr>
                <w:sz w:val="28"/>
                <w:szCs w:val="28"/>
              </w:rPr>
            </w:pPr>
            <w:r w:rsidRPr="0060285B">
              <w:rPr>
                <w:noProof/>
                <w:sz w:val="28"/>
                <w:szCs w:val="28"/>
              </w:rPr>
              <mc:AlternateContent>
                <mc:Choice Requires="wps">
                  <w:drawing>
                    <wp:anchor distT="0" distB="0" distL="114300" distR="114300" simplePos="0" relativeHeight="251663360" behindDoc="0" locked="0" layoutInCell="1" allowOverlap="1" wp14:anchorId="4BF943B9" wp14:editId="7978E8C9">
                      <wp:simplePos x="0" y="0"/>
                      <wp:positionH relativeFrom="column">
                        <wp:posOffset>170180</wp:posOffset>
                      </wp:positionH>
                      <wp:positionV relativeFrom="paragraph">
                        <wp:posOffset>408940</wp:posOffset>
                      </wp:positionV>
                      <wp:extent cx="2855595" cy="0"/>
                      <wp:effectExtent l="5080" t="10160" r="635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5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42D7EE" id="_x0000_t32" coordsize="21600,21600" o:spt="32" o:oned="t" path="m,l21600,21600e" filled="f">
                      <v:path arrowok="t" fillok="f" o:connecttype="none"/>
                      <o:lock v:ext="edit" shapetype="t"/>
                    </v:shapetype>
                    <v:shape id="Straight Arrow Connector 5" o:spid="_x0000_s1026" type="#_x0000_t32" style="position:absolute;margin-left:13.4pt;margin-top:32.2pt;width:22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"/>
                  </w:pict>
                </mc:Fallback>
              </mc:AlternateContent>
            </w:r>
            <w:r w:rsidRPr="0060285B">
              <w:rPr>
                <w:rStyle w:val="fontstyle01"/>
                <w:sz w:val="28"/>
                <w:szCs w:val="28"/>
              </w:rPr>
              <w:t>Dự toán cả năm về chi phí cần thiết cho các hoạt động thu phí</w:t>
            </w:r>
          </w:p>
        </w:tc>
        <w:tc>
          <w:tcPr>
            <w:tcW w:w="567" w:type="dxa"/>
            <w:vMerge w:val="restart"/>
            <w:shd w:val="clear" w:color="auto" w:fill="auto"/>
            <w:vAlign w:val="center"/>
          </w:tcPr>
          <w:p w14:paraId="5EE9B0EC" w14:textId="77777777" w:rsidR="00C33646" w:rsidRPr="0060285B" w:rsidRDefault="00C33646" w:rsidP="00ED38FC">
            <w:pPr>
              <w:widowControl w:val="0"/>
              <w:spacing w:after="20"/>
              <w:jc w:val="center"/>
              <w:rPr>
                <w:sz w:val="28"/>
                <w:szCs w:val="28"/>
              </w:rPr>
            </w:pPr>
            <w:r w:rsidRPr="0060285B">
              <w:rPr>
                <w:sz w:val="28"/>
                <w:szCs w:val="28"/>
              </w:rPr>
              <w:t>X</w:t>
            </w:r>
          </w:p>
        </w:tc>
        <w:tc>
          <w:tcPr>
            <w:tcW w:w="708" w:type="dxa"/>
            <w:vMerge w:val="restart"/>
            <w:shd w:val="clear" w:color="auto" w:fill="auto"/>
            <w:vAlign w:val="center"/>
          </w:tcPr>
          <w:p w14:paraId="46352E64" w14:textId="77777777" w:rsidR="00C33646" w:rsidRPr="0060285B" w:rsidRDefault="00C33646" w:rsidP="00ED38FC">
            <w:pPr>
              <w:widowControl w:val="0"/>
              <w:spacing w:after="20"/>
              <w:jc w:val="center"/>
              <w:rPr>
                <w:sz w:val="28"/>
                <w:szCs w:val="28"/>
              </w:rPr>
            </w:pPr>
            <w:r w:rsidRPr="0060285B">
              <w:rPr>
                <w:sz w:val="28"/>
                <w:szCs w:val="28"/>
              </w:rPr>
              <w:t>100</w:t>
            </w:r>
          </w:p>
        </w:tc>
      </w:tr>
      <w:tr w:rsidR="00C33646" w:rsidRPr="00D9454B" w14:paraId="7F31307D" w14:textId="77777777" w:rsidTr="00ED38FC">
        <w:trPr>
          <w:trHeight w:val="195"/>
        </w:trPr>
        <w:tc>
          <w:tcPr>
            <w:tcW w:w="1526" w:type="dxa"/>
            <w:vMerge/>
            <w:shd w:val="clear" w:color="auto" w:fill="auto"/>
          </w:tcPr>
          <w:p w14:paraId="4C7CCA57" w14:textId="77777777" w:rsidR="00C33646" w:rsidRPr="0060285B" w:rsidRDefault="00C33646" w:rsidP="00ED38FC">
            <w:pPr>
              <w:widowControl w:val="0"/>
              <w:spacing w:after="20"/>
              <w:rPr>
                <w:sz w:val="28"/>
                <w:szCs w:val="28"/>
              </w:rPr>
            </w:pPr>
          </w:p>
        </w:tc>
        <w:tc>
          <w:tcPr>
            <w:tcW w:w="567" w:type="dxa"/>
            <w:vMerge/>
            <w:shd w:val="clear" w:color="auto" w:fill="auto"/>
          </w:tcPr>
          <w:p w14:paraId="6A6B5BEC" w14:textId="77777777" w:rsidR="00C33646" w:rsidRPr="0060285B" w:rsidRDefault="00C33646" w:rsidP="00ED38FC">
            <w:pPr>
              <w:widowControl w:val="0"/>
              <w:spacing w:after="20"/>
              <w:rPr>
                <w:sz w:val="28"/>
                <w:szCs w:val="28"/>
              </w:rPr>
            </w:pPr>
          </w:p>
        </w:tc>
        <w:tc>
          <w:tcPr>
            <w:tcW w:w="5245" w:type="dxa"/>
            <w:shd w:val="clear" w:color="auto" w:fill="auto"/>
          </w:tcPr>
          <w:p w14:paraId="33B25CC1" w14:textId="77777777" w:rsidR="00C33646" w:rsidRPr="00D9454B" w:rsidRDefault="00C33646" w:rsidP="00ED38FC">
            <w:pPr>
              <w:widowControl w:val="0"/>
              <w:spacing w:after="20"/>
              <w:jc w:val="center"/>
              <w:rPr>
                <w:sz w:val="28"/>
                <w:szCs w:val="28"/>
              </w:rPr>
            </w:pPr>
            <w:r w:rsidRPr="0060285B">
              <w:rPr>
                <w:rStyle w:val="fontstyle01"/>
                <w:sz w:val="28"/>
                <w:szCs w:val="28"/>
              </w:rPr>
              <w:t>Dự toán cả năm về phí thu được</w:t>
            </w:r>
          </w:p>
        </w:tc>
        <w:tc>
          <w:tcPr>
            <w:tcW w:w="567" w:type="dxa"/>
            <w:vMerge/>
            <w:shd w:val="clear" w:color="auto" w:fill="auto"/>
          </w:tcPr>
          <w:p w14:paraId="5C9D20CB" w14:textId="77777777" w:rsidR="00C33646" w:rsidRPr="00D9454B" w:rsidRDefault="00C33646" w:rsidP="00ED38FC">
            <w:pPr>
              <w:widowControl w:val="0"/>
              <w:spacing w:after="20"/>
              <w:rPr>
                <w:sz w:val="28"/>
                <w:szCs w:val="28"/>
              </w:rPr>
            </w:pPr>
          </w:p>
        </w:tc>
        <w:tc>
          <w:tcPr>
            <w:tcW w:w="708" w:type="dxa"/>
            <w:vMerge/>
            <w:shd w:val="clear" w:color="auto" w:fill="auto"/>
          </w:tcPr>
          <w:p w14:paraId="12FFECEE" w14:textId="77777777" w:rsidR="00C33646" w:rsidRPr="00D9454B" w:rsidRDefault="00C33646" w:rsidP="00ED38FC">
            <w:pPr>
              <w:widowControl w:val="0"/>
              <w:spacing w:after="20"/>
              <w:rPr>
                <w:sz w:val="28"/>
                <w:szCs w:val="28"/>
              </w:rPr>
            </w:pPr>
          </w:p>
        </w:tc>
      </w:tr>
    </w:tbl>
    <w:p w14:paraId="1D1E16EF" w14:textId="77777777" w:rsidR="00C33646" w:rsidRPr="00D9454B" w:rsidRDefault="00C33646" w:rsidP="00C33646">
      <w:pPr>
        <w:widowControl w:val="0"/>
        <w:spacing w:after="20"/>
        <w:rPr>
          <w:sz w:val="28"/>
          <w:szCs w:val="28"/>
        </w:rPr>
      </w:pPr>
    </w:p>
    <w:p w14:paraId="26629B7A" w14:textId="77777777" w:rsidR="00C33646" w:rsidRPr="00D9454B" w:rsidRDefault="00C33646" w:rsidP="00C33646">
      <w:pPr>
        <w:spacing w:after="20"/>
        <w:rPr>
          <w:rStyle w:val="fontstyle01"/>
          <w:i/>
          <w:sz w:val="28"/>
          <w:szCs w:val="28"/>
        </w:rPr>
      </w:pPr>
      <w:r w:rsidRPr="00D9454B">
        <w:rPr>
          <w:rStyle w:val="fontstyle01"/>
          <w:i/>
          <w:sz w:val="28"/>
          <w:szCs w:val="28"/>
        </w:rPr>
        <w:tab/>
        <w:t>Trong đó:</w:t>
      </w:r>
    </w:p>
    <w:p w14:paraId="2FF36A31" w14:textId="77777777" w:rsidR="00C33646" w:rsidRPr="00D9454B" w:rsidRDefault="00C33646" w:rsidP="00C33646">
      <w:pPr>
        <w:spacing w:after="20"/>
        <w:ind w:firstLine="562"/>
        <w:rPr>
          <w:rStyle w:val="fontstyle01"/>
          <w:sz w:val="28"/>
          <w:szCs w:val="28"/>
        </w:rPr>
      </w:pPr>
      <w:r w:rsidRPr="00D9454B">
        <w:rPr>
          <w:rStyle w:val="fontstyle01"/>
          <w:sz w:val="28"/>
          <w:szCs w:val="28"/>
        </w:rPr>
        <w:tab/>
        <w:t>+ Dự toán cả năm về chi phí cần thiết cho các hoạt động thu phí được xây dựng căn cứ chế độ, tiêu chuẩn, định mức chi theo quy định.</w:t>
      </w:r>
    </w:p>
    <w:p w14:paraId="283DAF98" w14:textId="77777777" w:rsidR="00C33646" w:rsidRPr="00D9454B" w:rsidRDefault="00C33646" w:rsidP="00C33646">
      <w:pPr>
        <w:spacing w:after="20"/>
        <w:ind w:firstLine="562"/>
        <w:rPr>
          <w:rStyle w:val="fontstyle01"/>
          <w:sz w:val="28"/>
          <w:szCs w:val="28"/>
        </w:rPr>
      </w:pPr>
      <w:r w:rsidRPr="00D9454B">
        <w:rPr>
          <w:rStyle w:val="fontstyle01"/>
          <w:sz w:val="28"/>
          <w:szCs w:val="28"/>
        </w:rPr>
        <w:tab/>
        <w:t>+ Dự toán cả năm về phí thu được do tổ chức thu thực hiện được xây</w:t>
      </w:r>
      <w:r w:rsidRPr="00D9454B">
        <w:rPr>
          <w:sz w:val="28"/>
          <w:szCs w:val="28"/>
        </w:rPr>
        <w:br/>
      </w:r>
      <w:r w:rsidRPr="00D9454B">
        <w:rPr>
          <w:rStyle w:val="fontstyle01"/>
          <w:sz w:val="28"/>
          <w:szCs w:val="28"/>
        </w:rPr>
        <w:t>dựng căn cứ mức phí dự kiến thu và số lượng hồ sơ thực hiện trong năm.</w:t>
      </w:r>
    </w:p>
    <w:p w14:paraId="6186333B" w14:textId="77777777" w:rsidR="00C33646" w:rsidRPr="00E873A4" w:rsidRDefault="00C33646" w:rsidP="00C33646">
      <w:pPr>
        <w:spacing w:after="20"/>
        <w:ind w:firstLine="567"/>
        <w:rPr>
          <w:rStyle w:val="fontstyle01"/>
          <w:sz w:val="28"/>
          <w:szCs w:val="28"/>
        </w:rPr>
      </w:pPr>
      <w:r w:rsidRPr="00E873A4">
        <w:rPr>
          <w:rStyle w:val="fontstyle01"/>
          <w:sz w:val="28"/>
          <w:szCs w:val="28"/>
        </w:rPr>
        <w:t>- Dự kiến mức thu, chi năm 2024:</w:t>
      </w:r>
    </w:p>
    <w:p w14:paraId="7468568A" w14:textId="77777777" w:rsidR="00C33646" w:rsidRPr="00E873A4" w:rsidRDefault="00C33646" w:rsidP="00C33646">
      <w:pPr>
        <w:spacing w:after="20"/>
        <w:ind w:firstLine="567"/>
        <w:rPr>
          <w:rFonts w:eastAsia="Times New Roman"/>
          <w:bCs/>
          <w:sz w:val="28"/>
          <w:szCs w:val="28"/>
        </w:rPr>
      </w:pPr>
      <w:r w:rsidRPr="00E873A4">
        <w:rPr>
          <w:sz w:val="28"/>
          <w:szCs w:val="28"/>
        </w:rPr>
        <w:t xml:space="preserve"> + </w:t>
      </w:r>
      <w:r>
        <w:rPr>
          <w:bCs/>
          <w:sz w:val="28"/>
          <w:szCs w:val="28"/>
        </w:rPr>
        <w:t>T</w:t>
      </w:r>
      <w:r w:rsidRPr="00E873A4">
        <w:rPr>
          <w:bCs/>
          <w:sz w:val="28"/>
          <w:szCs w:val="28"/>
        </w:rPr>
        <w:t xml:space="preserve">ổng thu trong năm: </w:t>
      </w:r>
      <w:r>
        <w:rPr>
          <w:rFonts w:eastAsia="Times New Roman"/>
          <w:bCs/>
          <w:sz w:val="28"/>
          <w:szCs w:val="28"/>
        </w:rPr>
        <w:t>12.561.709.250</w:t>
      </w:r>
      <w:r w:rsidRPr="00E873A4">
        <w:rPr>
          <w:rFonts w:eastAsia="Times New Roman"/>
          <w:bCs/>
          <w:sz w:val="28"/>
          <w:szCs w:val="28"/>
        </w:rPr>
        <w:t xml:space="preserve"> </w:t>
      </w:r>
      <w:r w:rsidRPr="00E873A4">
        <w:rPr>
          <w:bCs/>
          <w:sz w:val="28"/>
          <w:szCs w:val="28"/>
        </w:rPr>
        <w:t>đồng.</w:t>
      </w:r>
    </w:p>
    <w:p w14:paraId="61CCF2DA" w14:textId="77777777" w:rsidR="00C33646" w:rsidRPr="00E873A4" w:rsidRDefault="00C33646" w:rsidP="00C33646">
      <w:pPr>
        <w:spacing w:after="20"/>
        <w:rPr>
          <w:sz w:val="28"/>
          <w:szCs w:val="28"/>
          <w:lang w:val="vi-VN"/>
        </w:rPr>
      </w:pPr>
      <w:r w:rsidRPr="00E873A4">
        <w:rPr>
          <w:sz w:val="28"/>
          <w:szCs w:val="28"/>
        </w:rPr>
        <w:t xml:space="preserve">         + </w:t>
      </w:r>
      <w:r>
        <w:rPr>
          <w:sz w:val="28"/>
          <w:szCs w:val="28"/>
        </w:rPr>
        <w:t>T</w:t>
      </w:r>
      <w:r w:rsidRPr="00E873A4">
        <w:rPr>
          <w:sz w:val="28"/>
          <w:szCs w:val="28"/>
        </w:rPr>
        <w:t xml:space="preserve">ổng chi trong năm: </w:t>
      </w:r>
      <w:r w:rsidRPr="00E873A4">
        <w:rPr>
          <w:rFonts w:eastAsia="Times New Roman"/>
          <w:bCs/>
          <w:sz w:val="28"/>
          <w:szCs w:val="28"/>
        </w:rPr>
        <w:t>10.376.884.667</w:t>
      </w:r>
      <w:r w:rsidRPr="00E873A4">
        <w:rPr>
          <w:sz w:val="28"/>
          <w:szCs w:val="28"/>
        </w:rPr>
        <w:t xml:space="preserve"> đồng</w:t>
      </w:r>
      <w:r w:rsidRPr="00E873A4">
        <w:rPr>
          <w:sz w:val="28"/>
          <w:szCs w:val="28"/>
          <w:lang w:val="vi-VN"/>
        </w:rPr>
        <w:t>.</w:t>
      </w:r>
    </w:p>
    <w:tbl>
      <w:tblPr>
        <w:tblW w:w="0" w:type="auto"/>
        <w:tblInd w:w="1101" w:type="dxa"/>
        <w:tblLook w:val="04A0" w:firstRow="1" w:lastRow="0" w:firstColumn="1" w:lastColumn="0" w:noHBand="0" w:noVBand="1"/>
      </w:tblPr>
      <w:tblGrid>
        <w:gridCol w:w="2126"/>
        <w:gridCol w:w="567"/>
        <w:gridCol w:w="2693"/>
        <w:gridCol w:w="567"/>
        <w:gridCol w:w="1985"/>
      </w:tblGrid>
      <w:tr w:rsidR="00C33646" w:rsidRPr="00E873A4" w14:paraId="6E63CFF8" w14:textId="77777777" w:rsidTr="00ED38FC">
        <w:tc>
          <w:tcPr>
            <w:tcW w:w="2126" w:type="dxa"/>
            <w:vMerge w:val="restart"/>
            <w:shd w:val="clear" w:color="auto" w:fill="auto"/>
            <w:vAlign w:val="center"/>
          </w:tcPr>
          <w:p w14:paraId="0E8D85D1" w14:textId="77777777" w:rsidR="00C33646" w:rsidRPr="00E873A4" w:rsidRDefault="00C33646" w:rsidP="00ED38FC">
            <w:pPr>
              <w:widowControl w:val="0"/>
              <w:spacing w:after="20"/>
              <w:jc w:val="center"/>
              <w:rPr>
                <w:sz w:val="28"/>
                <w:szCs w:val="28"/>
              </w:rPr>
            </w:pPr>
            <w:r w:rsidRPr="00E873A4">
              <w:rPr>
                <w:sz w:val="28"/>
                <w:szCs w:val="28"/>
              </w:rPr>
              <w:t>Tỷ lệ để lại (%)</w:t>
            </w:r>
          </w:p>
        </w:tc>
        <w:tc>
          <w:tcPr>
            <w:tcW w:w="567" w:type="dxa"/>
            <w:vMerge w:val="restart"/>
            <w:shd w:val="clear" w:color="auto" w:fill="auto"/>
            <w:vAlign w:val="center"/>
          </w:tcPr>
          <w:p w14:paraId="665356A0" w14:textId="77777777" w:rsidR="00C33646" w:rsidRPr="00E873A4" w:rsidRDefault="00C33646" w:rsidP="00ED38FC">
            <w:pPr>
              <w:widowControl w:val="0"/>
              <w:spacing w:after="20"/>
              <w:jc w:val="center"/>
              <w:rPr>
                <w:sz w:val="28"/>
                <w:szCs w:val="28"/>
              </w:rPr>
            </w:pPr>
            <w:r w:rsidRPr="00E873A4">
              <w:rPr>
                <w:sz w:val="28"/>
                <w:szCs w:val="28"/>
              </w:rPr>
              <w:t>=</w:t>
            </w:r>
          </w:p>
        </w:tc>
        <w:tc>
          <w:tcPr>
            <w:tcW w:w="2693" w:type="dxa"/>
            <w:shd w:val="clear" w:color="auto" w:fill="auto"/>
          </w:tcPr>
          <w:p w14:paraId="262F1EB4" w14:textId="51A8D4D4" w:rsidR="00C33646" w:rsidRPr="00E873A4" w:rsidRDefault="00C33646" w:rsidP="00ED38FC">
            <w:pPr>
              <w:widowControl w:val="0"/>
              <w:spacing w:after="20"/>
              <w:rPr>
                <w:sz w:val="28"/>
                <w:szCs w:val="28"/>
              </w:rPr>
            </w:pPr>
            <w:r w:rsidRPr="00E873A4">
              <w:rPr>
                <w:rFonts w:eastAsia="Times New Roman"/>
                <w:bCs/>
                <w:noProof/>
                <w:sz w:val="28"/>
                <w:szCs w:val="28"/>
              </w:rPr>
              <mc:AlternateContent>
                <mc:Choice Requires="wps">
                  <w:drawing>
                    <wp:anchor distT="0" distB="0" distL="114300" distR="114300" simplePos="0" relativeHeight="251664384" behindDoc="0" locked="0" layoutInCell="1" allowOverlap="1" wp14:anchorId="34A7EFAB" wp14:editId="08AF8C5F">
                      <wp:simplePos x="0" y="0"/>
                      <wp:positionH relativeFrom="column">
                        <wp:posOffset>-12700</wp:posOffset>
                      </wp:positionH>
                      <wp:positionV relativeFrom="paragraph">
                        <wp:posOffset>211455</wp:posOffset>
                      </wp:positionV>
                      <wp:extent cx="1562100" cy="0"/>
                      <wp:effectExtent l="9525" t="8890" r="952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C1E12" id="Straight Arrow Connector 4" o:spid="_x0000_s1026" type="#_x0000_t32" style="position:absolute;margin-left:-1pt;margin-top:16.65pt;width:12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Vq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"/>
                  </w:pict>
                </mc:Fallback>
              </mc:AlternateContent>
            </w:r>
            <w:r w:rsidRPr="00E873A4">
              <w:rPr>
                <w:rFonts w:eastAsia="Times New Roman"/>
                <w:bCs/>
                <w:sz w:val="28"/>
                <w:szCs w:val="28"/>
              </w:rPr>
              <w:t>10.376.884.667</w:t>
            </w:r>
            <w:r w:rsidRPr="00E873A4">
              <w:rPr>
                <w:sz w:val="28"/>
                <w:szCs w:val="28"/>
              </w:rPr>
              <w:t xml:space="preserve"> đồng</w:t>
            </w:r>
          </w:p>
        </w:tc>
        <w:tc>
          <w:tcPr>
            <w:tcW w:w="567" w:type="dxa"/>
            <w:vMerge w:val="restart"/>
            <w:shd w:val="clear" w:color="auto" w:fill="auto"/>
            <w:vAlign w:val="center"/>
          </w:tcPr>
          <w:p w14:paraId="78B9AC6A" w14:textId="77777777" w:rsidR="00C33646" w:rsidRPr="00E873A4" w:rsidRDefault="00C33646" w:rsidP="00ED38FC">
            <w:pPr>
              <w:widowControl w:val="0"/>
              <w:spacing w:after="20"/>
              <w:jc w:val="center"/>
              <w:rPr>
                <w:sz w:val="28"/>
                <w:szCs w:val="28"/>
              </w:rPr>
            </w:pPr>
            <w:r w:rsidRPr="00E873A4">
              <w:rPr>
                <w:sz w:val="28"/>
                <w:szCs w:val="28"/>
              </w:rPr>
              <w:t>X</w:t>
            </w:r>
          </w:p>
        </w:tc>
        <w:tc>
          <w:tcPr>
            <w:tcW w:w="1985" w:type="dxa"/>
            <w:vMerge w:val="restart"/>
            <w:shd w:val="clear" w:color="auto" w:fill="auto"/>
            <w:vAlign w:val="center"/>
          </w:tcPr>
          <w:p w14:paraId="06185439" w14:textId="77777777" w:rsidR="00C33646" w:rsidRPr="00E873A4" w:rsidRDefault="00C33646" w:rsidP="00ED38FC">
            <w:pPr>
              <w:widowControl w:val="0"/>
              <w:spacing w:after="20"/>
              <w:jc w:val="center"/>
              <w:rPr>
                <w:sz w:val="28"/>
                <w:szCs w:val="28"/>
              </w:rPr>
            </w:pPr>
            <w:r w:rsidRPr="00E873A4">
              <w:rPr>
                <w:sz w:val="28"/>
                <w:szCs w:val="28"/>
              </w:rPr>
              <w:t xml:space="preserve">100 = </w:t>
            </w:r>
            <w:r>
              <w:rPr>
                <w:sz w:val="28"/>
                <w:szCs w:val="28"/>
              </w:rPr>
              <w:t>82,61</w:t>
            </w:r>
            <w:r w:rsidRPr="00E873A4">
              <w:rPr>
                <w:sz w:val="28"/>
                <w:szCs w:val="28"/>
              </w:rPr>
              <w:t>%</w:t>
            </w:r>
          </w:p>
        </w:tc>
      </w:tr>
      <w:tr w:rsidR="00C33646" w14:paraId="5BEDF9FE" w14:textId="77777777" w:rsidTr="00ED38FC">
        <w:trPr>
          <w:trHeight w:val="195"/>
        </w:trPr>
        <w:tc>
          <w:tcPr>
            <w:tcW w:w="2126" w:type="dxa"/>
            <w:vMerge/>
            <w:shd w:val="clear" w:color="auto" w:fill="auto"/>
          </w:tcPr>
          <w:p w14:paraId="062E3EF4" w14:textId="77777777" w:rsidR="00C33646" w:rsidRDefault="00C33646" w:rsidP="00ED38FC">
            <w:pPr>
              <w:widowControl w:val="0"/>
              <w:spacing w:after="20"/>
            </w:pPr>
          </w:p>
        </w:tc>
        <w:tc>
          <w:tcPr>
            <w:tcW w:w="567" w:type="dxa"/>
            <w:vMerge/>
            <w:shd w:val="clear" w:color="auto" w:fill="auto"/>
          </w:tcPr>
          <w:p w14:paraId="3731D2CF" w14:textId="77777777" w:rsidR="00C33646" w:rsidRDefault="00C33646" w:rsidP="00ED38FC">
            <w:pPr>
              <w:widowControl w:val="0"/>
              <w:spacing w:after="20"/>
            </w:pPr>
          </w:p>
        </w:tc>
        <w:tc>
          <w:tcPr>
            <w:tcW w:w="2693" w:type="dxa"/>
            <w:shd w:val="clear" w:color="auto" w:fill="auto"/>
          </w:tcPr>
          <w:p w14:paraId="0D712392" w14:textId="77777777" w:rsidR="00C33646" w:rsidRPr="00E873A4" w:rsidRDefault="00C33646" w:rsidP="00ED38FC">
            <w:pPr>
              <w:widowControl w:val="0"/>
              <w:spacing w:after="20"/>
              <w:jc w:val="center"/>
              <w:rPr>
                <w:sz w:val="28"/>
                <w:szCs w:val="28"/>
              </w:rPr>
            </w:pPr>
            <w:r>
              <w:rPr>
                <w:rFonts w:eastAsia="Times New Roman"/>
                <w:bCs/>
                <w:sz w:val="28"/>
                <w:szCs w:val="28"/>
              </w:rPr>
              <w:t>12.561.709.250</w:t>
            </w:r>
            <w:r w:rsidRPr="00E873A4">
              <w:rPr>
                <w:sz w:val="28"/>
                <w:szCs w:val="28"/>
              </w:rPr>
              <w:t xml:space="preserve"> đồng</w:t>
            </w:r>
          </w:p>
        </w:tc>
        <w:tc>
          <w:tcPr>
            <w:tcW w:w="567" w:type="dxa"/>
            <w:vMerge/>
            <w:shd w:val="clear" w:color="auto" w:fill="auto"/>
          </w:tcPr>
          <w:p w14:paraId="486E5FBF" w14:textId="77777777" w:rsidR="00C33646" w:rsidRDefault="00C33646" w:rsidP="00ED38FC">
            <w:pPr>
              <w:widowControl w:val="0"/>
              <w:spacing w:after="20"/>
            </w:pPr>
          </w:p>
        </w:tc>
        <w:tc>
          <w:tcPr>
            <w:tcW w:w="1985" w:type="dxa"/>
            <w:vMerge/>
            <w:shd w:val="clear" w:color="auto" w:fill="auto"/>
          </w:tcPr>
          <w:p w14:paraId="4D5BF5B5" w14:textId="77777777" w:rsidR="00C33646" w:rsidRDefault="00C33646" w:rsidP="00ED38FC">
            <w:pPr>
              <w:widowControl w:val="0"/>
              <w:spacing w:after="20"/>
            </w:pPr>
          </w:p>
        </w:tc>
      </w:tr>
    </w:tbl>
    <w:p w14:paraId="5D9CDCD6" w14:textId="539C6BED" w:rsidR="00CE28F1" w:rsidRDefault="00C33646" w:rsidP="00CE28F1">
      <w:r w:rsidRPr="00A4513A">
        <w:rPr>
          <w:rStyle w:val="fontstyle01"/>
          <w:sz w:val="28"/>
          <w:szCs w:val="28"/>
        </w:rPr>
        <w:t>Như vậy, theo dự toán thu, chi một năm thì mức chi chiế</w:t>
      </w:r>
      <w:r>
        <w:rPr>
          <w:rStyle w:val="fontstyle01"/>
          <w:sz w:val="28"/>
          <w:szCs w:val="28"/>
        </w:rPr>
        <w:t>m 82,61</w:t>
      </w:r>
      <w:r w:rsidRPr="00A4513A">
        <w:rPr>
          <w:rStyle w:val="fontstyle01"/>
          <w:sz w:val="28"/>
          <w:szCs w:val="28"/>
        </w:rPr>
        <w:t xml:space="preserve">% dự </w:t>
      </w:r>
      <w:r w:rsidRPr="00D9454B">
        <w:rPr>
          <w:rStyle w:val="fontstyle01"/>
          <w:sz w:val="28"/>
          <w:szCs w:val="28"/>
        </w:rPr>
        <w:t xml:space="preserve">toán thu. Vì vậy, đề xuất </w:t>
      </w:r>
      <w:r>
        <w:rPr>
          <w:spacing w:val="-2"/>
          <w:sz w:val="28"/>
          <w:szCs w:val="28"/>
        </w:rPr>
        <w:t xml:space="preserve">tỷ lệ trích lại đối với phí trong lĩnh vực đất đai cho Văn phòng Đăng ký đất đai, các Chi nhánh Văn phòng Đăng ký đất đai </w:t>
      </w:r>
      <w:r>
        <w:rPr>
          <w:rStyle w:val="fontstyle01"/>
          <w:sz w:val="28"/>
          <w:szCs w:val="28"/>
        </w:rPr>
        <w:t>là</w:t>
      </w:r>
      <w:r w:rsidRPr="00D9454B">
        <w:rPr>
          <w:rStyle w:val="fontstyle01"/>
          <w:sz w:val="28"/>
          <w:szCs w:val="28"/>
        </w:rPr>
        <w:t xml:space="preserve"> </w:t>
      </w:r>
      <w:r>
        <w:rPr>
          <w:rStyle w:val="fontstyle01"/>
          <w:sz w:val="28"/>
          <w:szCs w:val="28"/>
        </w:rPr>
        <w:t>80</w:t>
      </w:r>
      <w:r w:rsidRPr="00D9454B">
        <w:rPr>
          <w:rStyle w:val="fontstyle01"/>
          <w:sz w:val="28"/>
          <w:szCs w:val="28"/>
        </w:rPr>
        <w:t xml:space="preserve">% </w:t>
      </w:r>
      <w:r w:rsidRPr="00D9454B">
        <w:rPr>
          <w:rStyle w:val="fontstyle31"/>
          <w:sz w:val="28"/>
          <w:szCs w:val="28"/>
        </w:rPr>
        <w:t>(</w:t>
      </w:r>
      <w:r>
        <w:rPr>
          <w:rStyle w:val="fontstyle31"/>
          <w:sz w:val="28"/>
          <w:szCs w:val="28"/>
        </w:rPr>
        <w:t>Tám mươi lăm</w:t>
      </w:r>
      <w:r w:rsidRPr="00D9454B">
        <w:rPr>
          <w:rStyle w:val="fontstyle31"/>
          <w:sz w:val="28"/>
          <w:szCs w:val="28"/>
        </w:rPr>
        <w:t xml:space="preserve"> phần trăm) </w:t>
      </w:r>
      <w:r w:rsidRPr="00D9454B">
        <w:rPr>
          <w:rStyle w:val="fontstyle31"/>
          <w:i w:val="0"/>
          <w:sz w:val="28"/>
          <w:szCs w:val="28"/>
        </w:rPr>
        <w:t xml:space="preserve">số </w:t>
      </w:r>
      <w:r w:rsidRPr="00D9454B">
        <w:rPr>
          <w:rStyle w:val="fontstyle01"/>
          <w:sz w:val="28"/>
          <w:szCs w:val="28"/>
        </w:rPr>
        <w:t xml:space="preserve">tiền phí thu được trước khi nộp vào ngân sách Nhà nước để trang trải chi phí cho </w:t>
      </w:r>
      <w:r>
        <w:rPr>
          <w:rStyle w:val="fontstyle01"/>
          <w:sz w:val="28"/>
          <w:szCs w:val="28"/>
        </w:rPr>
        <w:t>hoạt động thu phí</w:t>
      </w:r>
      <w:r w:rsidRPr="00D9454B">
        <w:rPr>
          <w:rStyle w:val="fontstyle01"/>
          <w:sz w:val="28"/>
          <w:szCs w:val="28"/>
        </w:rPr>
        <w:t xml:space="preserve"> theo chế độ quy định.</w:t>
      </w:r>
    </w:p>
    <w:p w14:paraId="65D0D5EE" w14:textId="77777777" w:rsidR="00CE28F1" w:rsidRDefault="00CE28F1" w:rsidP="00CE28F1"/>
    <w:p w14:paraId="17AC03A6" w14:textId="77777777" w:rsidR="00CE28F1" w:rsidRDefault="00CE28F1" w:rsidP="00CE28F1"/>
    <w:p w14:paraId="3D14B845" w14:textId="77777777" w:rsidR="00050C75" w:rsidRDefault="00050C75"/>
    <w:sectPr w:rsidR="00050C75" w:rsidSect="00F56B3C">
      <w:headerReference w:type="default" r:id="rId7"/>
      <w:footerReference w:type="default" r:id="rId8"/>
      <w:pgSz w:w="11906" w:h="16838" w:code="9"/>
      <w:pgMar w:top="1021" w:right="1021" w:bottom="102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14DA" w14:textId="77777777" w:rsidR="00254E36" w:rsidRDefault="00254E36">
      <w:pPr>
        <w:spacing w:after="0"/>
      </w:pPr>
      <w:r>
        <w:separator/>
      </w:r>
    </w:p>
  </w:endnote>
  <w:endnote w:type="continuationSeparator" w:id="0">
    <w:p w14:paraId="0A71512A" w14:textId="77777777" w:rsidR="00254E36" w:rsidRDefault="00254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0DD0" w14:textId="77777777" w:rsidR="0098094A" w:rsidRDefault="009809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0062" w14:textId="77777777" w:rsidR="00254E36" w:rsidRDefault="00254E36">
      <w:pPr>
        <w:spacing w:after="0"/>
      </w:pPr>
      <w:r>
        <w:separator/>
      </w:r>
    </w:p>
  </w:footnote>
  <w:footnote w:type="continuationSeparator" w:id="0">
    <w:p w14:paraId="579E5A36" w14:textId="77777777" w:rsidR="00254E36" w:rsidRDefault="00254E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931316"/>
      <w:docPartObj>
        <w:docPartGallery w:val="Page Numbers (Top of Page)"/>
        <w:docPartUnique/>
      </w:docPartObj>
    </w:sdtPr>
    <w:sdtEndPr>
      <w:rPr>
        <w:noProof/>
      </w:rPr>
    </w:sdtEndPr>
    <w:sdtContent>
      <w:p w14:paraId="0AB41117" w14:textId="77777777" w:rsidR="0098094A" w:rsidRDefault="00246BA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9004F9C" w14:textId="77777777" w:rsidR="0098094A" w:rsidRDefault="00980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57DE8"/>
    <w:multiLevelType w:val="hybridMultilevel"/>
    <w:tmpl w:val="11F2E8E6"/>
    <w:lvl w:ilvl="0" w:tplc="A04C13A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11C5B"/>
    <w:multiLevelType w:val="hybridMultilevel"/>
    <w:tmpl w:val="EA788A7C"/>
    <w:lvl w:ilvl="0" w:tplc="1C9E5CD6">
      <w:start w:val="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6A946DA3"/>
    <w:multiLevelType w:val="hybridMultilevel"/>
    <w:tmpl w:val="1B640D84"/>
    <w:lvl w:ilvl="0" w:tplc="D318BA3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D396C"/>
    <w:multiLevelType w:val="hybridMultilevel"/>
    <w:tmpl w:val="6DACD2D4"/>
    <w:lvl w:ilvl="0" w:tplc="121C1AE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C96B89"/>
    <w:multiLevelType w:val="hybridMultilevel"/>
    <w:tmpl w:val="58DC43E4"/>
    <w:lvl w:ilvl="0" w:tplc="252ECCB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02798872">
    <w:abstractNumId w:val="0"/>
  </w:num>
  <w:num w:numId="2" w16cid:durableId="795375406">
    <w:abstractNumId w:val="3"/>
  </w:num>
  <w:num w:numId="3" w16cid:durableId="1030107025">
    <w:abstractNumId w:val="2"/>
  </w:num>
  <w:num w:numId="4" w16cid:durableId="1475222185">
    <w:abstractNumId w:val="1"/>
  </w:num>
  <w:num w:numId="5" w16cid:durableId="1317955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F1"/>
    <w:rsid w:val="000023E3"/>
    <w:rsid w:val="00012F2B"/>
    <w:rsid w:val="00050C75"/>
    <w:rsid w:val="000C33A6"/>
    <w:rsid w:val="000E6525"/>
    <w:rsid w:val="00246BA5"/>
    <w:rsid w:val="00254E36"/>
    <w:rsid w:val="002A62D0"/>
    <w:rsid w:val="00331420"/>
    <w:rsid w:val="00494252"/>
    <w:rsid w:val="00515B4E"/>
    <w:rsid w:val="00544BDD"/>
    <w:rsid w:val="005F3A71"/>
    <w:rsid w:val="006E03DE"/>
    <w:rsid w:val="007473D8"/>
    <w:rsid w:val="007755CE"/>
    <w:rsid w:val="0098094A"/>
    <w:rsid w:val="00A63476"/>
    <w:rsid w:val="00AF668F"/>
    <w:rsid w:val="00BB6768"/>
    <w:rsid w:val="00BF2623"/>
    <w:rsid w:val="00C33646"/>
    <w:rsid w:val="00CE28F1"/>
    <w:rsid w:val="00D8519B"/>
    <w:rsid w:val="00EA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E87B"/>
  <w15:chartTrackingRefBased/>
  <w15:docId w15:val="{364D09C1-E0D0-4593-A122-D85F7B3F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8F1"/>
    <w:pPr>
      <w:spacing w:after="60" w:line="240" w:lineRule="auto"/>
      <w:jc w:val="both"/>
    </w:pPr>
    <w:rPr>
      <w:rFonts w:ascii="Times New Roman" w:eastAsia="SimSun" w:hAnsi="Times New Roman" w:cs="Times New Roman"/>
      <w:color w:val="000000"/>
      <w:spacing w:val="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8F1"/>
    <w:pPr>
      <w:tabs>
        <w:tab w:val="center" w:pos="4680"/>
        <w:tab w:val="right" w:pos="9360"/>
      </w:tabs>
      <w:spacing w:after="0"/>
    </w:pPr>
  </w:style>
  <w:style w:type="character" w:customStyle="1" w:styleId="HeaderChar">
    <w:name w:val="Header Char"/>
    <w:basedOn w:val="DefaultParagraphFont"/>
    <w:link w:val="Header"/>
    <w:uiPriority w:val="99"/>
    <w:rsid w:val="00CE28F1"/>
    <w:rPr>
      <w:rFonts w:ascii="Times New Roman" w:eastAsia="SimSun" w:hAnsi="Times New Roman" w:cs="Times New Roman"/>
      <w:color w:val="000000"/>
      <w:spacing w:val="5"/>
      <w:sz w:val="26"/>
      <w:szCs w:val="26"/>
    </w:rPr>
  </w:style>
  <w:style w:type="paragraph" w:styleId="Footer">
    <w:name w:val="footer"/>
    <w:basedOn w:val="Normal"/>
    <w:link w:val="FooterChar"/>
    <w:uiPriority w:val="99"/>
    <w:unhideWhenUsed/>
    <w:rsid w:val="00CE28F1"/>
    <w:pPr>
      <w:tabs>
        <w:tab w:val="center" w:pos="4680"/>
        <w:tab w:val="right" w:pos="9360"/>
      </w:tabs>
      <w:spacing w:after="0"/>
    </w:pPr>
  </w:style>
  <w:style w:type="character" w:customStyle="1" w:styleId="FooterChar">
    <w:name w:val="Footer Char"/>
    <w:basedOn w:val="DefaultParagraphFont"/>
    <w:link w:val="Footer"/>
    <w:uiPriority w:val="99"/>
    <w:rsid w:val="00CE28F1"/>
    <w:rPr>
      <w:rFonts w:ascii="Times New Roman" w:eastAsia="SimSun" w:hAnsi="Times New Roman" w:cs="Times New Roman"/>
      <w:color w:val="000000"/>
      <w:spacing w:val="5"/>
      <w:sz w:val="26"/>
      <w:szCs w:val="26"/>
    </w:rPr>
  </w:style>
  <w:style w:type="table" w:styleId="TableGrid">
    <w:name w:val="Table Grid"/>
    <w:basedOn w:val="TableNormal"/>
    <w:uiPriority w:val="39"/>
    <w:rsid w:val="00CE2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28F1"/>
    <w:pPr>
      <w:ind w:left="720"/>
      <w:contextualSpacing/>
    </w:pPr>
  </w:style>
  <w:style w:type="paragraph" w:styleId="NormalWeb">
    <w:name w:val="Normal (Web)"/>
    <w:aliases w:val="Normal (Web) Char"/>
    <w:basedOn w:val="Normal"/>
    <w:uiPriority w:val="99"/>
    <w:unhideWhenUsed/>
    <w:rsid w:val="00EA6E68"/>
    <w:pPr>
      <w:spacing w:before="100" w:beforeAutospacing="1" w:after="100" w:afterAutospacing="1"/>
      <w:jc w:val="left"/>
    </w:pPr>
    <w:rPr>
      <w:rFonts w:eastAsia="Times New Roman"/>
      <w:color w:val="auto"/>
      <w:spacing w:val="0"/>
      <w:sz w:val="24"/>
      <w:szCs w:val="24"/>
    </w:rPr>
  </w:style>
  <w:style w:type="character" w:customStyle="1" w:styleId="fontstyle01">
    <w:name w:val="fontstyle01"/>
    <w:rsid w:val="00C33646"/>
    <w:rPr>
      <w:rFonts w:ascii="Times New Roman" w:hAnsi="Times New Roman" w:cs="Times New Roman" w:hint="default"/>
      <w:b w:val="0"/>
      <w:bCs w:val="0"/>
      <w:i w:val="0"/>
      <w:iCs w:val="0"/>
      <w:color w:val="000000"/>
      <w:sz w:val="24"/>
      <w:szCs w:val="24"/>
    </w:rPr>
  </w:style>
  <w:style w:type="character" w:customStyle="1" w:styleId="fontstyle31">
    <w:name w:val="fontstyle31"/>
    <w:rsid w:val="00C33646"/>
    <w:rPr>
      <w:rFonts w:ascii="Times New Roman" w:hAnsi="Times New Roman" w:cs="Times New Roman"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815971">
      <w:bodyDiv w:val="1"/>
      <w:marLeft w:val="0"/>
      <w:marRight w:val="0"/>
      <w:marTop w:val="0"/>
      <w:marBottom w:val="0"/>
      <w:divBdr>
        <w:top w:val="none" w:sz="0" w:space="0" w:color="auto"/>
        <w:left w:val="none" w:sz="0" w:space="0" w:color="auto"/>
        <w:bottom w:val="none" w:sz="0" w:space="0" w:color="auto"/>
        <w:right w:val="none" w:sz="0" w:space="0" w:color="auto"/>
      </w:divBdr>
    </w:div>
    <w:div w:id="1249384396">
      <w:bodyDiv w:val="1"/>
      <w:marLeft w:val="0"/>
      <w:marRight w:val="0"/>
      <w:marTop w:val="0"/>
      <w:marBottom w:val="0"/>
      <w:divBdr>
        <w:top w:val="none" w:sz="0" w:space="0" w:color="auto"/>
        <w:left w:val="none" w:sz="0" w:space="0" w:color="auto"/>
        <w:bottom w:val="none" w:sz="0" w:space="0" w:color="auto"/>
        <w:right w:val="none" w:sz="0" w:space="0" w:color="auto"/>
      </w:divBdr>
    </w:div>
    <w:div w:id="1420523496">
      <w:bodyDiv w:val="1"/>
      <w:marLeft w:val="0"/>
      <w:marRight w:val="0"/>
      <w:marTop w:val="0"/>
      <w:marBottom w:val="0"/>
      <w:divBdr>
        <w:top w:val="none" w:sz="0" w:space="0" w:color="auto"/>
        <w:left w:val="none" w:sz="0" w:space="0" w:color="auto"/>
        <w:bottom w:val="none" w:sz="0" w:space="0" w:color="auto"/>
        <w:right w:val="none" w:sz="0" w:space="0" w:color="auto"/>
      </w:divBdr>
    </w:div>
    <w:div w:id="17887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Linh-pc86</dc:creator>
  <cp:keywords/>
  <dc:description/>
  <cp:lastModifiedBy>Administrator</cp:lastModifiedBy>
  <cp:revision>4</cp:revision>
  <cp:lastPrinted>2025-10-24T03:01:00Z</cp:lastPrinted>
  <dcterms:created xsi:type="dcterms:W3CDTF">2025-10-23T11:09:00Z</dcterms:created>
  <dcterms:modified xsi:type="dcterms:W3CDTF">2025-10-24T03:14:00Z</dcterms:modified>
</cp:coreProperties>
</file>