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5422D9" w14:paraId="12B63E52" w14:textId="77777777" w:rsidTr="005422D9">
        <w:tc>
          <w:tcPr>
            <w:tcW w:w="7564" w:type="dxa"/>
          </w:tcPr>
          <w:p w14:paraId="437078F8" w14:textId="77777777" w:rsidR="005422D9" w:rsidRPr="000F35BA" w:rsidRDefault="005422D9" w:rsidP="005422D9">
            <w:pPr>
              <w:spacing w:before="0" w:after="0" w:line="240" w:lineRule="auto"/>
              <w:jc w:val="center"/>
              <w:rPr>
                <w:bCs/>
                <w:sz w:val="26"/>
                <w:szCs w:val="28"/>
              </w:rPr>
            </w:pPr>
            <w:r w:rsidRPr="000F35BA">
              <w:rPr>
                <w:bCs/>
                <w:sz w:val="26"/>
                <w:szCs w:val="28"/>
              </w:rPr>
              <w:t>UBND THÀNH PHỐ HẢI PHÒNG</w:t>
            </w:r>
          </w:p>
          <w:p w14:paraId="6A900237" w14:textId="7F13B32E" w:rsidR="005422D9" w:rsidRDefault="00123CD1" w:rsidP="005422D9">
            <w:pPr>
              <w:widowControl w:val="0"/>
              <w:jc w:val="center"/>
              <w:rPr>
                <w:b/>
                <w:szCs w:val="28"/>
                <w:lang w:val="vi-VN"/>
              </w:rPr>
            </w:pPr>
            <w:r>
              <w:rPr>
                <w:bCs/>
                <w:noProof/>
                <w:sz w:val="26"/>
                <w:szCs w:val="28"/>
                <w:lang w:eastAsia="zh-CN"/>
              </w:rPr>
              <mc:AlternateContent>
                <mc:Choice Requires="wps">
                  <w:drawing>
                    <wp:anchor distT="0" distB="0" distL="114300" distR="114300" simplePos="0" relativeHeight="251667456" behindDoc="0" locked="0" layoutInCell="1" allowOverlap="1" wp14:anchorId="31CDF521" wp14:editId="2A945E43">
                      <wp:simplePos x="0" y="0"/>
                      <wp:positionH relativeFrom="column">
                        <wp:posOffset>751060</wp:posOffset>
                      </wp:positionH>
                      <wp:positionV relativeFrom="paragraph">
                        <wp:posOffset>380622</wp:posOffset>
                      </wp:positionV>
                      <wp:extent cx="1423686" cy="387752"/>
                      <wp:effectExtent l="0" t="0" r="24130" b="12700"/>
                      <wp:wrapNone/>
                      <wp:docPr id="1267421099" name="Text Box 4"/>
                      <wp:cNvGraphicFramePr/>
                      <a:graphic xmlns:a="http://schemas.openxmlformats.org/drawingml/2006/main">
                        <a:graphicData uri="http://schemas.microsoft.com/office/word/2010/wordprocessingShape">
                          <wps:wsp>
                            <wps:cNvSpPr txBox="1"/>
                            <wps:spPr>
                              <a:xfrm>
                                <a:off x="0" y="0"/>
                                <a:ext cx="1423686" cy="387752"/>
                              </a:xfrm>
                              <a:prstGeom prst="rect">
                                <a:avLst/>
                              </a:prstGeom>
                              <a:solidFill>
                                <a:schemeClr val="lt1"/>
                              </a:solidFill>
                              <a:ln w="6350">
                                <a:solidFill>
                                  <a:prstClr val="black"/>
                                </a:solidFill>
                              </a:ln>
                            </wps:spPr>
                            <wps:txbx>
                              <w:txbxContent>
                                <w:p w14:paraId="3B7D2988" w14:textId="1E41C2D8" w:rsidR="00123CD1" w:rsidRPr="00123CD1" w:rsidRDefault="00123CD1">
                                  <w:pPr>
                                    <w:rPr>
                                      <w:b/>
                                      <w:bCs/>
                                      <w:color w:val="EE0000"/>
                                      <w:lang w:val="vi-VN"/>
                                    </w:rPr>
                                  </w:pPr>
                                  <w:r w:rsidRPr="00123CD1">
                                    <w:rPr>
                                      <w:b/>
                                      <w:bCs/>
                                      <w:color w:val="EE0000"/>
                                    </w:rPr>
                                    <w:t>D</w:t>
                                  </w:r>
                                  <w:r w:rsidRPr="00123CD1">
                                    <w:rPr>
                                      <w:b/>
                                      <w:bCs/>
                                      <w:color w:val="EE0000"/>
                                      <w:lang w:val="vi-VN"/>
                                    </w:rPr>
                                    <w:t>Ự THẢO</w:t>
                                  </w:r>
                                </w:p>
                                <w:p w14:paraId="37BC3B78" w14:textId="77777777" w:rsidR="00123CD1" w:rsidRPr="00123CD1" w:rsidRDefault="00123CD1" w:rsidP="00123CD1">
                                  <w:pPr>
                                    <w:jc w:val="center"/>
                                    <w:rPr>
                                      <w:b/>
                                      <w:bCs/>
                                      <w:color w:val="EE0000"/>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DF521" id="_x0000_t202" coordsize="21600,21600" o:spt="202" path="m,l,21600r21600,l21600,xe">
                      <v:stroke joinstyle="miter"/>
                      <v:path gradientshapeok="t" o:connecttype="rect"/>
                    </v:shapetype>
                    <v:shape id="Text Box 4" o:spid="_x0000_s1026" type="#_x0000_t202" style="position:absolute;left:0;text-align:left;margin-left:59.15pt;margin-top:29.95pt;width:112.1pt;height:30.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E+Nw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" fillcolor="white [3201]" strokeweight=".5pt">
                      <v:textbox>
                        <w:txbxContent>
                          <w:p w14:paraId="3B7D2988" w14:textId="1E41C2D8" w:rsidR="00123CD1" w:rsidRPr="00123CD1" w:rsidRDefault="00123CD1">
                            <w:pPr>
                              <w:rPr>
                                <w:b/>
                                <w:bCs/>
                                <w:color w:val="EE0000"/>
                                <w:lang w:val="vi-VN"/>
                              </w:rPr>
                            </w:pPr>
                            <w:r w:rsidRPr="00123CD1">
                              <w:rPr>
                                <w:b/>
                                <w:bCs/>
                                <w:color w:val="EE0000"/>
                              </w:rPr>
                              <w:t>D</w:t>
                            </w:r>
                            <w:r w:rsidRPr="00123CD1">
                              <w:rPr>
                                <w:b/>
                                <w:bCs/>
                                <w:color w:val="EE0000"/>
                                <w:lang w:val="vi-VN"/>
                              </w:rPr>
                              <w:t>Ự THẢO</w:t>
                            </w:r>
                          </w:p>
                          <w:p w14:paraId="37BC3B78" w14:textId="77777777" w:rsidR="00123CD1" w:rsidRPr="00123CD1" w:rsidRDefault="00123CD1" w:rsidP="00123CD1">
                            <w:pPr>
                              <w:jc w:val="center"/>
                              <w:rPr>
                                <w:b/>
                                <w:bCs/>
                                <w:color w:val="EE0000"/>
                                <w:lang w:val="vi-VN"/>
                              </w:rPr>
                            </w:pPr>
                          </w:p>
                        </w:txbxContent>
                      </v:textbox>
                    </v:shape>
                  </w:pict>
                </mc:Fallback>
              </mc:AlternateContent>
            </w:r>
            <w:r w:rsidR="005422D9" w:rsidRPr="000F35BA">
              <w:rPr>
                <w:bCs/>
                <w:noProof/>
                <w:sz w:val="26"/>
                <w:szCs w:val="28"/>
                <w:lang w:eastAsia="zh-CN"/>
              </w:rPr>
              <mc:AlternateContent>
                <mc:Choice Requires="wps">
                  <w:drawing>
                    <wp:anchor distT="0" distB="0" distL="114300" distR="114300" simplePos="0" relativeHeight="251665408" behindDoc="0" locked="0" layoutInCell="1" allowOverlap="1" wp14:anchorId="6C0A5920" wp14:editId="640A06FA">
                      <wp:simplePos x="0" y="0"/>
                      <wp:positionH relativeFrom="column">
                        <wp:posOffset>1578610</wp:posOffset>
                      </wp:positionH>
                      <wp:positionV relativeFrom="paragraph">
                        <wp:posOffset>245745</wp:posOffset>
                      </wp:positionV>
                      <wp:extent cx="1258431" cy="0"/>
                      <wp:effectExtent l="0" t="0" r="0" b="0"/>
                      <wp:wrapNone/>
                      <wp:docPr id="1640311944" name="Straight Connector 1640311944"/>
                      <wp:cNvGraphicFramePr/>
                      <a:graphic xmlns:a="http://schemas.openxmlformats.org/drawingml/2006/main">
                        <a:graphicData uri="http://schemas.microsoft.com/office/word/2010/wordprocessingShape">
                          <wps:wsp>
                            <wps:cNvCnPr/>
                            <wps:spPr>
                              <a:xfrm>
                                <a:off x="0" y="0"/>
                                <a:ext cx="1258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F06089" id="Straight Connector 164031194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3pt,19.35pt" to="223.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sdAmQ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" strokecolor="black [3200]" strokeweight=".5pt">
                      <v:stroke joinstyle="miter"/>
                    </v:line>
                  </w:pict>
                </mc:Fallback>
              </mc:AlternateContent>
            </w:r>
            <w:r w:rsidR="005422D9" w:rsidRPr="000F35BA">
              <w:rPr>
                <w:b/>
                <w:sz w:val="26"/>
                <w:szCs w:val="28"/>
              </w:rPr>
              <w:t>SỞ NÔNG NGHIỆP VÀ MÔI TRƯỜNG</w:t>
            </w:r>
          </w:p>
        </w:tc>
        <w:tc>
          <w:tcPr>
            <w:tcW w:w="7564" w:type="dxa"/>
          </w:tcPr>
          <w:p w14:paraId="5C2A899E" w14:textId="77777777" w:rsidR="005422D9" w:rsidRPr="00A13643" w:rsidRDefault="005422D9" w:rsidP="005422D9">
            <w:pPr>
              <w:spacing w:before="0" w:after="0" w:line="240" w:lineRule="auto"/>
              <w:jc w:val="center"/>
              <w:rPr>
                <w:b/>
                <w:sz w:val="26"/>
                <w:szCs w:val="28"/>
              </w:rPr>
            </w:pPr>
            <w:r w:rsidRPr="00A13643">
              <w:rPr>
                <w:b/>
                <w:sz w:val="26"/>
                <w:szCs w:val="28"/>
              </w:rPr>
              <w:t>CỘNG HÒA XÃ HỘI CHỦ NGHĨA VIỆT NAM</w:t>
            </w:r>
          </w:p>
          <w:p w14:paraId="66EE6111" w14:textId="77777777" w:rsidR="005422D9" w:rsidRPr="00A13643" w:rsidRDefault="005422D9" w:rsidP="005422D9">
            <w:pPr>
              <w:spacing w:before="0" w:after="0" w:line="240" w:lineRule="auto"/>
              <w:jc w:val="center"/>
              <w:rPr>
                <w:b/>
                <w:szCs w:val="28"/>
              </w:rPr>
            </w:pPr>
            <w:r w:rsidRPr="00A13643">
              <w:rPr>
                <w:b/>
                <w:szCs w:val="28"/>
              </w:rPr>
              <w:t>Độc lập - Tự do - Hạnh phúc</w:t>
            </w:r>
          </w:p>
          <w:p w14:paraId="1A56F815" w14:textId="44C4460B" w:rsidR="005422D9" w:rsidRDefault="005422D9" w:rsidP="00120CBB">
            <w:pPr>
              <w:widowControl w:val="0"/>
              <w:jc w:val="center"/>
              <w:rPr>
                <w:i/>
                <w:szCs w:val="28"/>
                <w:lang w:val="vi-VN"/>
              </w:rPr>
            </w:pPr>
            <w:r>
              <w:rPr>
                <w:i/>
                <w:noProof/>
                <w:szCs w:val="28"/>
                <w:lang w:val="vi-VN"/>
              </w:rPr>
              <mc:AlternateContent>
                <mc:Choice Requires="wps">
                  <w:drawing>
                    <wp:anchor distT="0" distB="0" distL="114300" distR="114300" simplePos="0" relativeHeight="251666432" behindDoc="0" locked="0" layoutInCell="1" allowOverlap="1" wp14:anchorId="38BFF0E8" wp14:editId="7A56E917">
                      <wp:simplePos x="0" y="0"/>
                      <wp:positionH relativeFrom="column">
                        <wp:posOffset>1268095</wp:posOffset>
                      </wp:positionH>
                      <wp:positionV relativeFrom="paragraph">
                        <wp:posOffset>43180</wp:posOffset>
                      </wp:positionV>
                      <wp:extent cx="2171700" cy="0"/>
                      <wp:effectExtent l="0" t="0" r="0" b="0"/>
                      <wp:wrapNone/>
                      <wp:docPr id="1856602689" name="Straight Connector 5"/>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F21E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9.85pt,3.4pt" to="270.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" strokecolor="#5b9bd5 [3204]" strokeweight=".5pt">
                      <v:stroke joinstyle="miter"/>
                    </v:line>
                  </w:pict>
                </mc:Fallback>
              </mc:AlternateContent>
            </w:r>
          </w:p>
          <w:p w14:paraId="31B1F2A4" w14:textId="4B8A7929" w:rsidR="005422D9" w:rsidRDefault="005422D9" w:rsidP="00120CBB">
            <w:pPr>
              <w:widowControl w:val="0"/>
              <w:jc w:val="center"/>
              <w:rPr>
                <w:b/>
                <w:szCs w:val="28"/>
                <w:lang w:val="vi-VN"/>
              </w:rPr>
            </w:pPr>
            <w:r w:rsidRPr="00A13643">
              <w:rPr>
                <w:i/>
                <w:szCs w:val="28"/>
              </w:rPr>
              <w:t>Hải Phòng, ngày         tháng        năm 2025</w:t>
            </w:r>
          </w:p>
        </w:tc>
      </w:tr>
    </w:tbl>
    <w:p w14:paraId="48B48A25" w14:textId="2DCB65AF" w:rsidR="005422D9" w:rsidRPr="00791D17" w:rsidRDefault="00123CD1" w:rsidP="00120CBB">
      <w:pPr>
        <w:widowControl w:val="0"/>
        <w:shd w:val="clear" w:color="auto" w:fill="FFFFFF"/>
        <w:jc w:val="center"/>
        <w:rPr>
          <w:b/>
          <w:sz w:val="6"/>
          <w:szCs w:val="6"/>
          <w:lang w:val="vi-VN"/>
        </w:rPr>
      </w:pPr>
      <w:r>
        <w:rPr>
          <w:b/>
          <w:sz w:val="6"/>
          <w:szCs w:val="6"/>
          <w:lang w:val="vi-VN"/>
        </w:rPr>
        <w:t>THẢO</w:t>
      </w:r>
    </w:p>
    <w:p w14:paraId="3318F10D" w14:textId="033CA5E2" w:rsidR="00120CBB" w:rsidRPr="00D11E44" w:rsidRDefault="00120CBB" w:rsidP="00120CBB">
      <w:pPr>
        <w:widowControl w:val="0"/>
        <w:shd w:val="clear" w:color="auto" w:fill="FFFFFF"/>
        <w:jc w:val="center"/>
        <w:rPr>
          <w:b/>
          <w:szCs w:val="28"/>
        </w:rPr>
      </w:pPr>
      <w:r w:rsidRPr="00D11E44">
        <w:rPr>
          <w:b/>
          <w:szCs w:val="28"/>
        </w:rPr>
        <w:t xml:space="preserve">BẢN </w:t>
      </w:r>
      <w:r w:rsidR="0069374F">
        <w:rPr>
          <w:b/>
          <w:szCs w:val="28"/>
        </w:rPr>
        <w:t>SO</w:t>
      </w:r>
      <w:r w:rsidR="0069374F">
        <w:rPr>
          <w:b/>
          <w:szCs w:val="28"/>
          <w:lang w:val="vi-VN"/>
        </w:rPr>
        <w:t xml:space="preserve"> SÁNH </w:t>
      </w:r>
      <w:r w:rsidRPr="00D11E44">
        <w:rPr>
          <w:b/>
          <w:szCs w:val="28"/>
        </w:rPr>
        <w:t>THUYẾT MINH NỘI DUNG DỰ THẢO NGHỊ QUYẾT</w:t>
      </w:r>
    </w:p>
    <w:p w14:paraId="5EE441BC" w14:textId="7DC515F2" w:rsidR="00120CBB" w:rsidRDefault="00120CBB" w:rsidP="00120CBB">
      <w:pPr>
        <w:widowControl w:val="0"/>
        <w:shd w:val="clear" w:color="auto" w:fill="FFFFFF"/>
        <w:jc w:val="center"/>
        <w:rPr>
          <w:b/>
          <w:szCs w:val="28"/>
        </w:rPr>
      </w:pPr>
      <w:r w:rsidRPr="00D11E44">
        <w:rPr>
          <w:b/>
          <w:szCs w:val="28"/>
        </w:rPr>
        <w:t xml:space="preserve">QUY ĐỊNH MỨC HỖ TRỢ KHẮC PHỤC DỊCH BỆNH ĐỘNG VẬT </w:t>
      </w:r>
      <w:r>
        <w:rPr>
          <w:b/>
          <w:szCs w:val="28"/>
        </w:rPr>
        <w:t>TRÊN ĐỊA BÀN THÀNH PHỐ HẢI PHÒNG</w:t>
      </w:r>
    </w:p>
    <w:p w14:paraId="75BAA41B" w14:textId="77777777" w:rsidR="00120CBB" w:rsidRDefault="00120CBB" w:rsidP="00120CBB">
      <w:pPr>
        <w:widowControl w:val="0"/>
        <w:shd w:val="clear" w:color="auto" w:fill="FFFFFF"/>
        <w:jc w:val="center"/>
        <w:rPr>
          <w:szCs w:val="28"/>
        </w:rPr>
      </w:pPr>
      <w:r>
        <w:rPr>
          <w:noProof/>
          <w:szCs w:val="28"/>
        </w:rPr>
        <mc:AlternateContent>
          <mc:Choice Requires="wps">
            <w:drawing>
              <wp:anchor distT="0" distB="0" distL="114300" distR="114300" simplePos="0" relativeHeight="251663360" behindDoc="0" locked="0" layoutInCell="1" allowOverlap="1" wp14:anchorId="650D7849" wp14:editId="50CC7551">
                <wp:simplePos x="0" y="0"/>
                <wp:positionH relativeFrom="column">
                  <wp:posOffset>2844165</wp:posOffset>
                </wp:positionH>
                <wp:positionV relativeFrom="paragraph">
                  <wp:posOffset>43815</wp:posOffset>
                </wp:positionV>
                <wp:extent cx="3105150" cy="0"/>
                <wp:effectExtent l="0" t="0" r="19050" b="19050"/>
                <wp:wrapNone/>
                <wp:docPr id="1723490266" name="Straight Connector 1723490266"/>
                <wp:cNvGraphicFramePr/>
                <a:graphic xmlns:a="http://schemas.openxmlformats.org/drawingml/2006/main">
                  <a:graphicData uri="http://schemas.microsoft.com/office/word/2010/wordprocessingShape">
                    <wps:wsp>
                      <wps:cNvCnPr/>
                      <wps:spPr>
                        <a:xfrm>
                          <a:off x="0" y="0"/>
                          <a:ext cx="310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FDC07" id="Straight Connector 172349026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3.95pt,3.45pt" to="46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CBmAEAAIg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" strokecolor="black [3200]" strokeweight=".5pt">
                <v:stroke joinstyle="miter"/>
              </v:line>
            </w:pict>
          </mc:Fallback>
        </mc:AlternateContent>
      </w:r>
    </w:p>
    <w:tbl>
      <w:tblPr>
        <w:tblStyle w:val="TableGrid"/>
        <w:tblW w:w="14317" w:type="dxa"/>
        <w:tblInd w:w="-147" w:type="dxa"/>
        <w:tblLook w:val="04A0" w:firstRow="1" w:lastRow="0" w:firstColumn="1" w:lastColumn="0" w:noHBand="0" w:noVBand="1"/>
      </w:tblPr>
      <w:tblGrid>
        <w:gridCol w:w="7230"/>
        <w:gridCol w:w="7087"/>
      </w:tblGrid>
      <w:tr w:rsidR="00120CBB" w:rsidRPr="004E4419" w14:paraId="57A7ECF5" w14:textId="77777777" w:rsidTr="00791D17">
        <w:tc>
          <w:tcPr>
            <w:tcW w:w="7230" w:type="dxa"/>
          </w:tcPr>
          <w:p w14:paraId="0F7FDB03" w14:textId="77777777" w:rsidR="00120CBB" w:rsidRPr="004E4419" w:rsidRDefault="00120CBB" w:rsidP="00E51215">
            <w:pPr>
              <w:widowControl w:val="0"/>
              <w:spacing w:before="40" w:after="40"/>
              <w:ind w:firstLine="22"/>
              <w:jc w:val="center"/>
              <w:rPr>
                <w:b/>
                <w:szCs w:val="28"/>
              </w:rPr>
            </w:pPr>
            <w:r w:rsidRPr="004E4419">
              <w:rPr>
                <w:b/>
                <w:szCs w:val="28"/>
              </w:rPr>
              <w:t>DỰ THẢO NGHỊ QUYẾT</w:t>
            </w:r>
          </w:p>
        </w:tc>
        <w:tc>
          <w:tcPr>
            <w:tcW w:w="7087" w:type="dxa"/>
          </w:tcPr>
          <w:p w14:paraId="3701B5CB" w14:textId="77777777" w:rsidR="00120CBB" w:rsidRPr="004E4419" w:rsidRDefault="00120CBB" w:rsidP="00E51215">
            <w:pPr>
              <w:widowControl w:val="0"/>
              <w:spacing w:before="40" w:after="40"/>
              <w:jc w:val="center"/>
              <w:rPr>
                <w:b/>
                <w:szCs w:val="28"/>
              </w:rPr>
            </w:pPr>
            <w:r w:rsidRPr="004E4419">
              <w:rPr>
                <w:b/>
                <w:szCs w:val="28"/>
              </w:rPr>
              <w:t>THUYẾT MINH</w:t>
            </w:r>
          </w:p>
        </w:tc>
      </w:tr>
      <w:tr w:rsidR="00CB3D7D" w:rsidRPr="004E4419" w14:paraId="735524E0" w14:textId="77777777" w:rsidTr="00791D17">
        <w:tc>
          <w:tcPr>
            <w:tcW w:w="7230" w:type="dxa"/>
          </w:tcPr>
          <w:p w14:paraId="603A6664" w14:textId="4994097E" w:rsidR="00CB3D7D" w:rsidRPr="00C63D34" w:rsidRDefault="00CB3D7D" w:rsidP="00CB3D7D">
            <w:pPr>
              <w:tabs>
                <w:tab w:val="left" w:pos="3330"/>
              </w:tabs>
              <w:spacing w:before="40" w:after="40"/>
              <w:ind w:firstLine="589"/>
              <w:jc w:val="both"/>
              <w:rPr>
                <w:szCs w:val="28"/>
              </w:rPr>
            </w:pPr>
            <w:r w:rsidRPr="00C63D34">
              <w:rPr>
                <w:b/>
                <w:szCs w:val="28"/>
              </w:rPr>
              <w:t>Điều 1. Phạm vi điều chỉnh</w:t>
            </w:r>
            <w:r>
              <w:rPr>
                <w:b/>
                <w:szCs w:val="28"/>
              </w:rPr>
              <w:t>, đối tượng áp dụng</w:t>
            </w:r>
          </w:p>
          <w:p w14:paraId="3FF58E8D" w14:textId="29874BEB" w:rsidR="00E37485" w:rsidRDefault="00CB3D7D" w:rsidP="00E37485">
            <w:pPr>
              <w:autoSpaceDE w:val="0"/>
              <w:autoSpaceDN w:val="0"/>
              <w:adjustRightInd w:val="0"/>
              <w:spacing w:after="120" w:line="320" w:lineRule="exact"/>
              <w:ind w:firstLine="624"/>
              <w:jc w:val="both"/>
              <w:rPr>
                <w:color w:val="000000"/>
                <w:szCs w:val="28"/>
              </w:rPr>
            </w:pPr>
            <w:r w:rsidRPr="00DC2D8A">
              <w:rPr>
                <w:color w:val="000000"/>
                <w:szCs w:val="28"/>
                <w:lang w:val="vi-VN"/>
              </w:rPr>
              <w:t xml:space="preserve">1. </w:t>
            </w:r>
            <w:r>
              <w:rPr>
                <w:color w:val="000000"/>
                <w:szCs w:val="28"/>
              </w:rPr>
              <w:t xml:space="preserve">Phạm vi điều chỉnh: </w:t>
            </w:r>
            <w:r w:rsidR="00E37485" w:rsidRPr="00DC2D8A">
              <w:rPr>
                <w:color w:val="000000"/>
                <w:szCs w:val="28"/>
                <w:lang w:val="vi-VN"/>
              </w:rPr>
              <w:t xml:space="preserve">Nghị quyết này Quy định mức hỗ trợ </w:t>
            </w:r>
            <w:r w:rsidR="00E37485">
              <w:rPr>
                <w:color w:val="000000"/>
                <w:szCs w:val="28"/>
              </w:rPr>
              <w:t xml:space="preserve">cơ sở sản xuất có động vật, sản phẩm động vật buộc phải tiêu hủy do dịch bệnh động vật thuộc Danh mục bệnh động vật phải công bố dịch hoặc Danh mục các bệnh truyền lây giữa động vật và người hoặc bệnh do tác nhân gây bệnh truyền nhiễm mới xuất hiện trên lãnh thổ Việt Nam </w:t>
            </w:r>
            <w:bookmarkStart w:id="0" w:name="_Hlk209855789"/>
            <w:r w:rsidR="00DA6FBD">
              <w:rPr>
                <w:color w:val="000000"/>
                <w:szCs w:val="28"/>
              </w:rPr>
              <w:t>được</w:t>
            </w:r>
            <w:r w:rsidR="00DA6FBD">
              <w:rPr>
                <w:color w:val="000000"/>
                <w:szCs w:val="28"/>
                <w:lang w:val="vi-VN"/>
              </w:rPr>
              <w:t xml:space="preserve"> xác định theo quy định của pháp luật </w:t>
            </w:r>
            <w:bookmarkEnd w:id="0"/>
            <w:r w:rsidR="00E37485">
              <w:rPr>
                <w:color w:val="000000"/>
                <w:szCs w:val="28"/>
              </w:rPr>
              <w:t>và mức hỗ trợ người tham gia khắc phục dịch bệnh động vật trên địa bàn thành phố Hải Phòng.</w:t>
            </w:r>
          </w:p>
          <w:p w14:paraId="7C85CBD6" w14:textId="4A6A8AD8" w:rsidR="00CB3D7D" w:rsidRDefault="00CB3D7D" w:rsidP="00CB3D7D">
            <w:pPr>
              <w:autoSpaceDE w:val="0"/>
              <w:autoSpaceDN w:val="0"/>
              <w:adjustRightInd w:val="0"/>
              <w:spacing w:after="120" w:line="320" w:lineRule="exact"/>
              <w:ind w:firstLine="624"/>
              <w:jc w:val="both"/>
              <w:rPr>
                <w:color w:val="000000"/>
                <w:szCs w:val="28"/>
              </w:rPr>
            </w:pPr>
            <w:r>
              <w:rPr>
                <w:color w:val="000000"/>
                <w:szCs w:val="28"/>
              </w:rPr>
              <w:t>2. Đối tượng áp dụng:</w:t>
            </w:r>
          </w:p>
          <w:p w14:paraId="2EB38415" w14:textId="77777777" w:rsidR="00E37485" w:rsidRDefault="00E37485" w:rsidP="00E37485">
            <w:pPr>
              <w:autoSpaceDE w:val="0"/>
              <w:autoSpaceDN w:val="0"/>
              <w:adjustRightInd w:val="0"/>
              <w:spacing w:after="120" w:line="320" w:lineRule="exact"/>
              <w:ind w:firstLine="624"/>
              <w:jc w:val="both"/>
              <w:rPr>
                <w:color w:val="000000"/>
                <w:szCs w:val="28"/>
              </w:rPr>
            </w:pPr>
            <w:r>
              <w:rPr>
                <w:color w:val="000000"/>
                <w:szCs w:val="28"/>
              </w:rPr>
              <w:t xml:space="preserve">- Cơ sở sản xuất quy định tại khoản 1 Điều 3 Nghị định số 116/2025/NĐ-CP của Chính </w:t>
            </w:r>
            <w:proofErr w:type="gramStart"/>
            <w:r>
              <w:rPr>
                <w:color w:val="000000"/>
                <w:szCs w:val="28"/>
              </w:rPr>
              <w:t>phủ;</w:t>
            </w:r>
            <w:proofErr w:type="gramEnd"/>
          </w:p>
          <w:p w14:paraId="37DEDE57" w14:textId="77777777" w:rsidR="00E37485" w:rsidRDefault="00E37485" w:rsidP="00E37485">
            <w:pPr>
              <w:autoSpaceDE w:val="0"/>
              <w:autoSpaceDN w:val="0"/>
              <w:adjustRightInd w:val="0"/>
              <w:spacing w:after="120" w:line="320" w:lineRule="exact"/>
              <w:ind w:firstLine="624"/>
              <w:jc w:val="both"/>
              <w:rPr>
                <w:color w:val="000000"/>
                <w:szCs w:val="28"/>
              </w:rPr>
            </w:pPr>
            <w:r>
              <w:rPr>
                <w:color w:val="000000"/>
                <w:szCs w:val="28"/>
              </w:rPr>
              <w:t xml:space="preserve">- Doanh nghiệp nhỏ và vừa </w:t>
            </w:r>
            <w:r w:rsidRPr="00E04BAD">
              <w:rPr>
                <w:i/>
                <w:iCs/>
                <w:color w:val="000000"/>
                <w:szCs w:val="28"/>
              </w:rPr>
              <w:t>(không bao gồm các doanh nghiệp thuộc lực lượng vũ trang</w:t>
            </w:r>
            <w:r>
              <w:rPr>
                <w:i/>
                <w:iCs/>
                <w:color w:val="000000"/>
                <w:szCs w:val="28"/>
              </w:rPr>
              <w:t xml:space="preserve">, </w:t>
            </w:r>
            <w:r w:rsidRPr="005C70B3">
              <w:rPr>
                <w:color w:val="000000"/>
                <w:szCs w:val="28"/>
              </w:rPr>
              <w:t>sau đây gọi là cơ sở sản xuất</w:t>
            </w:r>
            <w:r w:rsidRPr="00E04BAD">
              <w:rPr>
                <w:i/>
                <w:iCs/>
                <w:color w:val="000000"/>
                <w:szCs w:val="28"/>
              </w:rPr>
              <w:t>)</w:t>
            </w:r>
            <w:r w:rsidRPr="00E04BAD">
              <w:rPr>
                <w:color w:val="000000"/>
                <w:szCs w:val="28"/>
              </w:rPr>
              <w:t xml:space="preserve"> có hoạt động chăn nuôi, nuôi trồng thủy sản, sản xuất, ương dưỡng giống thủy sản</w:t>
            </w:r>
            <w:r w:rsidRPr="00DC2D8A">
              <w:rPr>
                <w:color w:val="000000"/>
                <w:szCs w:val="28"/>
                <w:lang w:val="vi-VN"/>
              </w:rPr>
              <w:t xml:space="preserve"> </w:t>
            </w:r>
            <w:r>
              <w:rPr>
                <w:color w:val="000000"/>
                <w:szCs w:val="28"/>
              </w:rPr>
              <w:t>trên địa bàn thành phố Hải Phòng.</w:t>
            </w:r>
          </w:p>
          <w:p w14:paraId="7C0478BB" w14:textId="77777777" w:rsidR="00E37485" w:rsidRDefault="00E37485" w:rsidP="00E37485">
            <w:pPr>
              <w:autoSpaceDE w:val="0"/>
              <w:autoSpaceDN w:val="0"/>
              <w:adjustRightInd w:val="0"/>
              <w:spacing w:after="120" w:line="320" w:lineRule="exact"/>
              <w:ind w:firstLine="624"/>
              <w:jc w:val="both"/>
              <w:rPr>
                <w:color w:val="000000"/>
                <w:szCs w:val="28"/>
              </w:rPr>
            </w:pPr>
            <w:r>
              <w:rPr>
                <w:color w:val="000000"/>
                <w:szCs w:val="28"/>
              </w:rPr>
              <w:lastRenderedPageBreak/>
              <w:t xml:space="preserve">- </w:t>
            </w:r>
            <w:r w:rsidRPr="00EA0D8A">
              <w:rPr>
                <w:szCs w:val="28"/>
              </w:rPr>
              <w:t xml:space="preserve">Người tham gia khắc phục dịch bệnh động vật theo quy định tại </w:t>
            </w:r>
            <w:r>
              <w:rPr>
                <w:szCs w:val="28"/>
              </w:rPr>
              <w:t>K</w:t>
            </w:r>
            <w:r w:rsidRPr="00EA0D8A">
              <w:rPr>
                <w:szCs w:val="28"/>
              </w:rPr>
              <w:t>hoản 2 Điều 3 Nghị định số 116/2025/NĐ-CP</w:t>
            </w:r>
            <w:r>
              <w:rPr>
                <w:szCs w:val="28"/>
              </w:rPr>
              <w:t xml:space="preserve"> của Chính phủ.</w:t>
            </w:r>
          </w:p>
          <w:p w14:paraId="76617166" w14:textId="52544BB6" w:rsidR="00CB3D7D" w:rsidRPr="00CB3D7D" w:rsidRDefault="00CB3D7D" w:rsidP="00CB3D7D">
            <w:pPr>
              <w:autoSpaceDE w:val="0"/>
              <w:autoSpaceDN w:val="0"/>
              <w:adjustRightInd w:val="0"/>
              <w:spacing w:after="120" w:line="320" w:lineRule="exact"/>
              <w:ind w:firstLine="624"/>
              <w:jc w:val="both"/>
              <w:rPr>
                <w:sz w:val="24"/>
                <w:szCs w:val="24"/>
              </w:rPr>
            </w:pPr>
            <w:r>
              <w:rPr>
                <w:color w:val="000000"/>
                <w:szCs w:val="28"/>
              </w:rPr>
              <w:t>3</w:t>
            </w:r>
            <w:r w:rsidRPr="00DC2D8A">
              <w:rPr>
                <w:color w:val="000000"/>
                <w:szCs w:val="28"/>
                <w:lang w:val="vi-VN"/>
              </w:rPr>
              <w:t xml:space="preserve">. Các nội dung không quy định tại Nghị quyết này thực hiện theo quy định tại </w:t>
            </w:r>
            <w:r w:rsidRPr="00BD1320">
              <w:rPr>
                <w:color w:val="000000"/>
                <w:szCs w:val="28"/>
                <w:lang w:val="vi-VN"/>
              </w:rPr>
              <w:t xml:space="preserve">Nghị định số </w:t>
            </w:r>
            <w:r>
              <w:rPr>
                <w:color w:val="000000"/>
                <w:szCs w:val="28"/>
              </w:rPr>
              <w:t>116</w:t>
            </w:r>
            <w:r w:rsidRPr="00BD1320">
              <w:rPr>
                <w:color w:val="000000"/>
                <w:szCs w:val="28"/>
                <w:lang w:val="vi-VN"/>
              </w:rPr>
              <w:t xml:space="preserve">/2025/NĐ-CP ngày </w:t>
            </w:r>
            <w:r>
              <w:rPr>
                <w:color w:val="000000"/>
                <w:szCs w:val="28"/>
              </w:rPr>
              <w:t>05</w:t>
            </w:r>
            <w:r w:rsidRPr="00DC2D8A">
              <w:rPr>
                <w:color w:val="000000"/>
                <w:szCs w:val="28"/>
                <w:lang w:val="vi-VN"/>
              </w:rPr>
              <w:t xml:space="preserve"> tháng </w:t>
            </w:r>
            <w:r>
              <w:rPr>
                <w:color w:val="000000"/>
                <w:szCs w:val="28"/>
              </w:rPr>
              <w:t>6</w:t>
            </w:r>
            <w:r w:rsidRPr="00DC2D8A">
              <w:rPr>
                <w:color w:val="000000"/>
                <w:szCs w:val="28"/>
                <w:lang w:val="vi-VN"/>
              </w:rPr>
              <w:t xml:space="preserve"> năm 2025 </w:t>
            </w:r>
            <w:r w:rsidRPr="00BD1320">
              <w:rPr>
                <w:color w:val="000000"/>
                <w:szCs w:val="28"/>
                <w:lang w:val="vi-VN"/>
              </w:rPr>
              <w:t>của Chính phủ</w:t>
            </w:r>
            <w:r w:rsidRPr="00DC2D8A">
              <w:rPr>
                <w:color w:val="000000"/>
                <w:szCs w:val="28"/>
                <w:lang w:val="vi-VN"/>
              </w:rPr>
              <w:t xml:space="preserve"> quy định về chính sách hỗ trợ </w:t>
            </w:r>
            <w:r>
              <w:rPr>
                <w:color w:val="000000"/>
                <w:szCs w:val="28"/>
              </w:rPr>
              <w:t>khắc phục dịch bệnh động vật</w:t>
            </w:r>
            <w:r w:rsidRPr="00DC2D8A">
              <w:rPr>
                <w:color w:val="000000"/>
                <w:szCs w:val="28"/>
                <w:lang w:val="vi-VN"/>
              </w:rPr>
              <w:t xml:space="preserve"> và các văn bản có liên quan theo quy định hiện hành. </w:t>
            </w:r>
          </w:p>
        </w:tc>
        <w:tc>
          <w:tcPr>
            <w:tcW w:w="7087" w:type="dxa"/>
          </w:tcPr>
          <w:p w14:paraId="08DEFAB2" w14:textId="0A250E22" w:rsidR="0069374F" w:rsidRPr="0069374F" w:rsidRDefault="00CB3D7D" w:rsidP="00CB3D7D">
            <w:pPr>
              <w:keepNext/>
              <w:spacing w:before="40" w:after="40"/>
              <w:ind w:firstLine="459"/>
              <w:jc w:val="both"/>
              <w:outlineLvl w:val="1"/>
              <w:rPr>
                <w:rFonts w:eastAsia="Calibri"/>
                <w:szCs w:val="28"/>
                <w:lang w:val="vi-VN"/>
              </w:rPr>
            </w:pPr>
            <w:r>
              <w:rPr>
                <w:rFonts w:eastAsia="Calibri"/>
                <w:szCs w:val="28"/>
              </w:rPr>
              <w:lastRenderedPageBreak/>
              <w:t xml:space="preserve">1. </w:t>
            </w:r>
            <w:r w:rsidRPr="004E4419">
              <w:rPr>
                <w:rFonts w:eastAsia="Calibri"/>
                <w:szCs w:val="28"/>
              </w:rPr>
              <w:t xml:space="preserve">Về </w:t>
            </w:r>
            <w:r w:rsidR="0069374F">
              <w:rPr>
                <w:rFonts w:eastAsia="Calibri"/>
                <w:szCs w:val="28"/>
              </w:rPr>
              <w:t>phạm</w:t>
            </w:r>
            <w:r w:rsidR="0069374F">
              <w:rPr>
                <w:rFonts w:eastAsia="Calibri"/>
                <w:szCs w:val="28"/>
                <w:lang w:val="vi-VN"/>
              </w:rPr>
              <w:t xml:space="preserve"> vi điều chỉnh: </w:t>
            </w:r>
            <w:r w:rsidR="00CF101B">
              <w:rPr>
                <w:rFonts w:eastAsia="Calibri"/>
                <w:szCs w:val="28"/>
                <w:lang w:val="vi-VN"/>
              </w:rPr>
              <w:t xml:space="preserve">Nghị quyết quy </w:t>
            </w:r>
            <w:r w:rsidR="00373954">
              <w:rPr>
                <w:rFonts w:eastAsia="Calibri"/>
                <w:szCs w:val="28"/>
                <w:lang w:val="vi-VN"/>
              </w:rPr>
              <w:t>định mức hỗ trợ theo điểm a, b khoản 1 Điều 1 Nghị định số</w:t>
            </w:r>
            <w:r w:rsidR="00902CAE">
              <w:rPr>
                <w:rFonts w:eastAsia="Calibri"/>
                <w:szCs w:val="28"/>
                <w:lang w:val="vi-VN"/>
              </w:rPr>
              <w:t xml:space="preserve"> </w:t>
            </w:r>
            <w:r w:rsidR="00373954">
              <w:rPr>
                <w:rFonts w:eastAsia="Calibri"/>
                <w:szCs w:val="28"/>
                <w:lang w:val="vi-VN"/>
              </w:rPr>
              <w:t>116/2025/N</w:t>
            </w:r>
            <w:r w:rsidR="00902CAE">
              <w:rPr>
                <w:rFonts w:eastAsia="Calibri"/>
                <w:szCs w:val="28"/>
                <w:lang w:val="vi-VN"/>
              </w:rPr>
              <w:t>Đ</w:t>
            </w:r>
            <w:r w:rsidR="00373954">
              <w:rPr>
                <w:rFonts w:eastAsia="Calibri"/>
                <w:szCs w:val="28"/>
                <w:lang w:val="vi-VN"/>
              </w:rPr>
              <w:t>-CP ngày 05 tháng 6 năm 2025 của Chính Phủ.</w:t>
            </w:r>
          </w:p>
          <w:p w14:paraId="587E9B56" w14:textId="77777777" w:rsidR="00CB3D7D" w:rsidRDefault="00CB3D7D" w:rsidP="00CB3D7D">
            <w:pPr>
              <w:keepNext/>
              <w:spacing w:before="40" w:after="40"/>
              <w:ind w:firstLine="459"/>
              <w:jc w:val="both"/>
              <w:outlineLvl w:val="1"/>
              <w:rPr>
                <w:rFonts w:eastAsia="Calibri"/>
                <w:szCs w:val="28"/>
                <w:lang w:val="vi-VN"/>
              </w:rPr>
            </w:pPr>
            <w:r w:rsidRPr="004E4419">
              <w:rPr>
                <w:rFonts w:eastAsia="Calibri"/>
                <w:szCs w:val="28"/>
              </w:rPr>
              <w:t>2. Về đối tượng áp dụng</w:t>
            </w:r>
          </w:p>
          <w:p w14:paraId="3FA31AC9" w14:textId="77777777" w:rsidR="00E37485" w:rsidRPr="003C7479" w:rsidRDefault="00E37485" w:rsidP="00E37485">
            <w:pPr>
              <w:keepNext/>
              <w:spacing w:before="120" w:line="330" w:lineRule="exact"/>
              <w:ind w:firstLine="709"/>
              <w:jc w:val="both"/>
              <w:outlineLvl w:val="1"/>
              <w:rPr>
                <w:rFonts w:eastAsia="Calibri"/>
                <w:szCs w:val="28"/>
              </w:rPr>
            </w:pPr>
            <w:r w:rsidRPr="003C7479">
              <w:rPr>
                <w:rFonts w:eastAsia="Calibri"/>
                <w:szCs w:val="28"/>
              </w:rPr>
              <w:t>- Dự thảo Nghị quyết kế thừa đối tượng áp dụng theo quy định tại Điều 2 Nghị định số 116/2025/NĐ-CP.</w:t>
            </w:r>
          </w:p>
          <w:p w14:paraId="6F476B15" w14:textId="77777777" w:rsidR="00E37485" w:rsidRDefault="00E37485" w:rsidP="00E37485">
            <w:pPr>
              <w:keepNext/>
              <w:spacing w:before="120" w:line="330" w:lineRule="exact"/>
              <w:ind w:firstLine="709"/>
              <w:jc w:val="both"/>
              <w:outlineLvl w:val="1"/>
              <w:rPr>
                <w:rFonts w:eastAsia="Calibri"/>
                <w:szCs w:val="28"/>
              </w:rPr>
            </w:pPr>
            <w:r w:rsidRPr="003C7479">
              <w:rPr>
                <w:rFonts w:eastAsia="Calibri"/>
                <w:szCs w:val="28"/>
              </w:rPr>
              <w:t>- Dự thảo Nghị quyết bổ sung nhóm đối tượng là doanh nghiệp nhỏ và vừa (</w:t>
            </w:r>
            <w:r w:rsidRPr="00DA6FBD">
              <w:rPr>
                <w:rFonts w:eastAsia="Calibri"/>
                <w:i/>
                <w:iCs/>
                <w:szCs w:val="28"/>
              </w:rPr>
              <w:t>không bao gồm các doanh nghiệp thuộc lực lượng vũ trang</w:t>
            </w:r>
            <w:r w:rsidRPr="003C7479">
              <w:rPr>
                <w:rFonts w:eastAsia="Calibri"/>
                <w:szCs w:val="28"/>
              </w:rPr>
              <w:t>), vì các lý do sau:</w:t>
            </w:r>
          </w:p>
          <w:p w14:paraId="21E3EB35" w14:textId="037F9288" w:rsidR="00E37485" w:rsidRPr="003C7479" w:rsidRDefault="00E37485" w:rsidP="00E37485">
            <w:pPr>
              <w:keepNext/>
              <w:spacing w:before="120" w:line="330" w:lineRule="exact"/>
              <w:ind w:firstLine="709"/>
              <w:jc w:val="both"/>
              <w:outlineLvl w:val="1"/>
              <w:rPr>
                <w:rFonts w:eastAsia="Calibri"/>
                <w:szCs w:val="28"/>
              </w:rPr>
            </w:pPr>
            <w:r>
              <w:rPr>
                <w:rFonts w:eastAsia="Calibri"/>
                <w:szCs w:val="28"/>
              </w:rPr>
              <w:t xml:space="preserve">+ </w:t>
            </w:r>
            <w:r w:rsidRPr="003C7479">
              <w:rPr>
                <w:rFonts w:eastAsia="Calibri"/>
                <w:szCs w:val="28"/>
              </w:rPr>
              <w:t>Chính sách hỗ trợ cho doanh nghiệp nhỏ và vừa bị thiệt hại do dịch bệnh động vật là một trong những nội dung thuộc trách nhiệm của UBND cấp tỉnh trình HĐND cùng cấp xem xét, quyết định (điểm c Khoản 3 Điều 12 Nghị định số 116/2025/NĐ-CP).</w:t>
            </w:r>
          </w:p>
          <w:p w14:paraId="3FC31D5B" w14:textId="77777777" w:rsidR="00E37485" w:rsidRPr="003C7479" w:rsidRDefault="00E37485" w:rsidP="00E37485">
            <w:pPr>
              <w:keepNext/>
              <w:spacing w:before="120" w:line="330" w:lineRule="exact"/>
              <w:ind w:firstLine="709"/>
              <w:jc w:val="both"/>
              <w:outlineLvl w:val="1"/>
              <w:rPr>
                <w:rFonts w:eastAsia="Calibri"/>
                <w:szCs w:val="28"/>
              </w:rPr>
            </w:pPr>
            <w:r w:rsidRPr="003C7479">
              <w:rPr>
                <w:rFonts w:eastAsia="Calibri"/>
                <w:szCs w:val="28"/>
              </w:rPr>
              <w:t xml:space="preserve">+ Chính sách hỗ trợ cho doanh nghiệp nhỏ và vừa bị thiệt hại do dịch bệnh trước đây đã được quy định tại Nghị </w:t>
            </w:r>
            <w:r w:rsidRPr="003C7479">
              <w:rPr>
                <w:rFonts w:eastAsia="Calibri"/>
                <w:szCs w:val="28"/>
              </w:rPr>
              <w:lastRenderedPageBreak/>
              <w:t xml:space="preserve">quyết số 42/NQ-CP ngày 18/6/2019 của Chính phủ, Quyết định số 793/QĐ-TTg ngày 27/6/2019 và Quyết định số 2254/QĐ-TTg ngày 30/12/2020 của Thủ tướng Chính phủ. </w:t>
            </w:r>
          </w:p>
          <w:p w14:paraId="490581E6" w14:textId="64F765D3" w:rsidR="00373954" w:rsidRPr="0012204B" w:rsidRDefault="009F71DE" w:rsidP="0012204B">
            <w:pPr>
              <w:spacing w:before="120" w:line="330" w:lineRule="exact"/>
              <w:ind w:firstLine="720"/>
              <w:jc w:val="both"/>
              <w:rPr>
                <w:rFonts w:eastAsia="Arial"/>
                <w:noProof/>
                <w:kern w:val="2"/>
                <w14:ligatures w14:val="standardContextual"/>
              </w:rPr>
            </w:pPr>
            <w:r>
              <w:rPr>
                <w:rFonts w:eastAsia="Calibri"/>
                <w:szCs w:val="28"/>
              </w:rPr>
              <w:t xml:space="preserve">+ </w:t>
            </w:r>
            <w:r w:rsidR="0012204B" w:rsidRPr="004E4419">
              <w:rPr>
                <w:rFonts w:eastAsia="Calibri"/>
                <w:szCs w:val="28"/>
              </w:rPr>
              <w:t xml:space="preserve">Doanh nghiệp nhỏ và vừa nói chung, lĩnh vực chăn nuôi, thủy sản nói riêng đã và đang là thành phần có đóng góp quan trọng trong sự phát triển của ngành nông nghiệp. </w:t>
            </w:r>
            <w:r w:rsidR="0012204B">
              <w:rPr>
                <w:rFonts w:eastAsia="Calibri"/>
                <w:szCs w:val="28"/>
              </w:rPr>
              <w:t>M</w:t>
            </w:r>
            <w:r w:rsidR="0012204B" w:rsidRPr="004E4419">
              <w:rPr>
                <w:rFonts w:eastAsia="Calibri"/>
                <w:szCs w:val="28"/>
              </w:rPr>
              <w:t xml:space="preserve">ặc dù </w:t>
            </w:r>
            <w:r w:rsidR="0012204B">
              <w:rPr>
                <w:rFonts w:eastAsia="Calibri"/>
                <w:szCs w:val="28"/>
              </w:rPr>
              <w:t>các d</w:t>
            </w:r>
            <w:r w:rsidR="0012204B" w:rsidRPr="004E4419">
              <w:rPr>
                <w:rFonts w:eastAsia="Calibri"/>
                <w:szCs w:val="28"/>
              </w:rPr>
              <w:t>oanh nghiệp nhỏ và vừ</w:t>
            </w:r>
            <w:r w:rsidR="0012204B">
              <w:rPr>
                <w:rFonts w:eastAsia="Calibri"/>
                <w:szCs w:val="28"/>
              </w:rPr>
              <w:t xml:space="preserve">a </w:t>
            </w:r>
            <w:r w:rsidR="0012204B" w:rsidRPr="004E4419">
              <w:rPr>
                <w:rFonts w:eastAsia="Calibri"/>
                <w:szCs w:val="28"/>
              </w:rPr>
              <w:t>được hỗ trợ theo pháp luật về hỗ trợ doanh nghiệp nhỏ và vừa, tuy nhiên phần lớn các doanh nghiệp nhỏ và vừa lĩnh vực chăn nuôi, thủy sản có năng lực, điều kiện, công nghệ sản xuất hạn chế, quy mô sản xuất, thực hành an toàn sinh học còn thấp, nên nguy cơ dịch bệnh vẫn cao, nhất là trong điều kiện</w:t>
            </w:r>
            <w:r w:rsidR="0012204B">
              <w:rPr>
                <w:rFonts w:eastAsia="Calibri"/>
                <w:szCs w:val="28"/>
              </w:rPr>
              <w:t xml:space="preserve"> biến đổi khí hậu, mầm bệnh biến chủng, một số loại vắc xin chưa thực </w:t>
            </w:r>
            <w:r w:rsidR="0012204B" w:rsidRPr="004E4419">
              <w:rPr>
                <w:rFonts w:eastAsia="Calibri"/>
                <w:szCs w:val="28"/>
              </w:rPr>
              <w:t>có hiệu quả cao</w:t>
            </w:r>
            <w:r w:rsidR="0012204B">
              <w:rPr>
                <w:rFonts w:eastAsia="Calibri"/>
                <w:szCs w:val="28"/>
              </w:rPr>
              <w:t xml:space="preserve"> trong phòng bệnh</w:t>
            </w:r>
            <w:r w:rsidR="0012204B" w:rsidRPr="004E4419">
              <w:rPr>
                <w:rFonts w:eastAsia="Calibri"/>
                <w:szCs w:val="28"/>
              </w:rPr>
              <w:t xml:space="preserve"> như </w:t>
            </w:r>
            <w:r w:rsidR="0012204B">
              <w:rPr>
                <w:rFonts w:eastAsia="Calibri"/>
                <w:szCs w:val="28"/>
              </w:rPr>
              <w:t xml:space="preserve">bệnh </w:t>
            </w:r>
            <w:r w:rsidR="0012204B" w:rsidRPr="004E4419">
              <w:rPr>
                <w:rFonts w:eastAsia="Calibri"/>
                <w:szCs w:val="28"/>
              </w:rPr>
              <w:t>dịch tả lợn Châu Phi.</w:t>
            </w:r>
          </w:p>
        </w:tc>
      </w:tr>
      <w:tr w:rsidR="00CB3D7D" w:rsidRPr="004E4419" w14:paraId="2F2D273F" w14:textId="77777777" w:rsidTr="00791D17">
        <w:tc>
          <w:tcPr>
            <w:tcW w:w="7230" w:type="dxa"/>
          </w:tcPr>
          <w:p w14:paraId="24749ACA" w14:textId="0231F185" w:rsidR="00CB3D7D" w:rsidRPr="00C63D34" w:rsidRDefault="00CB3D7D" w:rsidP="00CB3D7D">
            <w:pPr>
              <w:tabs>
                <w:tab w:val="left" w:pos="3330"/>
              </w:tabs>
              <w:spacing w:before="40" w:after="40"/>
              <w:ind w:firstLine="589"/>
              <w:jc w:val="both"/>
              <w:rPr>
                <w:b/>
                <w:bCs/>
                <w:spacing w:val="-6"/>
                <w:szCs w:val="28"/>
              </w:rPr>
            </w:pPr>
            <w:r w:rsidRPr="00C63D34">
              <w:rPr>
                <w:b/>
                <w:spacing w:val="-6"/>
                <w:szCs w:val="28"/>
              </w:rPr>
              <w:lastRenderedPageBreak/>
              <w:t xml:space="preserve">Điều </w:t>
            </w:r>
            <w:r>
              <w:rPr>
                <w:b/>
                <w:spacing w:val="-6"/>
                <w:szCs w:val="28"/>
              </w:rPr>
              <w:t>2</w:t>
            </w:r>
            <w:r w:rsidRPr="00C63D34">
              <w:rPr>
                <w:b/>
                <w:spacing w:val="-6"/>
                <w:szCs w:val="28"/>
              </w:rPr>
              <w:t xml:space="preserve">. </w:t>
            </w:r>
            <w:r w:rsidRPr="00C63D34">
              <w:rPr>
                <w:b/>
                <w:bCs/>
                <w:spacing w:val="-6"/>
                <w:szCs w:val="28"/>
                <w:lang w:val="vi-VN"/>
              </w:rPr>
              <w:t xml:space="preserve">Mức hỗ trợ </w:t>
            </w:r>
            <w:r w:rsidRPr="00C63D34">
              <w:rPr>
                <w:b/>
                <w:bCs/>
                <w:spacing w:val="-6"/>
                <w:szCs w:val="28"/>
              </w:rPr>
              <w:t>thiệt hại do dịch bệnh động vật</w:t>
            </w:r>
          </w:p>
          <w:p w14:paraId="3C980258" w14:textId="77777777" w:rsidR="00CB3D7D" w:rsidRPr="0055675B" w:rsidRDefault="00CB3D7D" w:rsidP="00CB3D7D">
            <w:pPr>
              <w:autoSpaceDE w:val="0"/>
              <w:autoSpaceDN w:val="0"/>
              <w:adjustRightInd w:val="0"/>
              <w:spacing w:after="120" w:line="350" w:lineRule="exact"/>
              <w:ind w:firstLine="624"/>
              <w:jc w:val="both"/>
              <w:rPr>
                <w:color w:val="000000"/>
                <w:szCs w:val="28"/>
              </w:rPr>
            </w:pPr>
            <w:r w:rsidRPr="0055675B">
              <w:rPr>
                <w:color w:val="000000"/>
                <w:szCs w:val="28"/>
                <w:lang w:val="vi-VN"/>
              </w:rPr>
              <w:t>1. Đối với cơ sở sản xuất động vật trên cạn</w:t>
            </w:r>
          </w:p>
          <w:p w14:paraId="2E9EABAF"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a) Trâu, bò, ngựa, dê: 50.000 đồng/kg hơi</w:t>
            </w:r>
            <w:r>
              <w:rPr>
                <w:color w:val="000000"/>
                <w:szCs w:val="28"/>
              </w:rPr>
              <w:t>.</w:t>
            </w:r>
          </w:p>
          <w:p w14:paraId="182D1784"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b) Cừu, hươu sao: 55.000 đồng/kg hơi</w:t>
            </w:r>
            <w:r>
              <w:rPr>
                <w:color w:val="000000"/>
                <w:szCs w:val="28"/>
              </w:rPr>
              <w:t>.</w:t>
            </w:r>
          </w:p>
          <w:p w14:paraId="14EBEC9C"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c) Lợn: 40.000 đồng/kg hơi</w:t>
            </w:r>
            <w:r>
              <w:rPr>
                <w:color w:val="000000"/>
                <w:szCs w:val="28"/>
              </w:rPr>
              <w:t>.</w:t>
            </w:r>
          </w:p>
          <w:p w14:paraId="39E0E55A"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d) Gà, vịt, ngan, ngỗng, bồ câu: 35.000 đồng/kg hơi</w:t>
            </w:r>
            <w:r>
              <w:rPr>
                <w:color w:val="000000"/>
                <w:szCs w:val="28"/>
              </w:rPr>
              <w:t>.</w:t>
            </w:r>
          </w:p>
          <w:p w14:paraId="03CB8EE2"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đ) Chim cút: 20.000 đồng/kg hơi</w:t>
            </w:r>
            <w:r>
              <w:rPr>
                <w:color w:val="000000"/>
                <w:szCs w:val="28"/>
              </w:rPr>
              <w:t>.</w:t>
            </w:r>
          </w:p>
          <w:p w14:paraId="333517C5"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e) Đà điểu: 50.000 đồng/kg hơi</w:t>
            </w:r>
            <w:r>
              <w:rPr>
                <w:color w:val="000000"/>
                <w:szCs w:val="28"/>
              </w:rPr>
              <w:t>.</w:t>
            </w:r>
          </w:p>
          <w:p w14:paraId="16DDA5BA" w14:textId="77777777" w:rsidR="00CB3D7D" w:rsidRPr="00C449A1" w:rsidRDefault="00CB3D7D" w:rsidP="00CB3D7D">
            <w:pPr>
              <w:autoSpaceDE w:val="0"/>
              <w:autoSpaceDN w:val="0"/>
              <w:adjustRightInd w:val="0"/>
              <w:spacing w:after="120" w:line="350" w:lineRule="exact"/>
              <w:ind w:firstLine="624"/>
              <w:jc w:val="both"/>
              <w:rPr>
                <w:color w:val="000000"/>
                <w:szCs w:val="28"/>
                <w:lang w:val="vi-VN"/>
              </w:rPr>
            </w:pPr>
            <w:r>
              <w:rPr>
                <w:color w:val="000000"/>
                <w:szCs w:val="28"/>
              </w:rPr>
              <w:t>g</w:t>
            </w:r>
            <w:r w:rsidRPr="00C449A1">
              <w:rPr>
                <w:color w:val="000000"/>
                <w:szCs w:val="28"/>
                <w:lang w:val="vi-VN"/>
              </w:rPr>
              <w:t>) Trứng gia cầm (gà, vịt, ngan, ngỗng, bồ câu, chim cút, đà điểu): 20.000 đồng/kg.</w:t>
            </w:r>
          </w:p>
          <w:p w14:paraId="502B9D25" w14:textId="77777777" w:rsidR="00CB3D7D" w:rsidRPr="0055675B" w:rsidRDefault="00CB3D7D" w:rsidP="00CB3D7D">
            <w:pPr>
              <w:autoSpaceDE w:val="0"/>
              <w:autoSpaceDN w:val="0"/>
              <w:adjustRightInd w:val="0"/>
              <w:spacing w:after="120" w:line="350" w:lineRule="exact"/>
              <w:ind w:firstLine="624"/>
              <w:jc w:val="both"/>
              <w:rPr>
                <w:color w:val="000000"/>
                <w:szCs w:val="28"/>
              </w:rPr>
            </w:pPr>
            <w:r w:rsidRPr="0055675B">
              <w:rPr>
                <w:color w:val="000000"/>
                <w:szCs w:val="28"/>
                <w:lang w:val="vi-VN"/>
              </w:rPr>
              <w:lastRenderedPageBreak/>
              <w:t>2. Đối với cơ sở sản xuất động vật thủy sản</w:t>
            </w:r>
          </w:p>
          <w:p w14:paraId="343886B5"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a) Tôm hùm giống: 10.000 đồng/con</w:t>
            </w:r>
            <w:r>
              <w:rPr>
                <w:color w:val="000000"/>
                <w:szCs w:val="28"/>
              </w:rPr>
              <w:t>.</w:t>
            </w:r>
          </w:p>
          <w:p w14:paraId="7794A7AA"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b) Tôm giống (tôm thẻ chân trắng, tôm sú) từ giai đoạn hậu ấu trùng Postlarvae 12 trở lên: 10.000.000 đồng/01 triệu con</w:t>
            </w:r>
            <w:r>
              <w:rPr>
                <w:color w:val="000000"/>
                <w:szCs w:val="28"/>
              </w:rPr>
              <w:t>.</w:t>
            </w:r>
          </w:p>
          <w:p w14:paraId="1CF123C4"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c) Cá giống (cá biển, cá tra, cá truyền thống, cá rô phi, cá nước lạnh): 10.000 đồng/kg</w:t>
            </w:r>
            <w:r>
              <w:rPr>
                <w:color w:val="000000"/>
                <w:szCs w:val="28"/>
              </w:rPr>
              <w:t>.</w:t>
            </w:r>
          </w:p>
          <w:p w14:paraId="69F5C52E"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d) Diện tích nuôi tôm sú quảng canh (nuôi tôm lúa, tôm sinh thái, tôm rừng, tôm kết hợp): 9.000.000 đồng/ha</w:t>
            </w:r>
            <w:r>
              <w:rPr>
                <w:color w:val="000000"/>
                <w:szCs w:val="28"/>
              </w:rPr>
              <w:t>.</w:t>
            </w:r>
          </w:p>
          <w:p w14:paraId="149A71A5"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đ) Diện tích nuôi tôm sú (bán thâm canh, thâm canh): 12.000.000 đồng/ha</w:t>
            </w:r>
            <w:r>
              <w:rPr>
                <w:color w:val="000000"/>
                <w:szCs w:val="28"/>
              </w:rPr>
              <w:t>.</w:t>
            </w:r>
          </w:p>
          <w:p w14:paraId="04068B0E"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e) Diện tích nuôi tôm thẻ chân trắng: 20.000.000 đồng/ha (mật độ nuôi từ 50 - 100 con/m</w:t>
            </w:r>
            <w:r w:rsidRPr="00C449A1">
              <w:rPr>
                <w:color w:val="000000"/>
                <w:szCs w:val="28"/>
                <w:vertAlign w:val="superscript"/>
                <w:lang w:val="vi-VN"/>
              </w:rPr>
              <w:t>2</w:t>
            </w:r>
            <w:r w:rsidRPr="00C449A1">
              <w:rPr>
                <w:color w:val="000000"/>
                <w:szCs w:val="28"/>
                <w:lang w:val="vi-VN"/>
              </w:rPr>
              <w:t>); 30.000.000 đồng/ha (mật độ nuôi từ trên 100 - 250 con/m</w:t>
            </w:r>
            <w:r w:rsidRPr="00C449A1">
              <w:rPr>
                <w:color w:val="000000"/>
                <w:szCs w:val="28"/>
                <w:vertAlign w:val="superscript"/>
                <w:lang w:val="vi-VN"/>
              </w:rPr>
              <w:t>2</w:t>
            </w:r>
            <w:r w:rsidRPr="00C449A1">
              <w:rPr>
                <w:color w:val="000000"/>
                <w:szCs w:val="28"/>
                <w:lang w:val="vi-VN"/>
              </w:rPr>
              <w:t>); 50.000.000 đồng/ha (mật độ nuôi từ trên 250 con/m</w:t>
            </w:r>
            <w:r w:rsidRPr="00C449A1">
              <w:rPr>
                <w:color w:val="000000"/>
                <w:szCs w:val="28"/>
                <w:vertAlign w:val="superscript"/>
                <w:lang w:val="vi-VN"/>
              </w:rPr>
              <w:t>2</w:t>
            </w:r>
            <w:r w:rsidRPr="00C449A1">
              <w:rPr>
                <w:color w:val="000000"/>
                <w:szCs w:val="28"/>
                <w:lang w:val="vi-VN"/>
              </w:rPr>
              <w:t>)</w:t>
            </w:r>
            <w:r>
              <w:rPr>
                <w:color w:val="000000"/>
                <w:szCs w:val="28"/>
              </w:rPr>
              <w:t>.</w:t>
            </w:r>
          </w:p>
          <w:p w14:paraId="0A114FD6"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g) Diện tích nuôi cá truyền thống, các loài cá bản địa: 10.000.000 đồng/ha</w:t>
            </w:r>
            <w:r>
              <w:rPr>
                <w:color w:val="000000"/>
                <w:szCs w:val="28"/>
              </w:rPr>
              <w:t>.</w:t>
            </w:r>
          </w:p>
          <w:p w14:paraId="55307D9D"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h) Diện tích nuôi cá tra thâm canh: 50.000.000 đồng/ha</w:t>
            </w:r>
            <w:r>
              <w:rPr>
                <w:color w:val="000000"/>
                <w:szCs w:val="28"/>
              </w:rPr>
              <w:t>.</w:t>
            </w:r>
          </w:p>
          <w:p w14:paraId="404FC4B4"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i) Diện tích nuôi cá rô phi thâm canh: 30.000.000 đồng/ha</w:t>
            </w:r>
            <w:r>
              <w:rPr>
                <w:color w:val="000000"/>
                <w:szCs w:val="28"/>
              </w:rPr>
              <w:t>.</w:t>
            </w:r>
          </w:p>
          <w:p w14:paraId="4F3A10F8"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k) Cá nước lạnh (tầm, hồi) nuôi thâm canh: 20.000 đồng/kg</w:t>
            </w:r>
            <w:r>
              <w:rPr>
                <w:color w:val="000000"/>
                <w:szCs w:val="28"/>
              </w:rPr>
              <w:t>.</w:t>
            </w:r>
          </w:p>
          <w:p w14:paraId="01A9E34C" w14:textId="77777777" w:rsidR="00CB3D7D" w:rsidRPr="009975B4" w:rsidRDefault="00CB3D7D" w:rsidP="00CB3D7D">
            <w:pPr>
              <w:autoSpaceDE w:val="0"/>
              <w:autoSpaceDN w:val="0"/>
              <w:adjustRightInd w:val="0"/>
              <w:spacing w:after="120" w:line="350" w:lineRule="exact"/>
              <w:ind w:firstLine="624"/>
              <w:jc w:val="both"/>
              <w:rPr>
                <w:color w:val="000000"/>
                <w:szCs w:val="28"/>
              </w:rPr>
            </w:pPr>
            <w:r w:rsidRPr="00C449A1">
              <w:rPr>
                <w:color w:val="000000"/>
                <w:szCs w:val="28"/>
                <w:lang w:val="vi-VN"/>
              </w:rPr>
              <w:t>l) Thủy sản nước ngọt nuôi lồng, bè: 5.000 đồng/kg</w:t>
            </w:r>
            <w:r>
              <w:rPr>
                <w:color w:val="000000"/>
                <w:szCs w:val="28"/>
              </w:rPr>
              <w:t>.</w:t>
            </w:r>
          </w:p>
          <w:p w14:paraId="6D818EFB" w14:textId="77777777" w:rsidR="00CB3D7D" w:rsidRPr="001C4776" w:rsidRDefault="00CB3D7D" w:rsidP="00CB3D7D">
            <w:pPr>
              <w:autoSpaceDE w:val="0"/>
              <w:autoSpaceDN w:val="0"/>
              <w:adjustRightInd w:val="0"/>
              <w:spacing w:after="120" w:line="350" w:lineRule="exact"/>
              <w:ind w:firstLine="624"/>
              <w:jc w:val="both"/>
              <w:rPr>
                <w:szCs w:val="28"/>
              </w:rPr>
            </w:pPr>
            <w:r w:rsidRPr="00C449A1">
              <w:rPr>
                <w:color w:val="000000"/>
                <w:szCs w:val="28"/>
                <w:lang w:val="vi-VN"/>
              </w:rPr>
              <w:lastRenderedPageBreak/>
              <w:t>m</w:t>
            </w:r>
            <w:r w:rsidRPr="001C4776">
              <w:rPr>
                <w:szCs w:val="28"/>
                <w:lang w:val="vi-VN"/>
              </w:rPr>
              <w:t>) Hải sản nuôi lồng, bè: 10.000 đồng/kg.</w:t>
            </w:r>
          </w:p>
          <w:p w14:paraId="1E57321E" w14:textId="6D12A9C8" w:rsidR="00CB3D7D" w:rsidRPr="001C4776" w:rsidRDefault="00CB3D7D" w:rsidP="00CB3D7D">
            <w:pPr>
              <w:autoSpaceDE w:val="0"/>
              <w:autoSpaceDN w:val="0"/>
              <w:adjustRightInd w:val="0"/>
              <w:spacing w:after="120" w:line="350" w:lineRule="exact"/>
              <w:ind w:firstLine="624"/>
              <w:jc w:val="both"/>
              <w:rPr>
                <w:szCs w:val="28"/>
              </w:rPr>
            </w:pPr>
            <w:r w:rsidRPr="001C4776">
              <w:rPr>
                <w:szCs w:val="28"/>
              </w:rPr>
              <w:t>n) Diện tích nuôi tôm thẻ chân trắng (mật độ nuôi &lt; 50 con/m</w:t>
            </w:r>
            <w:r w:rsidRPr="001C4776">
              <w:rPr>
                <w:szCs w:val="28"/>
                <w:vertAlign w:val="superscript"/>
              </w:rPr>
              <w:t>2</w:t>
            </w:r>
            <w:r w:rsidRPr="001C4776">
              <w:rPr>
                <w:szCs w:val="28"/>
              </w:rPr>
              <w:t>); diện tích nuôi tôm rảo quảng canh; diện tích nuôi cua biển nuôi quảng canh: 9.000.000 đồng/ha</w:t>
            </w:r>
            <w:r w:rsidR="009E109E">
              <w:rPr>
                <w:szCs w:val="28"/>
              </w:rPr>
              <w:t>.</w:t>
            </w:r>
            <w:r w:rsidRPr="001C4776">
              <w:rPr>
                <w:szCs w:val="28"/>
                <w:lang w:val="vi-VN"/>
              </w:rPr>
              <w:t xml:space="preserve"> </w:t>
            </w:r>
          </w:p>
          <w:p w14:paraId="122A5C61" w14:textId="77777777" w:rsidR="00CB3D7D" w:rsidRPr="001C4776" w:rsidRDefault="00CB3D7D" w:rsidP="00CB3D7D">
            <w:pPr>
              <w:autoSpaceDE w:val="0"/>
              <w:autoSpaceDN w:val="0"/>
              <w:adjustRightInd w:val="0"/>
              <w:spacing w:after="120" w:line="350" w:lineRule="exact"/>
              <w:ind w:firstLine="624"/>
              <w:jc w:val="both"/>
              <w:rPr>
                <w:szCs w:val="28"/>
              </w:rPr>
            </w:pPr>
            <w:r w:rsidRPr="001C4776">
              <w:rPr>
                <w:szCs w:val="28"/>
              </w:rPr>
              <w:t>o) Diện tích nuôi tôm rảo bán thâm canh, thâm canh; diện tích nuôi cua biển bán thâm canh, thâm canh: 12.000.000 đồng/ha.</w:t>
            </w:r>
          </w:p>
          <w:p w14:paraId="4E2A1A14" w14:textId="510B3ADB" w:rsidR="00CB3D7D" w:rsidRPr="004E4419" w:rsidRDefault="00CB3D7D" w:rsidP="00CB3D7D">
            <w:pPr>
              <w:autoSpaceDE w:val="0"/>
              <w:autoSpaceDN w:val="0"/>
              <w:adjustRightInd w:val="0"/>
              <w:spacing w:after="120" w:line="350" w:lineRule="exact"/>
              <w:ind w:firstLine="624"/>
              <w:jc w:val="both"/>
              <w:rPr>
                <w:szCs w:val="28"/>
              </w:rPr>
            </w:pPr>
            <w:r w:rsidRPr="001C4776">
              <w:rPr>
                <w:szCs w:val="28"/>
              </w:rPr>
              <w:t>ô) Diện tích nuôi nhuyễn thể bãi triều: 9.000.000 đồng/ha.</w:t>
            </w:r>
          </w:p>
        </w:tc>
        <w:tc>
          <w:tcPr>
            <w:tcW w:w="7087" w:type="dxa"/>
          </w:tcPr>
          <w:p w14:paraId="403747F5" w14:textId="2AC40EF5" w:rsidR="00CB3D7D" w:rsidRPr="004E4419" w:rsidRDefault="00CB3D7D" w:rsidP="00CB3D7D">
            <w:pPr>
              <w:spacing w:before="40" w:after="40"/>
              <w:ind w:firstLine="459"/>
              <w:jc w:val="both"/>
              <w:rPr>
                <w:rFonts w:eastAsia="Arial"/>
                <w:noProof/>
                <w:kern w:val="2"/>
                <w14:ligatures w14:val="standardContextual"/>
              </w:rPr>
            </w:pPr>
            <w:r w:rsidRPr="00902CAE">
              <w:rPr>
                <w:rFonts w:eastAsia="Arial"/>
                <w:noProof/>
                <w:kern w:val="2"/>
                <w14:ligatures w14:val="standardContextual"/>
              </w:rPr>
              <w:lastRenderedPageBreak/>
              <w:t>1.</w:t>
            </w:r>
            <w:r w:rsidRPr="004E4419">
              <w:rPr>
                <w:rFonts w:eastAsia="Arial"/>
                <w:noProof/>
                <w:kern w:val="2"/>
                <w14:ligatures w14:val="standardContextual"/>
              </w:rPr>
              <w:t xml:space="preserve"> </w:t>
            </w:r>
            <w:r w:rsidR="00DA6FBD">
              <w:rPr>
                <w:rFonts w:eastAsia="Arial"/>
                <w:noProof/>
                <w:kern w:val="2"/>
                <w14:ligatures w14:val="standardContextual"/>
              </w:rPr>
              <w:t>Đề</w:t>
            </w:r>
            <w:r w:rsidR="00DA6FBD">
              <w:rPr>
                <w:rFonts w:eastAsia="Arial"/>
                <w:noProof/>
                <w:kern w:val="2"/>
                <w:lang w:val="vi-VN"/>
                <w14:ligatures w14:val="standardContextual"/>
              </w:rPr>
              <w:t xml:space="preserve"> xuất g</w:t>
            </w:r>
            <w:r w:rsidR="0027758C">
              <w:rPr>
                <w:rFonts w:eastAsia="Arial"/>
                <w:noProof/>
                <w:kern w:val="2"/>
                <w14:ligatures w14:val="standardContextual"/>
              </w:rPr>
              <w:t>iữ</w:t>
            </w:r>
            <w:r w:rsidR="0027758C">
              <w:rPr>
                <w:rFonts w:eastAsia="Arial"/>
                <w:noProof/>
                <w:kern w:val="2"/>
                <w:lang w:val="vi-VN"/>
                <w14:ligatures w14:val="standardContextual"/>
              </w:rPr>
              <w:t xml:space="preserve"> nguyên </w:t>
            </w:r>
            <w:r w:rsidRPr="004E4419">
              <w:rPr>
                <w:rFonts w:eastAsia="Arial"/>
                <w:noProof/>
                <w:kern w:val="2"/>
                <w14:ligatures w14:val="standardContextual"/>
              </w:rPr>
              <w:t xml:space="preserve">mức hỗ trợ đối với cơ sở sản xuất động vật trên cạn, thủy sản </w:t>
            </w:r>
            <w:r>
              <w:rPr>
                <w:rFonts w:eastAsia="Arial"/>
                <w:noProof/>
                <w:kern w:val="2"/>
                <w14:ligatures w14:val="standardContextual"/>
              </w:rPr>
              <w:t xml:space="preserve">bằng </w:t>
            </w:r>
            <w:r w:rsidRPr="004E4419">
              <w:rPr>
                <w:rFonts w:eastAsia="Arial"/>
                <w:noProof/>
                <w:kern w:val="2"/>
                <w14:ligatures w14:val="standardContextual"/>
              </w:rPr>
              <w:t>mức hỗ trợ quy định tại Điều 6 Nghị định số 116/2025/NĐ-CP</w:t>
            </w:r>
            <w:r w:rsidR="0027758C">
              <w:rPr>
                <w:rFonts w:eastAsia="Arial"/>
                <w:noProof/>
                <w:kern w:val="2"/>
                <w:lang w:val="vi-VN"/>
                <w14:ligatures w14:val="standardContextual"/>
              </w:rPr>
              <w:t xml:space="preserve"> ngày 05 tháng 6 năm 2025 của Chính phủ</w:t>
            </w:r>
            <w:r w:rsidRPr="004E4419">
              <w:rPr>
                <w:rFonts w:eastAsia="Arial"/>
                <w:noProof/>
                <w:kern w:val="2"/>
                <w14:ligatures w14:val="standardContextual"/>
              </w:rPr>
              <w:t>.</w:t>
            </w:r>
          </w:p>
          <w:p w14:paraId="06A3B7B0" w14:textId="77777777" w:rsidR="0027758C" w:rsidRDefault="00CB3D7D" w:rsidP="00CB3D7D">
            <w:pPr>
              <w:spacing w:before="40" w:after="40"/>
              <w:ind w:firstLine="459"/>
              <w:jc w:val="both"/>
              <w:rPr>
                <w:rFonts w:eastAsia="Arial"/>
                <w:noProof/>
                <w:kern w:val="2"/>
                <w:lang w:val="vi-VN"/>
                <w14:ligatures w14:val="standardContextual"/>
              </w:rPr>
            </w:pPr>
            <w:r w:rsidRPr="004E4419">
              <w:rPr>
                <w:rFonts w:eastAsia="Arial"/>
                <w:noProof/>
                <w:kern w:val="2"/>
                <w14:ligatures w14:val="standardContextual"/>
              </w:rPr>
              <w:t>Lý do:</w:t>
            </w:r>
          </w:p>
          <w:p w14:paraId="1B6442BD" w14:textId="030DE485" w:rsidR="0027758C" w:rsidRPr="00902CAE" w:rsidRDefault="0027758C" w:rsidP="0027758C">
            <w:pPr>
              <w:jc w:val="both"/>
              <w:rPr>
                <w:rFonts w:eastAsia="Arial"/>
                <w:noProof/>
                <w:kern w:val="2"/>
                <w:lang w:val="vi-VN"/>
                <w14:ligatures w14:val="standardContextual"/>
              </w:rPr>
            </w:pPr>
            <w:r>
              <w:rPr>
                <w:rFonts w:eastAsia="Arial"/>
                <w:noProof/>
                <w:kern w:val="2"/>
                <w:lang w:val="vi-VN"/>
                <w14:ligatures w14:val="standardContextual"/>
              </w:rPr>
              <w:t xml:space="preserve">- Cơ sở pháp lý: Theo điểm b khoản 3 Điều 12 </w:t>
            </w:r>
            <w:r w:rsidRPr="00902CAE">
              <w:rPr>
                <w:rFonts w:eastAsia="Arial"/>
                <w:noProof/>
                <w:kern w:val="2"/>
                <w:lang w:val="vi-VN"/>
                <w14:ligatures w14:val="standardContextual"/>
              </w:rPr>
              <w:t xml:space="preserve">Nghị định số 116/2025/NĐ-CP ngày 05 tháng 6 năm 2025 của Chính phủ </w:t>
            </w:r>
          </w:p>
          <w:p w14:paraId="55486540" w14:textId="74739F00" w:rsidR="000E616C" w:rsidRPr="009F71DE" w:rsidRDefault="0027758C" w:rsidP="000E616C">
            <w:pPr>
              <w:spacing w:before="40" w:after="40"/>
              <w:jc w:val="both"/>
              <w:rPr>
                <w:rFonts w:eastAsia="Arial"/>
                <w:noProof/>
                <w:kern w:val="2"/>
                <w14:ligatures w14:val="standardContextual"/>
              </w:rPr>
            </w:pPr>
            <w:r>
              <w:rPr>
                <w:rFonts w:eastAsia="Arial"/>
                <w:noProof/>
                <w:kern w:val="2"/>
                <w:lang w:val="vi-VN"/>
                <w14:ligatures w14:val="standardContextual"/>
              </w:rPr>
              <w:t>- Cơ sở thực tiễn:</w:t>
            </w:r>
            <w:r w:rsidR="00CB3D7D" w:rsidRPr="004E4419">
              <w:rPr>
                <w:rFonts w:eastAsia="Arial"/>
                <w:noProof/>
                <w:kern w:val="2"/>
                <w14:ligatures w14:val="standardContextual"/>
              </w:rPr>
              <w:t xml:space="preserve"> </w:t>
            </w:r>
            <w:bookmarkStart w:id="1" w:name="_Hlk209712520"/>
            <w:r w:rsidR="00CB3D7D" w:rsidRPr="004E4419">
              <w:rPr>
                <w:rFonts w:eastAsia="Arial"/>
                <w:noProof/>
                <w:kern w:val="2"/>
                <w14:ligatures w14:val="standardContextual"/>
              </w:rPr>
              <w:t>Nghị định số 116/2025/NĐ-CP được Chính phủ ban hành ngày 05/6/2025 (có hiệu lực từ ngày 25/7/2025),</w:t>
            </w:r>
            <w:r w:rsidR="00CB3D7D">
              <w:rPr>
                <w:rFonts w:eastAsia="Arial"/>
                <w:noProof/>
                <w:kern w:val="2"/>
                <w14:ligatures w14:val="standardContextual"/>
              </w:rPr>
              <w:t xml:space="preserve"> do mới được ban hành, có hiệu lực</w:t>
            </w:r>
            <w:r w:rsidR="00CB3D7D" w:rsidRPr="004E4419">
              <w:rPr>
                <w:rFonts w:eastAsia="Arial"/>
                <w:noProof/>
                <w:kern w:val="2"/>
                <w14:ligatures w14:val="standardContextual"/>
              </w:rPr>
              <w:t xml:space="preserve"> nên mức hỗ trợ </w:t>
            </w:r>
            <w:r w:rsidR="00CB3D7D">
              <w:rPr>
                <w:rFonts w:eastAsia="Arial"/>
                <w:noProof/>
                <w:kern w:val="2"/>
                <w14:ligatures w14:val="standardContextual"/>
              </w:rPr>
              <w:t xml:space="preserve">quy định </w:t>
            </w:r>
            <w:r w:rsidR="00CB3D7D" w:rsidRPr="004E4419">
              <w:rPr>
                <w:rFonts w:eastAsia="Arial"/>
                <w:noProof/>
                <w:kern w:val="2"/>
                <w14:ligatures w14:val="standardContextual"/>
              </w:rPr>
              <w:t xml:space="preserve">tại Nghị định </w:t>
            </w:r>
            <w:r w:rsidR="00CB3D7D">
              <w:rPr>
                <w:rFonts w:eastAsia="Arial"/>
                <w:noProof/>
                <w:kern w:val="2"/>
                <w14:ligatures w14:val="standardContextual"/>
              </w:rPr>
              <w:t xml:space="preserve">vẫn </w:t>
            </w:r>
            <w:r w:rsidR="00CB3D7D" w:rsidRPr="004E4419">
              <w:rPr>
                <w:rFonts w:eastAsia="Arial"/>
                <w:noProof/>
                <w:kern w:val="2"/>
                <w14:ligatures w14:val="standardContextual"/>
              </w:rPr>
              <w:t>phù hợp với thực tế hiện nay</w:t>
            </w:r>
            <w:r w:rsidR="00CB3D7D">
              <w:rPr>
                <w:rFonts w:eastAsia="Arial"/>
                <w:noProof/>
                <w:kern w:val="2"/>
                <w14:ligatures w14:val="standardContextual"/>
              </w:rPr>
              <w:t xml:space="preserve"> trên địa bàn thành </w:t>
            </w:r>
            <w:r>
              <w:rPr>
                <w:rFonts w:eastAsia="Arial"/>
                <w:noProof/>
                <w:kern w:val="2"/>
                <w14:ligatures w14:val="standardContextual"/>
              </w:rPr>
              <w:t>phố</w:t>
            </w:r>
            <w:r>
              <w:rPr>
                <w:rFonts w:eastAsia="Arial"/>
                <w:noProof/>
                <w:kern w:val="2"/>
                <w:lang w:val="vi-VN"/>
                <w14:ligatures w14:val="standardContextual"/>
              </w:rPr>
              <w:t xml:space="preserve"> và phù hợp với quan điểm hỗ trợ một phần </w:t>
            </w:r>
            <w:r w:rsidR="00DA6FBD">
              <w:rPr>
                <w:rFonts w:eastAsia="Arial"/>
                <w:noProof/>
                <w:kern w:val="2"/>
                <w:lang w:val="vi-VN"/>
                <w14:ligatures w14:val="standardContextual"/>
              </w:rPr>
              <w:t xml:space="preserve">thiệt hại </w:t>
            </w:r>
            <w:r w:rsidR="00DA6FBD">
              <w:rPr>
                <w:rFonts w:eastAsia="Arial"/>
                <w:noProof/>
                <w:kern w:val="2"/>
                <w:lang w:val="vi-VN"/>
                <w14:ligatures w14:val="standardContextual"/>
              </w:rPr>
              <w:lastRenderedPageBreak/>
              <w:t>do dịch bệnh động vật, hỗ trợ khôi phục</w:t>
            </w:r>
            <w:r>
              <w:rPr>
                <w:rFonts w:eastAsia="Arial"/>
                <w:noProof/>
                <w:kern w:val="2"/>
                <w:lang w:val="vi-VN"/>
                <w14:ligatures w14:val="standardContextual"/>
              </w:rPr>
              <w:t xml:space="preserve"> sản xuất</w:t>
            </w:r>
            <w:r w:rsidR="009F71DE">
              <w:rPr>
                <w:rFonts w:eastAsia="Arial"/>
                <w:noProof/>
                <w:kern w:val="2"/>
                <w14:ligatures w14:val="standardContextual"/>
              </w:rPr>
              <w:t>, không phải đền bù thiệt hại.</w:t>
            </w:r>
            <w:bookmarkEnd w:id="1"/>
          </w:p>
          <w:p w14:paraId="64F554A5" w14:textId="673E1F6C" w:rsidR="00CB3D7D" w:rsidRDefault="00CB3D7D" w:rsidP="000E616C">
            <w:pPr>
              <w:spacing w:before="40" w:after="40"/>
              <w:jc w:val="both"/>
              <w:rPr>
                <w:rFonts w:eastAsia="Calibri"/>
                <w:szCs w:val="28"/>
              </w:rPr>
            </w:pPr>
            <w:r w:rsidRPr="00791D17">
              <w:rPr>
                <w:rFonts w:eastAsia="Calibri"/>
                <w:szCs w:val="28"/>
              </w:rPr>
              <w:t>2.</w:t>
            </w:r>
            <w:r>
              <w:rPr>
                <w:rFonts w:eastAsia="Calibri"/>
                <w:b/>
                <w:bCs/>
                <w:szCs w:val="28"/>
              </w:rPr>
              <w:t xml:space="preserve"> </w:t>
            </w:r>
            <w:r w:rsidR="000E616C">
              <w:rPr>
                <w:rFonts w:eastAsia="Calibri"/>
                <w:szCs w:val="28"/>
              </w:rPr>
              <w:t>Đề</w:t>
            </w:r>
            <w:r w:rsidR="000E616C">
              <w:rPr>
                <w:rFonts w:eastAsia="Calibri"/>
                <w:szCs w:val="28"/>
                <w:lang w:val="vi-VN"/>
              </w:rPr>
              <w:t xml:space="preserve"> xuất bổ sung </w:t>
            </w:r>
            <w:r>
              <w:rPr>
                <w:rFonts w:eastAsia="Calibri"/>
                <w:szCs w:val="28"/>
              </w:rPr>
              <w:t>thêm mức hỗ trợ cho động vật thủy sản tại mục n, o, ô</w:t>
            </w:r>
          </w:p>
          <w:p w14:paraId="6F695321" w14:textId="77777777" w:rsidR="00373954" w:rsidRDefault="00CB3D7D" w:rsidP="00CB3D7D">
            <w:pPr>
              <w:spacing w:before="40" w:after="40"/>
              <w:ind w:firstLine="459"/>
              <w:jc w:val="both"/>
              <w:rPr>
                <w:rFonts w:eastAsia="Calibri"/>
                <w:szCs w:val="28"/>
                <w:lang w:val="vi-VN"/>
              </w:rPr>
            </w:pPr>
            <w:proofErr w:type="gramStart"/>
            <w:r>
              <w:rPr>
                <w:rFonts w:eastAsia="Calibri"/>
                <w:szCs w:val="28"/>
              </w:rPr>
              <w:t>Lý</w:t>
            </w:r>
            <w:proofErr w:type="gramEnd"/>
            <w:r>
              <w:rPr>
                <w:rFonts w:eastAsia="Calibri"/>
                <w:szCs w:val="28"/>
              </w:rPr>
              <w:t xml:space="preserve"> </w:t>
            </w:r>
            <w:proofErr w:type="gramStart"/>
            <w:r>
              <w:rPr>
                <w:rFonts w:eastAsia="Calibri"/>
                <w:szCs w:val="28"/>
              </w:rPr>
              <w:t>do</w:t>
            </w:r>
            <w:proofErr w:type="gramEnd"/>
            <w:r>
              <w:rPr>
                <w:rFonts w:eastAsia="Calibri"/>
                <w:szCs w:val="28"/>
              </w:rPr>
              <w:t xml:space="preserve">: </w:t>
            </w:r>
          </w:p>
          <w:p w14:paraId="0A663595" w14:textId="00157704" w:rsidR="00373954" w:rsidRPr="00791D17" w:rsidRDefault="00373954" w:rsidP="00373954">
            <w:pPr>
              <w:jc w:val="both"/>
              <w:rPr>
                <w:rFonts w:eastAsia="Calibri"/>
                <w:szCs w:val="28"/>
              </w:rPr>
            </w:pPr>
            <w:r>
              <w:rPr>
                <w:rFonts w:eastAsia="Calibri"/>
                <w:szCs w:val="28"/>
                <w:lang w:val="vi-VN"/>
              </w:rPr>
              <w:t xml:space="preserve">- </w:t>
            </w:r>
            <w:r w:rsidRPr="00791D17">
              <w:rPr>
                <w:rFonts w:eastAsia="Calibri"/>
                <w:szCs w:val="28"/>
              </w:rPr>
              <w:t xml:space="preserve">Cơ sở pháp lý: Theo điểm </w:t>
            </w:r>
            <w:r w:rsidR="0027758C" w:rsidRPr="00791D17">
              <w:rPr>
                <w:rFonts w:eastAsia="Calibri"/>
                <w:szCs w:val="28"/>
              </w:rPr>
              <w:t>a</w:t>
            </w:r>
            <w:r w:rsidRPr="00791D17">
              <w:rPr>
                <w:rFonts w:eastAsia="Calibri"/>
                <w:szCs w:val="28"/>
              </w:rPr>
              <w:t xml:space="preserve"> khoản 3 Điều 12 Nghị định số 116/2025/NĐ-CP</w:t>
            </w:r>
            <w:r w:rsidR="0027758C" w:rsidRPr="00791D17">
              <w:rPr>
                <w:rFonts w:eastAsia="Calibri"/>
                <w:szCs w:val="28"/>
              </w:rPr>
              <w:t xml:space="preserve"> ngày 05 tháng 6 năm 2025 </w:t>
            </w:r>
            <w:r w:rsidRPr="00791D17">
              <w:rPr>
                <w:rFonts w:eastAsia="Calibri"/>
                <w:szCs w:val="28"/>
              </w:rPr>
              <w:t>của Chính phủ</w:t>
            </w:r>
            <w:r w:rsidR="0027758C" w:rsidRPr="00791D17">
              <w:rPr>
                <w:rFonts w:eastAsia="Calibri"/>
                <w:szCs w:val="28"/>
              </w:rPr>
              <w:t xml:space="preserve"> </w:t>
            </w:r>
          </w:p>
          <w:p w14:paraId="33D7C8C5" w14:textId="77777777" w:rsidR="0027758C" w:rsidRDefault="0027758C" w:rsidP="000E616C">
            <w:pPr>
              <w:spacing w:before="40" w:after="40"/>
              <w:jc w:val="both"/>
              <w:rPr>
                <w:rFonts w:eastAsia="Calibri"/>
                <w:szCs w:val="28"/>
                <w:lang w:val="vi-VN"/>
              </w:rPr>
            </w:pPr>
            <w:r>
              <w:rPr>
                <w:rFonts w:eastAsia="Calibri"/>
                <w:szCs w:val="28"/>
                <w:lang w:val="vi-VN"/>
              </w:rPr>
              <w:t xml:space="preserve">- Cơ sở thực tiễn: </w:t>
            </w:r>
          </w:p>
          <w:p w14:paraId="3CE1D25E" w14:textId="5EB13230" w:rsidR="00CB3D7D" w:rsidRPr="001C4776" w:rsidRDefault="0027758C" w:rsidP="00CB3D7D">
            <w:pPr>
              <w:spacing w:before="40" w:after="40"/>
              <w:ind w:firstLine="459"/>
              <w:jc w:val="both"/>
              <w:rPr>
                <w:szCs w:val="28"/>
              </w:rPr>
            </w:pPr>
            <w:r>
              <w:rPr>
                <w:rFonts w:eastAsia="Calibri"/>
                <w:szCs w:val="28"/>
                <w:lang w:val="vi-VN"/>
              </w:rPr>
              <w:t xml:space="preserve">+ </w:t>
            </w:r>
            <w:r w:rsidR="00373954">
              <w:rPr>
                <w:rFonts w:eastAsia="Calibri"/>
                <w:szCs w:val="28"/>
                <w:lang w:val="vi-VN"/>
              </w:rPr>
              <w:t xml:space="preserve"> </w:t>
            </w:r>
            <w:r w:rsidR="00CB3D7D">
              <w:rPr>
                <w:rFonts w:eastAsia="Calibri"/>
                <w:szCs w:val="28"/>
              </w:rPr>
              <w:t xml:space="preserve">Trong Nghị định đã quy định diện tích nuôi tôm thẻ chân trắng có mật độ nuôi từ 50 - 100 </w:t>
            </w:r>
            <w:r w:rsidR="00CB3D7D" w:rsidRPr="009D1ADE">
              <w:rPr>
                <w:szCs w:val="28"/>
              </w:rPr>
              <w:t>con/m</w:t>
            </w:r>
            <w:r w:rsidR="00CB3D7D" w:rsidRPr="009D1ADE">
              <w:rPr>
                <w:szCs w:val="28"/>
                <w:vertAlign w:val="superscript"/>
              </w:rPr>
              <w:t>2</w:t>
            </w:r>
            <w:r w:rsidR="00CB3D7D">
              <w:rPr>
                <w:szCs w:val="28"/>
              </w:rPr>
              <w:t xml:space="preserve">; tuy nhiên trong thực tế </w:t>
            </w:r>
            <w:r w:rsidR="001C4776">
              <w:rPr>
                <w:szCs w:val="28"/>
              </w:rPr>
              <w:t>có các cơ sở nuôi tôm thẻ chân trắng với mật độ &lt; 50 con</w:t>
            </w:r>
            <w:r w:rsidR="001C4776" w:rsidRPr="009D1ADE">
              <w:rPr>
                <w:szCs w:val="28"/>
              </w:rPr>
              <w:t>/m</w:t>
            </w:r>
            <w:r w:rsidR="001C4776" w:rsidRPr="009D1ADE">
              <w:rPr>
                <w:szCs w:val="28"/>
                <w:vertAlign w:val="superscript"/>
              </w:rPr>
              <w:t>2</w:t>
            </w:r>
            <w:r w:rsidR="001C4776">
              <w:rPr>
                <w:szCs w:val="28"/>
              </w:rPr>
              <w:t>,</w:t>
            </w:r>
            <w:r w:rsidR="00126CDE">
              <w:rPr>
                <w:szCs w:val="28"/>
                <w:lang w:val="vi-VN"/>
              </w:rPr>
              <w:t xml:space="preserve"> khi</w:t>
            </w:r>
            <w:r w:rsidR="001C4776">
              <w:rPr>
                <w:szCs w:val="28"/>
              </w:rPr>
              <w:t xml:space="preserve"> </w:t>
            </w:r>
            <w:r w:rsidR="00CB3D7D" w:rsidRPr="001C4776">
              <w:rPr>
                <w:szCs w:val="28"/>
              </w:rPr>
              <w:t>dịch</w:t>
            </w:r>
            <w:r w:rsidR="00CB3D7D">
              <w:rPr>
                <w:szCs w:val="28"/>
              </w:rPr>
              <w:t xml:space="preserve"> bệnh xảy ra thì không phân biệt mật độ nuôi; ở mật độ nuôi nào cũng có </w:t>
            </w:r>
            <w:r w:rsidR="00CB3D7D" w:rsidRPr="001C4776">
              <w:rPr>
                <w:szCs w:val="28"/>
              </w:rPr>
              <w:t>nguy cơ xảy ra dịch bệnh.</w:t>
            </w:r>
          </w:p>
          <w:p w14:paraId="4062ABA4" w14:textId="77777777" w:rsidR="00CB3D7D" w:rsidRDefault="0027758C" w:rsidP="00CB3D7D">
            <w:pPr>
              <w:spacing w:before="40" w:after="40"/>
              <w:ind w:firstLine="459"/>
              <w:jc w:val="both"/>
              <w:rPr>
                <w:rFonts w:eastAsia="Calibri"/>
                <w:szCs w:val="28"/>
              </w:rPr>
            </w:pPr>
            <w:r>
              <w:rPr>
                <w:rFonts w:eastAsia="Calibri"/>
                <w:szCs w:val="28"/>
                <w:lang w:val="vi-VN"/>
              </w:rPr>
              <w:t xml:space="preserve">+ </w:t>
            </w:r>
            <w:r w:rsidR="00CB3D7D" w:rsidRPr="001C4776">
              <w:rPr>
                <w:rFonts w:eastAsia="Calibri"/>
                <w:szCs w:val="28"/>
              </w:rPr>
              <w:t>Tại Hải Phòng, diện tích nuôi tôm rảo, cua biển</w:t>
            </w:r>
            <w:r w:rsidR="001C4776" w:rsidRPr="001C4776">
              <w:rPr>
                <w:rFonts w:eastAsia="Calibri"/>
                <w:szCs w:val="28"/>
              </w:rPr>
              <w:t xml:space="preserve"> </w:t>
            </w:r>
            <w:r w:rsidR="00CB3D7D" w:rsidRPr="001C4776">
              <w:rPr>
                <w:rFonts w:eastAsia="Calibri"/>
                <w:szCs w:val="28"/>
              </w:rPr>
              <w:t>khoảng</w:t>
            </w:r>
            <w:r w:rsidR="001C4776" w:rsidRPr="001C4776">
              <w:rPr>
                <w:rFonts w:eastAsia="Calibri"/>
                <w:szCs w:val="28"/>
              </w:rPr>
              <w:t xml:space="preserve"> trên 800ha, chiếm khoảng 3% (</w:t>
            </w:r>
            <w:r w:rsidR="00CB3D7D" w:rsidRPr="001C4776">
              <w:rPr>
                <w:rFonts w:eastAsia="Calibri"/>
                <w:szCs w:val="28"/>
              </w:rPr>
              <w:t xml:space="preserve">nuôi </w:t>
            </w:r>
            <w:r w:rsidR="001C4776" w:rsidRPr="001C4776">
              <w:rPr>
                <w:rFonts w:eastAsia="Calibri"/>
                <w:szCs w:val="28"/>
              </w:rPr>
              <w:t>kết hợp</w:t>
            </w:r>
            <w:r w:rsidR="00CB3D7D" w:rsidRPr="001C4776">
              <w:rPr>
                <w:rFonts w:eastAsia="Calibri"/>
                <w:szCs w:val="28"/>
              </w:rPr>
              <w:t xml:space="preserve"> tôm, cua</w:t>
            </w:r>
            <w:r w:rsidR="001C4776" w:rsidRPr="001C4776">
              <w:rPr>
                <w:rFonts w:eastAsia="Calibri"/>
                <w:szCs w:val="28"/>
              </w:rPr>
              <w:t>, nuôi thâm canh, bán thâm canh)</w:t>
            </w:r>
            <w:r w:rsidR="00CB3D7D" w:rsidRPr="001C4776">
              <w:rPr>
                <w:rFonts w:eastAsia="Calibri"/>
                <w:szCs w:val="28"/>
              </w:rPr>
              <w:t>, trong đó có bệnh Đốm trắng do vi rút - là bệnh thuộc Danh mục các bệnh truyền nhiễm phải công bố dịch - thường xả ra trên cả 2 đối tượng nuôi tôm</w:t>
            </w:r>
            <w:r w:rsidR="001C4776" w:rsidRPr="001C4776">
              <w:rPr>
                <w:rFonts w:eastAsia="Calibri"/>
                <w:szCs w:val="28"/>
              </w:rPr>
              <w:t>,</w:t>
            </w:r>
            <w:r w:rsidR="00CB3D7D" w:rsidRPr="001C4776">
              <w:rPr>
                <w:rFonts w:eastAsia="Calibri"/>
                <w:szCs w:val="28"/>
              </w:rPr>
              <w:t xml:space="preserve"> cua. Diện tích nuôi nhuyễn thể bãi triều trên địa bàn thành phố khoảng</w:t>
            </w:r>
            <w:r w:rsidR="001C4776" w:rsidRPr="001C4776">
              <w:rPr>
                <w:rFonts w:eastAsia="Calibri"/>
                <w:szCs w:val="28"/>
              </w:rPr>
              <w:t xml:space="preserve"> trên 1.500</w:t>
            </w:r>
            <w:r w:rsidR="00CB3D7D" w:rsidRPr="001C4776">
              <w:rPr>
                <w:rFonts w:eastAsia="Calibri"/>
                <w:szCs w:val="28"/>
              </w:rPr>
              <w:t xml:space="preserve"> ha, </w:t>
            </w:r>
            <w:r w:rsidR="001C4776" w:rsidRPr="001C4776">
              <w:rPr>
                <w:rFonts w:eastAsia="Calibri"/>
                <w:szCs w:val="28"/>
              </w:rPr>
              <w:t xml:space="preserve">chiếm khoảng 6% </w:t>
            </w:r>
            <w:r w:rsidR="00CB3D7D" w:rsidRPr="001C4776">
              <w:rPr>
                <w:rFonts w:eastAsia="Calibri"/>
                <w:szCs w:val="28"/>
              </w:rPr>
              <w:t xml:space="preserve">trong đó có bệnh do Perkinsus - là bệnh thuộc Danh mục các bệnh truyền nhiễm phải công bố dịch; do đó Sở Nông nghiệp và Môi trường đề xuất </w:t>
            </w:r>
            <w:r w:rsidR="00CB3D7D">
              <w:rPr>
                <w:rFonts w:eastAsia="Calibri"/>
                <w:szCs w:val="28"/>
              </w:rPr>
              <w:t>đưa vào đối tượng hỗ trợ.</w:t>
            </w:r>
          </w:p>
          <w:p w14:paraId="6AAAA29C" w14:textId="22A689BD" w:rsidR="00073D8F" w:rsidRPr="00126CDE" w:rsidRDefault="00073D8F" w:rsidP="00CB3D7D">
            <w:pPr>
              <w:spacing w:before="40" w:after="40"/>
              <w:ind w:firstLine="459"/>
              <w:jc w:val="both"/>
              <w:rPr>
                <w:rFonts w:eastAsia="Calibri"/>
                <w:szCs w:val="28"/>
                <w:lang w:val="vi-VN"/>
              </w:rPr>
            </w:pPr>
            <w:r>
              <w:rPr>
                <w:rFonts w:eastAsia="Calibri"/>
                <w:szCs w:val="28"/>
              </w:rPr>
              <w:lastRenderedPageBreak/>
              <w:t xml:space="preserve">Chi phí mua con giống, sản xuất ban đầu: Tôm thẻ chân trắng </w:t>
            </w:r>
            <w:r w:rsidR="00F303C2">
              <w:rPr>
                <w:rFonts w:eastAsia="Calibri"/>
                <w:szCs w:val="28"/>
              </w:rPr>
              <w:t>40</w:t>
            </w:r>
            <w:r>
              <w:rPr>
                <w:rFonts w:eastAsia="Calibri"/>
                <w:szCs w:val="28"/>
              </w:rPr>
              <w:t xml:space="preserve"> triệu đồng/ha; cua biển thâm canh: 42 triệu đồng/ha; nhuyễn thể bãi triều </w:t>
            </w:r>
            <w:r w:rsidR="00F303C2">
              <w:rPr>
                <w:rFonts w:eastAsia="Calibri"/>
                <w:szCs w:val="28"/>
              </w:rPr>
              <w:t>40</w:t>
            </w:r>
            <w:r>
              <w:rPr>
                <w:rFonts w:eastAsia="Calibri"/>
                <w:szCs w:val="28"/>
              </w:rPr>
              <w:t xml:space="preserve"> - </w:t>
            </w:r>
            <w:r w:rsidR="00F303C2">
              <w:rPr>
                <w:rFonts w:eastAsia="Calibri"/>
                <w:szCs w:val="28"/>
              </w:rPr>
              <w:t>80</w:t>
            </w:r>
            <w:r>
              <w:rPr>
                <w:rFonts w:eastAsia="Calibri"/>
                <w:szCs w:val="28"/>
              </w:rPr>
              <w:t>tr/ha; tôm rảo: 12 triệu/</w:t>
            </w:r>
            <w:r w:rsidR="00126CDE">
              <w:rPr>
                <w:rFonts w:eastAsia="Calibri"/>
                <w:szCs w:val="28"/>
              </w:rPr>
              <w:t>ha</w:t>
            </w:r>
            <w:r w:rsidR="00126CDE">
              <w:rPr>
                <w:rFonts w:eastAsia="Calibri"/>
                <w:szCs w:val="28"/>
                <w:lang w:val="vi-VN"/>
              </w:rPr>
              <w:t>.</w:t>
            </w:r>
          </w:p>
        </w:tc>
      </w:tr>
      <w:tr w:rsidR="00CB3D7D" w:rsidRPr="004E4419" w14:paraId="33E6B256" w14:textId="77777777" w:rsidTr="00791D17">
        <w:tc>
          <w:tcPr>
            <w:tcW w:w="7230" w:type="dxa"/>
          </w:tcPr>
          <w:p w14:paraId="5685C9FD" w14:textId="62EE2D30" w:rsidR="009F71DE" w:rsidRDefault="00CB3D7D" w:rsidP="009F71DE">
            <w:pPr>
              <w:autoSpaceDE w:val="0"/>
              <w:autoSpaceDN w:val="0"/>
              <w:adjustRightInd w:val="0"/>
              <w:spacing w:after="120" w:line="350" w:lineRule="exact"/>
              <w:ind w:firstLine="624"/>
              <w:jc w:val="both"/>
              <w:rPr>
                <w:szCs w:val="28"/>
              </w:rPr>
            </w:pPr>
            <w:r>
              <w:rPr>
                <w:szCs w:val="28"/>
              </w:rPr>
              <w:lastRenderedPageBreak/>
              <w:t xml:space="preserve">3. Hỗ trợ </w:t>
            </w:r>
            <w:r w:rsidR="009F71DE">
              <w:rPr>
                <w:szCs w:val="28"/>
              </w:rPr>
              <w:t>doanh nghiệp vừa và nhỏ</w:t>
            </w:r>
            <w:r w:rsidR="009F71DE" w:rsidRPr="007457EF">
              <w:rPr>
                <w:szCs w:val="28"/>
                <w:lang w:val="vi-VN"/>
              </w:rPr>
              <w:t xml:space="preserve"> </w:t>
            </w:r>
            <w:r w:rsidR="009F71DE" w:rsidRPr="00B22561">
              <w:rPr>
                <w:iCs/>
                <w:szCs w:val="28"/>
                <w:lang w:val="vi-VN"/>
              </w:rPr>
              <w:t>(</w:t>
            </w:r>
            <w:r w:rsidR="009F71DE" w:rsidRPr="005C70B3">
              <w:rPr>
                <w:i/>
                <w:szCs w:val="28"/>
                <w:lang w:val="vi-VN"/>
              </w:rPr>
              <w:t>không bao gồm các doanh nghiệp thuộc lực lượng vũ trang</w:t>
            </w:r>
            <w:r w:rsidR="009F71DE" w:rsidRPr="00B22561">
              <w:rPr>
                <w:iCs/>
                <w:szCs w:val="28"/>
                <w:lang w:val="vi-VN"/>
              </w:rPr>
              <w:t>)</w:t>
            </w:r>
            <w:r w:rsidR="009F71DE" w:rsidRPr="007457EF">
              <w:rPr>
                <w:i/>
                <w:szCs w:val="28"/>
                <w:lang w:val="vi-VN"/>
              </w:rPr>
              <w:t xml:space="preserve"> </w:t>
            </w:r>
            <w:r w:rsidR="009F71DE" w:rsidRPr="007457EF">
              <w:rPr>
                <w:szCs w:val="28"/>
                <w:lang w:val="vi-VN"/>
              </w:rPr>
              <w:t xml:space="preserve">có hoạt động chăn nuôi, thủy sản bị thiệt hại do </w:t>
            </w:r>
            <w:r w:rsidR="009F71DE" w:rsidRPr="007457EF">
              <w:rPr>
                <w:szCs w:val="28"/>
              </w:rPr>
              <w:t>dịch bệnh động vật</w:t>
            </w:r>
            <w:r w:rsidR="009F71DE" w:rsidRPr="007457EF">
              <w:rPr>
                <w:szCs w:val="28"/>
                <w:lang w:val="vi-VN"/>
              </w:rPr>
              <w:t xml:space="preserve"> </w:t>
            </w:r>
            <w:r w:rsidR="009F71DE">
              <w:rPr>
                <w:szCs w:val="28"/>
              </w:rPr>
              <w:t>được hỗ trợ bằng mức quy định tại khoản 1, khoản 2 Điều này; đồng thời đảm bảo nguyên tắc hỗ trợ theo quy định tại Điều 5 Luật Hỗ trợ doanh nghiệp nhỏ và vừa số 04/2017/QH14 và các văn bản pháp luật có liên quan theo quy định hiện hành.</w:t>
            </w:r>
          </w:p>
          <w:p w14:paraId="6CB51DE5" w14:textId="71A41BB3" w:rsidR="009F71DE" w:rsidRPr="009F71DE" w:rsidRDefault="009F71DE" w:rsidP="00CB3D7D">
            <w:pPr>
              <w:autoSpaceDE w:val="0"/>
              <w:autoSpaceDN w:val="0"/>
              <w:adjustRightInd w:val="0"/>
              <w:spacing w:after="120" w:line="350" w:lineRule="exact"/>
              <w:ind w:firstLine="624"/>
              <w:jc w:val="both"/>
              <w:rPr>
                <w:szCs w:val="28"/>
              </w:rPr>
            </w:pPr>
          </w:p>
        </w:tc>
        <w:tc>
          <w:tcPr>
            <w:tcW w:w="7087" w:type="dxa"/>
          </w:tcPr>
          <w:p w14:paraId="09B715C3" w14:textId="4F3F12EF" w:rsidR="00CB3D7D" w:rsidRPr="004E4419" w:rsidRDefault="00791D17" w:rsidP="00791D17">
            <w:pPr>
              <w:spacing w:before="40" w:after="40"/>
              <w:jc w:val="both"/>
              <w:rPr>
                <w:rFonts w:eastAsia="Arial"/>
                <w:noProof/>
                <w:kern w:val="2"/>
                <w14:ligatures w14:val="standardContextual"/>
              </w:rPr>
            </w:pPr>
            <w:r>
              <w:rPr>
                <w:rFonts w:eastAsia="Arial"/>
                <w:noProof/>
                <w:kern w:val="2"/>
                <w:lang w:val="vi-VN"/>
                <w14:ligatures w14:val="standardContextual"/>
              </w:rPr>
              <w:t xml:space="preserve">Đề xuất mức hỗ trợ </w:t>
            </w:r>
            <w:r w:rsidR="00CB3D7D" w:rsidRPr="004E4419">
              <w:rPr>
                <w:rFonts w:eastAsia="Arial"/>
                <w:noProof/>
                <w:kern w:val="2"/>
                <w14:ligatures w14:val="standardContextual"/>
              </w:rPr>
              <w:t>đối với d</w:t>
            </w:r>
            <w:r w:rsidR="00CB3D7D" w:rsidRPr="004E4419">
              <w:rPr>
                <w:rFonts w:eastAsia="Calibri"/>
                <w:szCs w:val="28"/>
                <w:lang w:val="vi-VN"/>
              </w:rPr>
              <w:t xml:space="preserve">oanh nghiệp </w:t>
            </w:r>
            <w:r w:rsidR="00CB3D7D" w:rsidRPr="004E4419">
              <w:rPr>
                <w:rFonts w:eastAsia="Calibri"/>
                <w:szCs w:val="28"/>
              </w:rPr>
              <w:t>nhỏ và vừa</w:t>
            </w:r>
            <w:r w:rsidR="00CB3D7D" w:rsidRPr="004E4419">
              <w:rPr>
                <w:rFonts w:eastAsia="Calibri"/>
                <w:szCs w:val="28"/>
                <w:lang w:val="vi-VN"/>
              </w:rPr>
              <w:t xml:space="preserve"> </w:t>
            </w:r>
            <w:r w:rsidR="00CB3D7D" w:rsidRPr="004E4419">
              <w:rPr>
                <w:rFonts w:eastAsia="Calibri"/>
                <w:szCs w:val="28"/>
                <w:lang w:val="nl-NL"/>
              </w:rPr>
              <w:t>(</w:t>
            </w:r>
            <w:r w:rsidR="00CB3D7D" w:rsidRPr="00126CDE">
              <w:rPr>
                <w:rFonts w:eastAsia="Calibri"/>
                <w:i/>
                <w:iCs/>
                <w:szCs w:val="28"/>
                <w:lang w:val="nl-NL"/>
              </w:rPr>
              <w:t>không bao gồm các doanh nghiệp thuộc lực lượng vũ trang</w:t>
            </w:r>
            <w:r w:rsidR="00CB3D7D" w:rsidRPr="004E4419">
              <w:rPr>
                <w:rFonts w:eastAsia="Calibri"/>
                <w:szCs w:val="28"/>
                <w:lang w:val="nl-NL"/>
              </w:rPr>
              <w:t xml:space="preserve">) có hoạt động chăn nuôi, nuôi trồng thủy sản, sản xuất, ương dưỡng giống thủy sản trên địa bàn </w:t>
            </w:r>
            <w:r w:rsidR="00CB3D7D">
              <w:rPr>
                <w:rFonts w:eastAsia="Calibri"/>
                <w:szCs w:val="28"/>
                <w:lang w:val="nl-NL"/>
              </w:rPr>
              <w:t>thành phố</w:t>
            </w:r>
            <w:r w:rsidR="00CB3D7D" w:rsidRPr="004E4419">
              <w:rPr>
                <w:rFonts w:eastAsia="Calibri"/>
                <w:iCs/>
                <w:szCs w:val="28"/>
              </w:rPr>
              <w:t xml:space="preserve"> bị thiệt hại do dịch bệnh động vật được hỗ trợ </w:t>
            </w:r>
            <w:r w:rsidR="00CB3D7D" w:rsidRPr="004E4419">
              <w:rPr>
                <w:rFonts w:eastAsia="Calibri"/>
                <w:szCs w:val="28"/>
                <w:lang w:val="nl-NL"/>
              </w:rPr>
              <w:t>bằng mức hỗ trợ đối với cơ sở sản xuất</w:t>
            </w:r>
            <w:r w:rsidR="00CB3D7D" w:rsidRPr="004E4419">
              <w:rPr>
                <w:rFonts w:eastAsia="Calibri"/>
                <w:iCs/>
                <w:szCs w:val="28"/>
              </w:rPr>
              <w:t xml:space="preserve"> và theo mức quy định Điều 6 </w:t>
            </w:r>
            <w:r w:rsidR="00CB3D7D" w:rsidRPr="004E4419">
              <w:rPr>
                <w:rFonts w:eastAsia="Arial"/>
                <w:noProof/>
                <w:kern w:val="2"/>
                <w14:ligatures w14:val="standardContextual"/>
              </w:rPr>
              <w:t>Nghị định số 116/2025/NĐ-CP</w:t>
            </w:r>
            <w:r w:rsidR="00B76AED">
              <w:rPr>
                <w:rFonts w:eastAsia="Arial"/>
                <w:noProof/>
                <w:kern w:val="2"/>
                <w14:ligatures w14:val="standardContextual"/>
              </w:rPr>
              <w:t xml:space="preserve"> của Chính phủ.</w:t>
            </w:r>
          </w:p>
          <w:p w14:paraId="7CFB7DCD" w14:textId="77777777" w:rsidR="00E16EE2" w:rsidRDefault="00CB3D7D" w:rsidP="00E16EE2">
            <w:pPr>
              <w:jc w:val="both"/>
              <w:rPr>
                <w:rFonts w:eastAsia="Arial"/>
                <w:noProof/>
                <w:kern w:val="2"/>
                <w:lang w:val="vi-VN"/>
                <w14:ligatures w14:val="standardContextual"/>
              </w:rPr>
            </w:pPr>
            <w:r w:rsidRPr="004E4419">
              <w:rPr>
                <w:rFonts w:eastAsia="Arial"/>
                <w:noProof/>
                <w:kern w:val="2"/>
                <w14:ligatures w14:val="standardContextual"/>
              </w:rPr>
              <w:t xml:space="preserve">Lý do: </w:t>
            </w:r>
          </w:p>
          <w:p w14:paraId="155340C3" w14:textId="77777777" w:rsidR="00791D17" w:rsidRDefault="00E16EE2" w:rsidP="00791D17">
            <w:pPr>
              <w:jc w:val="both"/>
              <w:rPr>
                <w:rFonts w:eastAsia="Courier New"/>
                <w:lang w:val="vi-VN"/>
              </w:rPr>
            </w:pPr>
            <w:r>
              <w:rPr>
                <w:rFonts w:eastAsia="Courier New"/>
                <w:lang w:val="vi-VN"/>
              </w:rPr>
              <w:t>- Cơ sở pháp lý: Theo quy định</w:t>
            </w:r>
            <w:r w:rsidRPr="00E16EE2">
              <w:rPr>
                <w:rFonts w:eastAsia="Courier New"/>
                <w:lang w:val="vi-VN"/>
              </w:rPr>
              <w:t xml:space="preserve"> tại điểm c khoản 3 Điều 12 Nghị định số 116/2025/NĐ-CP của Chính phủ.</w:t>
            </w:r>
          </w:p>
          <w:p w14:paraId="2E2AEB9A" w14:textId="6D0FE1B8" w:rsidR="00D90318" w:rsidRDefault="00E16EE2" w:rsidP="00791D17">
            <w:pPr>
              <w:jc w:val="both"/>
              <w:rPr>
                <w:rFonts w:eastAsia="Arial"/>
                <w:noProof/>
                <w:kern w:val="2"/>
                <w:lang w:val="vi-VN"/>
                <w14:ligatures w14:val="standardContextual"/>
              </w:rPr>
            </w:pPr>
            <w:r>
              <w:rPr>
                <w:rFonts w:eastAsia="Arial"/>
                <w:noProof/>
                <w:kern w:val="2"/>
                <w:lang w:val="vi-VN"/>
                <w14:ligatures w14:val="standardContextual"/>
              </w:rPr>
              <w:t xml:space="preserve">- Cơ sở thực tiễn: </w:t>
            </w:r>
          </w:p>
          <w:p w14:paraId="3B551547" w14:textId="77777777" w:rsidR="00D90318" w:rsidRDefault="00D90318" w:rsidP="00CB3D7D">
            <w:pPr>
              <w:spacing w:before="40" w:after="40"/>
              <w:ind w:firstLine="459"/>
              <w:jc w:val="both"/>
              <w:rPr>
                <w:rFonts w:eastAsia="Courier New"/>
                <w:lang w:val="vi-VN"/>
              </w:rPr>
            </w:pPr>
            <w:r>
              <w:rPr>
                <w:rFonts w:eastAsia="Calibri"/>
                <w:szCs w:val="28"/>
                <w:lang w:val="vi-VN"/>
              </w:rPr>
              <w:t xml:space="preserve">+ </w:t>
            </w:r>
            <w:r w:rsidRPr="00E16EE2">
              <w:rPr>
                <w:rFonts w:eastAsia="Courier New"/>
                <w:lang w:val="vi-VN"/>
              </w:rPr>
              <w:t xml:space="preserve">Phù hợp với chủ trương phát triển kinh tế tư nhân của Chính phủ hiện nay, thực thi các chương trình hành động, tập trung vào từng nhóm doanh nghiệp nhỏ, vừa, siêu nhỏ: Nghị quyết số 68-NQ/TW ngày 04/5/2025 của Bộ Chính trị về phát triển kinh tế tư nhân; Nghị quyết số 198/2025/QH15 của Quốc </w:t>
            </w:r>
            <w:r w:rsidRPr="00E16EE2">
              <w:rPr>
                <w:rFonts w:eastAsia="Courier New"/>
                <w:lang w:val="vi-VN"/>
              </w:rPr>
              <w:lastRenderedPageBreak/>
              <w:t xml:space="preserve">hội về một số cơ chế, chính sách đặc biệt phát triển kinh tế tư nhân. </w:t>
            </w:r>
            <w:r>
              <w:rPr>
                <w:rFonts w:eastAsia="Courier New"/>
                <w:lang w:val="vi-VN"/>
              </w:rPr>
              <w:t xml:space="preserve"> </w:t>
            </w:r>
          </w:p>
          <w:p w14:paraId="52C74472" w14:textId="7FA408DE" w:rsidR="00D90318" w:rsidRDefault="00D90318" w:rsidP="00CB3D7D">
            <w:pPr>
              <w:spacing w:before="40" w:after="40"/>
              <w:ind w:firstLine="459"/>
              <w:jc w:val="both"/>
              <w:rPr>
                <w:rFonts w:eastAsia="Arial"/>
                <w:noProof/>
                <w:kern w:val="2"/>
                <w:lang w:val="vi-VN"/>
                <w14:ligatures w14:val="standardContextual"/>
              </w:rPr>
            </w:pPr>
            <w:r>
              <w:rPr>
                <w:rFonts w:eastAsia="Courier New"/>
                <w:lang w:val="vi-VN"/>
              </w:rPr>
              <w:t xml:space="preserve">+ </w:t>
            </w:r>
            <w:r w:rsidRPr="00E16EE2">
              <w:rPr>
                <w:rFonts w:eastAsia="Courier New"/>
                <w:lang w:val="vi-VN"/>
              </w:rPr>
              <w:t>Đối với các nền kinh tế đang phát triển, khu vực doanh nghiệp vừa và nhỏ được xác định là thành tố cơ bản, có tính quyết định đối với sự thành công của công cuộc phát triển kinh tế, xóa đói giảm nghèo, do đó, chủ trương hỗ trợ phát triển doanh nghiệp hoạt động trong lĩnh vực nông nghiệp được coi là động lực cho phát triển nông nghiệp và kinh tế nông thôn</w:t>
            </w:r>
          </w:p>
          <w:p w14:paraId="0128CCAC" w14:textId="77777777" w:rsidR="00D90318" w:rsidRDefault="00D90318" w:rsidP="00D90318">
            <w:pPr>
              <w:spacing w:before="40" w:after="40"/>
              <w:ind w:firstLine="459"/>
              <w:jc w:val="both"/>
              <w:rPr>
                <w:rFonts w:eastAsia="Calibri"/>
                <w:szCs w:val="28"/>
                <w:lang w:val="vi-VN"/>
              </w:rPr>
            </w:pPr>
            <w:r>
              <w:rPr>
                <w:rFonts w:eastAsia="Arial"/>
                <w:noProof/>
                <w:kern w:val="2"/>
                <w:lang w:val="vi-VN"/>
                <w14:ligatures w14:val="standardContextual"/>
              </w:rPr>
              <w:t xml:space="preserve">+ </w:t>
            </w:r>
            <w:r w:rsidR="00CB3D7D" w:rsidRPr="006C4EF6">
              <w:rPr>
                <w:rFonts w:eastAsia="Arial"/>
                <w:noProof/>
                <w:kern w:val="2"/>
                <w14:ligatures w14:val="standardContextual"/>
              </w:rPr>
              <w:t xml:space="preserve">Doanh nghiệp nhỏ và vừa nói chung, lĩnh vực chăn nuôi, thủy sản nói riêng đã và đang là thành phần có đóng góp quan trọng trong sự phát triển của ngành nông nghiệp. Mặc dù các doanh nghiệp nhỏ và vừa được hỗ trợ theo pháp luật về hỗ trợ doanh nghiệp nhỏ và vừa, tuy nhiên </w:t>
            </w:r>
            <w:r w:rsidR="00CB3D7D">
              <w:rPr>
                <w:rFonts w:eastAsia="Arial"/>
                <w:noProof/>
                <w:kern w:val="2"/>
                <w14:ligatures w14:val="standardContextual"/>
              </w:rPr>
              <w:t>p</w:t>
            </w:r>
            <w:r w:rsidR="00CB3D7D" w:rsidRPr="004E4419">
              <w:rPr>
                <w:rFonts w:eastAsia="Calibri"/>
                <w:szCs w:val="28"/>
              </w:rPr>
              <w:t xml:space="preserve">hần lớn các doanh nghiệp nhỏ và vừa lĩnh vực chăn nuôi, thủy sản </w:t>
            </w:r>
            <w:r w:rsidR="00CB3D7D">
              <w:rPr>
                <w:rFonts w:eastAsia="Calibri"/>
                <w:szCs w:val="28"/>
              </w:rPr>
              <w:t>trên địa bàn thành phố có</w:t>
            </w:r>
            <w:r w:rsidR="00CB3D7D" w:rsidRPr="004E4419">
              <w:rPr>
                <w:rFonts w:eastAsia="Calibri"/>
                <w:szCs w:val="28"/>
              </w:rPr>
              <w:t xml:space="preserve"> năng lực, điều kiện, công nghệ sản xuất</w:t>
            </w:r>
            <w:r w:rsidR="00CB3D7D">
              <w:rPr>
                <w:rFonts w:eastAsia="Calibri"/>
                <w:szCs w:val="28"/>
              </w:rPr>
              <w:t xml:space="preserve"> còn</w:t>
            </w:r>
            <w:r w:rsidR="00CB3D7D" w:rsidRPr="004E4419">
              <w:rPr>
                <w:rFonts w:eastAsia="Calibri"/>
                <w:szCs w:val="28"/>
              </w:rPr>
              <w:t xml:space="preserve"> hạn chế, quy mô sản xuất, thực hành an toàn sinh học còn thấp, nên nguy cơ dịch bệnh vẫn cao, việc có chính sách hỗ trợ hợp lý cho doanh nghiệp nhỏ và vừa sẽ tạo điều kiện để nhóm đối tượng này nhanh chóng khôi phục sản xuất, tiếp tục đầu tư phát triển và có đóng góp cho phát triển kinh tế của </w:t>
            </w:r>
            <w:r w:rsidR="00CB3D7D">
              <w:rPr>
                <w:rFonts w:eastAsia="Calibri"/>
                <w:szCs w:val="28"/>
              </w:rPr>
              <w:t>thành phố.</w:t>
            </w:r>
          </w:p>
          <w:p w14:paraId="7B48D37F" w14:textId="664283C5" w:rsidR="00126CDE" w:rsidRPr="00126CDE" w:rsidRDefault="00126CDE" w:rsidP="00126CDE">
            <w:pPr>
              <w:autoSpaceDE w:val="0"/>
              <w:autoSpaceDN w:val="0"/>
              <w:adjustRightInd w:val="0"/>
              <w:spacing w:after="120" w:line="350" w:lineRule="exact"/>
              <w:ind w:firstLine="624"/>
              <w:jc w:val="both"/>
              <w:rPr>
                <w:szCs w:val="28"/>
                <w:lang w:val="vi-VN"/>
              </w:rPr>
            </w:pPr>
            <w:r>
              <w:rPr>
                <w:rFonts w:eastAsia="Calibri"/>
                <w:szCs w:val="28"/>
                <w:lang w:val="vi-VN"/>
              </w:rPr>
              <w:t xml:space="preserve">+ Doanh nghiệp nhỏ và vừa phải thực hiện các quy định của </w:t>
            </w:r>
            <w:r>
              <w:rPr>
                <w:szCs w:val="28"/>
              </w:rPr>
              <w:t>Luật Hỗ trợ doanh nghiệp nhỏ và vừa số 04/2017/QH14 và các văn bản pháp luật có liên quan theo quy định hiện hành.</w:t>
            </w:r>
          </w:p>
        </w:tc>
      </w:tr>
      <w:tr w:rsidR="00CB3D7D" w:rsidRPr="004E4419" w14:paraId="29836FDB" w14:textId="77777777" w:rsidTr="00791D17">
        <w:tc>
          <w:tcPr>
            <w:tcW w:w="7230" w:type="dxa"/>
          </w:tcPr>
          <w:p w14:paraId="724756ED" w14:textId="73E5D8A8" w:rsidR="00CB3D7D" w:rsidRPr="00C63D34" w:rsidRDefault="00CB3D7D" w:rsidP="00CB3D7D">
            <w:pPr>
              <w:keepNext/>
              <w:spacing w:before="40" w:after="40"/>
              <w:ind w:firstLine="589"/>
              <w:outlineLvl w:val="1"/>
              <w:rPr>
                <w:b/>
                <w:bCs/>
                <w:i/>
                <w:iCs/>
                <w:spacing w:val="-6"/>
                <w:szCs w:val="28"/>
                <w:lang w:val="vi-VN"/>
              </w:rPr>
            </w:pPr>
            <w:r w:rsidRPr="00C63D34">
              <w:rPr>
                <w:b/>
                <w:bCs/>
                <w:spacing w:val="-6"/>
                <w:szCs w:val="28"/>
                <w:lang w:val="vi-VN"/>
              </w:rPr>
              <w:lastRenderedPageBreak/>
              <w:t xml:space="preserve">Điều </w:t>
            </w:r>
            <w:r>
              <w:rPr>
                <w:b/>
                <w:bCs/>
                <w:spacing w:val="-6"/>
                <w:szCs w:val="28"/>
              </w:rPr>
              <w:t>3</w:t>
            </w:r>
            <w:r w:rsidRPr="00C63D34">
              <w:rPr>
                <w:b/>
                <w:bCs/>
                <w:spacing w:val="-6"/>
                <w:szCs w:val="28"/>
                <w:lang w:val="vi-VN"/>
              </w:rPr>
              <w:t xml:space="preserve">. Mức hỗ trợ đối với người tham gia </w:t>
            </w:r>
            <w:r w:rsidRPr="00C63D34">
              <w:rPr>
                <w:b/>
                <w:bCs/>
                <w:spacing w:val="-6"/>
                <w:szCs w:val="28"/>
              </w:rPr>
              <w:t>khắc phục</w:t>
            </w:r>
            <w:r w:rsidRPr="00C63D34">
              <w:rPr>
                <w:b/>
                <w:bCs/>
                <w:spacing w:val="-6"/>
                <w:szCs w:val="28"/>
                <w:lang w:val="vi-VN"/>
              </w:rPr>
              <w:t xml:space="preserve"> dịch bệnh</w:t>
            </w:r>
            <w:r w:rsidRPr="00C63D34">
              <w:rPr>
                <w:b/>
                <w:bCs/>
                <w:iCs/>
                <w:spacing w:val="-6"/>
                <w:szCs w:val="28"/>
                <w:lang w:val="vi-VN"/>
              </w:rPr>
              <w:t xml:space="preserve"> động vật</w:t>
            </w:r>
          </w:p>
          <w:p w14:paraId="35DEC765" w14:textId="77777777" w:rsidR="00CB3D7D" w:rsidRPr="00C63D34" w:rsidRDefault="00CB3D7D" w:rsidP="00CB3D7D">
            <w:pPr>
              <w:shd w:val="clear" w:color="auto" w:fill="FFFFFF"/>
              <w:spacing w:before="40" w:after="40"/>
              <w:ind w:firstLine="589"/>
              <w:jc w:val="both"/>
              <w:rPr>
                <w:rFonts w:eastAsia="Calibri"/>
                <w:szCs w:val="28"/>
              </w:rPr>
            </w:pPr>
            <w:r w:rsidRPr="00C63D34">
              <w:rPr>
                <w:rFonts w:eastAsia="Calibri"/>
                <w:szCs w:val="28"/>
              </w:rP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14:paraId="3E944CED" w14:textId="77777777" w:rsidR="00CB3D7D" w:rsidRPr="00C63D34" w:rsidRDefault="00CB3D7D" w:rsidP="00CB3D7D">
            <w:pPr>
              <w:shd w:val="clear" w:color="auto" w:fill="FFFFFF"/>
              <w:spacing w:before="40" w:after="40"/>
              <w:ind w:firstLine="589"/>
              <w:jc w:val="both"/>
              <w:rPr>
                <w:rFonts w:eastAsia="Calibri"/>
                <w:b/>
                <w:szCs w:val="28"/>
              </w:rPr>
            </w:pPr>
            <w:r w:rsidRPr="00C63D34">
              <w:rPr>
                <w:rFonts w:eastAsia="Calibri"/>
                <w:szCs w:val="28"/>
              </w:rP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tc>
        <w:tc>
          <w:tcPr>
            <w:tcW w:w="7087" w:type="dxa"/>
          </w:tcPr>
          <w:p w14:paraId="5A57F4C4" w14:textId="672078F6" w:rsidR="00CB3D7D" w:rsidRPr="00D90318" w:rsidRDefault="00126CDE" w:rsidP="00CB3D7D">
            <w:pPr>
              <w:spacing w:before="40" w:after="40"/>
              <w:ind w:firstLine="459"/>
              <w:jc w:val="both"/>
              <w:rPr>
                <w:rFonts w:eastAsia="Arial"/>
                <w:noProof/>
                <w:kern w:val="2"/>
                <w14:ligatures w14:val="standardContextual"/>
              </w:rPr>
            </w:pPr>
            <w:r>
              <w:rPr>
                <w:rFonts w:eastAsia="Arial"/>
                <w:noProof/>
                <w:kern w:val="2"/>
                <w14:ligatures w14:val="standardContextual"/>
              </w:rPr>
              <w:t>Đề</w:t>
            </w:r>
            <w:r>
              <w:rPr>
                <w:rFonts w:eastAsia="Arial"/>
                <w:noProof/>
                <w:kern w:val="2"/>
                <w:lang w:val="vi-VN"/>
                <w14:ligatures w14:val="standardContextual"/>
              </w:rPr>
              <w:t xml:space="preserve"> xuất g</w:t>
            </w:r>
            <w:r w:rsidR="00D90318" w:rsidRPr="00D90318">
              <w:rPr>
                <w:rFonts w:eastAsia="Arial"/>
                <w:noProof/>
                <w:kern w:val="2"/>
                <w14:ligatures w14:val="standardContextual"/>
              </w:rPr>
              <w:t xml:space="preserve">iữ nguyên mức </w:t>
            </w:r>
            <w:r w:rsidR="00CB3D7D" w:rsidRPr="00D90318">
              <w:rPr>
                <w:rFonts w:eastAsia="Arial"/>
                <w:noProof/>
                <w:kern w:val="2"/>
                <w14:ligatures w14:val="standardContextual"/>
              </w:rPr>
              <w:t>hỗ trợ đối với người tham gia khắc phục dịch bệnh động vật bằng mức hỗ trợ quy định tại Điều 7 Nghị định số 116/2025/NĐ-CP</w:t>
            </w:r>
            <w:r w:rsidR="00791D17">
              <w:rPr>
                <w:rFonts w:eastAsia="Arial"/>
                <w:noProof/>
                <w:kern w:val="2"/>
                <w:lang w:val="vi-VN"/>
                <w14:ligatures w14:val="standardContextual"/>
              </w:rPr>
              <w:t xml:space="preserve"> ngày 05 tháng 6 năm 2025 của Chính phủ</w:t>
            </w:r>
            <w:r w:rsidR="00CB3D7D" w:rsidRPr="00D90318">
              <w:rPr>
                <w:rFonts w:eastAsia="Arial"/>
                <w:noProof/>
                <w:kern w:val="2"/>
                <w14:ligatures w14:val="standardContextual"/>
              </w:rPr>
              <w:t>.</w:t>
            </w:r>
          </w:p>
          <w:p w14:paraId="3658A806" w14:textId="3A59498C" w:rsidR="00D90318" w:rsidRPr="00D90318" w:rsidRDefault="00D90318" w:rsidP="00D90318">
            <w:pPr>
              <w:spacing w:before="40" w:after="40"/>
              <w:ind w:firstLine="459"/>
              <w:jc w:val="both"/>
              <w:rPr>
                <w:rFonts w:eastAsia="Arial"/>
                <w:noProof/>
                <w:kern w:val="2"/>
                <w14:ligatures w14:val="standardContextual"/>
              </w:rPr>
            </w:pPr>
            <w:r w:rsidRPr="00D90318">
              <w:rPr>
                <w:rFonts w:eastAsia="Arial"/>
                <w:noProof/>
                <w:kern w:val="2"/>
                <w14:ligatures w14:val="standardContextual"/>
              </w:rPr>
              <w:t>- Cơ sở pháp lý: quy định tại khoản 1, khoản 2 Điều 7 Nghị định số 116/2025/NĐ-CP của Chính phủ</w:t>
            </w:r>
          </w:p>
          <w:p w14:paraId="2E677403" w14:textId="7914A4CC" w:rsidR="00D90318" w:rsidRDefault="00D90318" w:rsidP="00D90318">
            <w:pPr>
              <w:spacing w:before="40" w:after="40"/>
              <w:ind w:firstLine="459"/>
              <w:jc w:val="both"/>
              <w:rPr>
                <w:rFonts w:eastAsia="Arial"/>
                <w:noProof/>
                <w:kern w:val="2"/>
                <w:lang w:val="vi-VN"/>
                <w14:ligatures w14:val="standardContextual"/>
              </w:rPr>
            </w:pPr>
            <w:r w:rsidRPr="00D90318">
              <w:rPr>
                <w:rFonts w:eastAsia="Arial"/>
                <w:noProof/>
                <w:kern w:val="2"/>
                <w14:ligatures w14:val="standardContextual"/>
              </w:rPr>
              <w:t xml:space="preserve">- Cơ sở thực </w:t>
            </w:r>
            <w:r>
              <w:rPr>
                <w:rFonts w:eastAsia="Arial"/>
                <w:noProof/>
                <w:kern w:val="2"/>
                <w14:ligatures w14:val="standardContextual"/>
              </w:rPr>
              <w:t>tiễn</w:t>
            </w:r>
            <w:r w:rsidRPr="00D90318">
              <w:rPr>
                <w:rFonts w:eastAsia="Arial"/>
                <w:noProof/>
                <w:kern w:val="2"/>
                <w14:ligatures w14:val="standardContextual"/>
              </w:rPr>
              <w:t xml:space="preserve">: </w:t>
            </w:r>
          </w:p>
          <w:p w14:paraId="0232C39A" w14:textId="5AA3E7C6" w:rsidR="00D90318" w:rsidRPr="00126CDE" w:rsidRDefault="00D90318" w:rsidP="00D90318">
            <w:pPr>
              <w:spacing w:before="40" w:after="40"/>
              <w:ind w:firstLine="459"/>
              <w:jc w:val="both"/>
              <w:rPr>
                <w:rFonts w:eastAsia="Arial"/>
                <w:noProof/>
                <w:kern w:val="2"/>
                <w:lang w:val="vi-VN"/>
                <w14:ligatures w14:val="standardContextual"/>
              </w:rPr>
            </w:pPr>
            <w:r>
              <w:rPr>
                <w:rFonts w:eastAsia="Arial"/>
                <w:noProof/>
                <w:kern w:val="2"/>
                <w:lang w:val="vi-VN"/>
                <w14:ligatures w14:val="standardContextual"/>
              </w:rPr>
              <w:t xml:space="preserve">+ </w:t>
            </w:r>
            <w:r w:rsidRPr="00D90318">
              <w:rPr>
                <w:rFonts w:eastAsia="Arial"/>
                <w:noProof/>
                <w:kern w:val="2"/>
                <w14:ligatures w14:val="standardContextual"/>
              </w:rPr>
              <w:t xml:space="preserve">Công tác phòng, chống dịch bệnh đòi hỏi có sự tham gia của nhiều thành phần, </w:t>
            </w:r>
            <w:r w:rsidR="00126CDE">
              <w:rPr>
                <w:rFonts w:eastAsia="Arial"/>
                <w:noProof/>
                <w:kern w:val="2"/>
                <w14:ligatures w14:val="standardContextual"/>
              </w:rPr>
              <w:t>ngoài</w:t>
            </w:r>
            <w:r w:rsidR="00126CDE">
              <w:rPr>
                <w:rFonts w:eastAsia="Arial"/>
                <w:noProof/>
                <w:kern w:val="2"/>
                <w:lang w:val="vi-VN"/>
                <w14:ligatures w14:val="standardContextual"/>
              </w:rPr>
              <w:t xml:space="preserve"> lực lượng hưởng lương từ ngân sách nhà nước, </w:t>
            </w:r>
            <w:r w:rsidRPr="00D90318">
              <w:rPr>
                <w:rFonts w:eastAsia="Arial"/>
                <w:noProof/>
                <w:kern w:val="2"/>
                <w14:ligatures w14:val="standardContextual"/>
              </w:rPr>
              <w:t xml:space="preserve">cần thuê </w:t>
            </w:r>
            <w:r w:rsidR="00126CDE">
              <w:rPr>
                <w:rFonts w:eastAsia="Arial"/>
                <w:noProof/>
                <w:kern w:val="2"/>
                <w14:ligatures w14:val="standardContextual"/>
              </w:rPr>
              <w:t>thêm</w:t>
            </w:r>
            <w:r w:rsidR="00126CDE">
              <w:rPr>
                <w:rFonts w:eastAsia="Arial"/>
                <w:noProof/>
                <w:kern w:val="2"/>
                <w:lang w:val="vi-VN"/>
                <w14:ligatures w14:val="standardContextual"/>
              </w:rPr>
              <w:t xml:space="preserve"> </w:t>
            </w:r>
            <w:r w:rsidRPr="00D90318">
              <w:rPr>
                <w:rFonts w:eastAsia="Arial"/>
                <w:noProof/>
                <w:kern w:val="2"/>
                <w14:ligatures w14:val="standardContextual"/>
              </w:rPr>
              <w:t xml:space="preserve">lực lượng lao động phổ thông để khử trùng, tiêu độc, tiêu hủy động vật bệnh, chết, xử lý môi trường. Những công việc này đòi hỏi nhiều công sức, tổn hại sức khỏe, thậm chí có thể bị tai nạn, nhiễm các bệnh lây truyền từ động vật sang </w:t>
            </w:r>
            <w:r w:rsidR="00126CDE">
              <w:rPr>
                <w:rFonts w:eastAsia="Arial"/>
                <w:noProof/>
                <w:kern w:val="2"/>
                <w14:ligatures w14:val="standardContextual"/>
              </w:rPr>
              <w:t>người</w:t>
            </w:r>
            <w:r w:rsidR="00126CDE">
              <w:rPr>
                <w:rFonts w:eastAsia="Arial"/>
                <w:noProof/>
                <w:kern w:val="2"/>
                <w:lang w:val="vi-VN"/>
                <w14:ligatures w14:val="standardContextual"/>
              </w:rPr>
              <w:t>; khi có chính sách hỗ trợ công tham gia khắc phục dịch bệnh, tạo điều kiện thuận lợi cho các địa phương trong công tác huy động lực lượng tham gia, đáp ứng kịp thời tính khẩn trương, cấp bách của công tác chống dịch bệnh động vật.</w:t>
            </w:r>
          </w:p>
          <w:p w14:paraId="7B55E6C8" w14:textId="505D87E8" w:rsidR="00CB3D7D" w:rsidRPr="00D90318" w:rsidRDefault="00D90318" w:rsidP="00D90318">
            <w:pPr>
              <w:spacing w:before="40" w:after="40"/>
              <w:ind w:firstLine="459"/>
              <w:jc w:val="both"/>
              <w:rPr>
                <w:rFonts w:eastAsia="Arial"/>
                <w:noProof/>
                <w:kern w:val="2"/>
                <w:lang w:val="vi-VN"/>
                <w14:ligatures w14:val="standardContextual"/>
              </w:rPr>
            </w:pPr>
            <w:r>
              <w:rPr>
                <w:rFonts w:eastAsia="Arial"/>
                <w:noProof/>
                <w:kern w:val="2"/>
                <w:lang w:val="vi-VN"/>
                <w14:ligatures w14:val="standardContextual"/>
              </w:rPr>
              <w:t>+</w:t>
            </w:r>
            <w:r w:rsidR="00CB3D7D" w:rsidRPr="004E4419">
              <w:rPr>
                <w:rFonts w:eastAsia="Arial"/>
                <w:noProof/>
                <w:kern w:val="2"/>
                <w14:ligatures w14:val="standardContextual"/>
              </w:rPr>
              <w:t xml:space="preserve"> </w:t>
            </w:r>
            <w:r w:rsidR="00CB3D7D" w:rsidRPr="00C85285">
              <w:rPr>
                <w:rFonts w:eastAsia="Arial"/>
                <w:noProof/>
                <w:kern w:val="2"/>
                <w14:ligatures w14:val="standardContextual"/>
              </w:rPr>
              <w:t xml:space="preserve">Nghị định số 116/2025/NĐ-CP được Chính phủ ban hành ngày 05/6/2025 (có hiệu lực từ ngày 25/7/2025), do mới được ban hành, có hiệu lực nên mức hỗ trợ quy định tại Nghị định vẫn phù hợp với thực tế hiện nay </w:t>
            </w:r>
            <w:r w:rsidR="00CB3D7D">
              <w:rPr>
                <w:rFonts w:eastAsia="Arial"/>
                <w:noProof/>
                <w:kern w:val="2"/>
                <w14:ligatures w14:val="standardContextual"/>
              </w:rPr>
              <w:t xml:space="preserve">trên địa bàn thành </w:t>
            </w:r>
            <w:r>
              <w:rPr>
                <w:rFonts w:eastAsia="Arial"/>
                <w:noProof/>
                <w:kern w:val="2"/>
                <w14:ligatures w14:val="standardContextual"/>
              </w:rPr>
              <w:t>phố</w:t>
            </w:r>
            <w:r>
              <w:rPr>
                <w:rFonts w:eastAsia="Arial"/>
                <w:noProof/>
                <w:kern w:val="2"/>
                <w:lang w:val="vi-VN"/>
                <w14:ligatures w14:val="standardContextual"/>
              </w:rPr>
              <w:t>.</w:t>
            </w:r>
          </w:p>
        </w:tc>
      </w:tr>
      <w:tr w:rsidR="00CB3D7D" w:rsidRPr="004E4419" w14:paraId="52A0A0D9" w14:textId="77777777" w:rsidTr="00791D17">
        <w:tc>
          <w:tcPr>
            <w:tcW w:w="7230" w:type="dxa"/>
          </w:tcPr>
          <w:p w14:paraId="3266FF4C" w14:textId="77777777" w:rsidR="00CB3D7D" w:rsidRPr="00C63D34" w:rsidRDefault="00CB3D7D" w:rsidP="00CB3D7D">
            <w:pPr>
              <w:keepNext/>
              <w:spacing w:before="40" w:after="40"/>
              <w:ind w:firstLine="589"/>
              <w:outlineLvl w:val="1"/>
              <w:rPr>
                <w:b/>
                <w:bCs/>
                <w:szCs w:val="28"/>
                <w:lang w:val="vi-VN"/>
              </w:rPr>
            </w:pPr>
            <w:bookmarkStart w:id="2" w:name="dieu_9"/>
            <w:r w:rsidRPr="00C63D34">
              <w:rPr>
                <w:b/>
                <w:bCs/>
                <w:szCs w:val="28"/>
                <w:lang w:val="vi-VN"/>
              </w:rPr>
              <w:lastRenderedPageBreak/>
              <w:t xml:space="preserve">Điều </w:t>
            </w:r>
            <w:r w:rsidRPr="00C63D34">
              <w:rPr>
                <w:b/>
                <w:bCs/>
                <w:szCs w:val="28"/>
              </w:rPr>
              <w:t>4</w:t>
            </w:r>
            <w:r w:rsidRPr="00C63D34">
              <w:rPr>
                <w:b/>
                <w:bCs/>
                <w:szCs w:val="28"/>
                <w:lang w:val="vi-VN"/>
              </w:rPr>
              <w:t xml:space="preserve">. </w:t>
            </w:r>
            <w:bookmarkEnd w:id="2"/>
            <w:r w:rsidRPr="00C63D34">
              <w:rPr>
                <w:b/>
                <w:bCs/>
                <w:szCs w:val="28"/>
                <w:lang w:val="vi-VN"/>
              </w:rPr>
              <w:t>Quy định chuyển tiếp</w:t>
            </w:r>
          </w:p>
          <w:p w14:paraId="1AE735B9" w14:textId="77777777" w:rsidR="00E41B11" w:rsidRPr="00E41B11" w:rsidRDefault="00E41B11" w:rsidP="00E41B11">
            <w:pPr>
              <w:spacing w:before="40" w:after="40"/>
              <w:ind w:firstLine="459"/>
              <w:jc w:val="both"/>
              <w:rPr>
                <w:rFonts w:eastAsia="Calibri"/>
                <w:spacing w:val="-2"/>
                <w:szCs w:val="28"/>
              </w:rPr>
            </w:pPr>
            <w:r w:rsidRPr="00E41B11">
              <w:rPr>
                <w:rFonts w:eastAsia="Calibri"/>
                <w:spacing w:val="-2"/>
                <w:szCs w:val="28"/>
              </w:rPr>
              <w:t>1. Đối với hồ sơ đề nghị hỗ trợ thiệt hại do dịch bệnh động vật xảy ra trước ngày 25 tháng 7 năm 2025, đã được cơ quan chức năng có thẩm quyền tiếp nhận nhưng chưa thực hiện hỗ trợ, việc hỗ trợ thực hiện theo quy định tại Nghị định số </w:t>
            </w:r>
            <w:hyperlink r:id="rId8" w:tgtFrame="_blank" w:history="1">
              <w:r w:rsidRPr="00E41B11">
                <w:rPr>
                  <w:rFonts w:eastAsia="Calibri"/>
                  <w:spacing w:val="-2"/>
                  <w:szCs w:val="28"/>
                </w:rPr>
                <w:t>02/2017/NĐ-CP</w:t>
              </w:r>
            </w:hyperlink>
            <w:r w:rsidRPr="00E41B11">
              <w:rPr>
                <w:rFonts w:eastAsia="Calibri"/>
                <w:spacing w:val="-2"/>
                <w:szCs w:val="28"/>
              </w:rPr>
              <w:t> ngày 09 tháng 01 năm 2017 của Chính phủ về cơ chế, chính sách hỗ trợ sản xuất nông nghiệp để khôi phục sản xuất vùng bị thiệt hại do thiên tai dịch bệnh.</w:t>
            </w:r>
          </w:p>
          <w:p w14:paraId="3304BCBF" w14:textId="77777777" w:rsidR="00E41B11" w:rsidRPr="00E41B11" w:rsidRDefault="00E41B11" w:rsidP="00E41B11">
            <w:pPr>
              <w:spacing w:before="40" w:after="40"/>
              <w:ind w:firstLine="459"/>
              <w:jc w:val="both"/>
              <w:rPr>
                <w:rFonts w:eastAsia="Calibri"/>
                <w:spacing w:val="-2"/>
                <w:szCs w:val="28"/>
              </w:rPr>
            </w:pPr>
            <w:r w:rsidRPr="00E41B11">
              <w:rPr>
                <w:rFonts w:eastAsia="Calibri"/>
                <w:spacing w:val="-2"/>
                <w:szCs w:val="28"/>
              </w:rPr>
              <w:t>2. Đối với hồ sơ đề nghị hỗ trợ công tác phòng, chống dịch bệnh động vật xảy ra trước ngày 25 tháng 7 năm 2025, đã được cơ quan chức năng có thẩm quyền tiếp nhận nhưng chưa thực hiện hỗ trợ, việc hỗ trợ thực hiện theo quy định tại Quyết định số </w:t>
            </w:r>
            <w:hyperlink r:id="rId9" w:tgtFrame="_blank" w:history="1">
              <w:r w:rsidRPr="00E41B11">
                <w:rPr>
                  <w:rFonts w:eastAsia="Calibri"/>
                  <w:spacing w:val="-2"/>
                  <w:szCs w:val="28"/>
                </w:rPr>
                <w:t>719/QĐ-TTg</w:t>
              </w:r>
            </w:hyperlink>
            <w:r w:rsidRPr="00E41B11">
              <w:rPr>
                <w:rFonts w:eastAsia="Calibri"/>
                <w:spacing w:val="-2"/>
                <w:szCs w:val="28"/>
              </w:rPr>
              <w:t> ngày 05 tháng 6 năm 2008 của Thủ tướng Chính phủ về chính sách hỗ trợ phòng, chống dịch bệnh gia súc, gia cầm và Quyết định số </w:t>
            </w:r>
            <w:hyperlink r:id="rId10" w:tgtFrame="_blank" w:history="1">
              <w:r w:rsidRPr="00E41B11">
                <w:rPr>
                  <w:rFonts w:eastAsia="Calibri"/>
                  <w:spacing w:val="-2"/>
                  <w:szCs w:val="28"/>
                </w:rPr>
                <w:t>1442/QĐ-TTg</w:t>
              </w:r>
            </w:hyperlink>
            <w:r w:rsidRPr="00E41B11">
              <w:rPr>
                <w:rFonts w:eastAsia="Calibri"/>
                <w:spacing w:val="-2"/>
                <w:szCs w:val="28"/>
              </w:rPr>
              <w:t> ngày 23 tháng 8 năm 2011 của Thủ tướng Chính phủ về sửa đổi, bổ sung một số điều của Quyết định số </w:t>
            </w:r>
            <w:hyperlink r:id="rId11" w:tgtFrame="_blank" w:history="1">
              <w:r w:rsidRPr="00E41B11">
                <w:rPr>
                  <w:rFonts w:eastAsia="Calibri"/>
                  <w:spacing w:val="-2"/>
                  <w:szCs w:val="28"/>
                </w:rPr>
                <w:t>719/QĐ-TTg</w:t>
              </w:r>
            </w:hyperlink>
            <w:r w:rsidRPr="00E41B11">
              <w:rPr>
                <w:rFonts w:eastAsia="Calibri"/>
                <w:spacing w:val="-2"/>
                <w:szCs w:val="28"/>
              </w:rPr>
              <w:t> ngày 05 tháng 6 năm 2008 về chính sách hỗ trợ phòng, chống dịch bệnh gia súc, gia cầm.</w:t>
            </w:r>
          </w:p>
          <w:p w14:paraId="57C9AA40" w14:textId="77777777" w:rsidR="00E41B11" w:rsidRPr="00E41B11" w:rsidRDefault="00E41B11" w:rsidP="00E41B11">
            <w:pPr>
              <w:spacing w:before="40" w:after="40"/>
              <w:ind w:firstLine="459"/>
              <w:jc w:val="both"/>
              <w:rPr>
                <w:rFonts w:eastAsia="Calibri"/>
                <w:spacing w:val="-2"/>
                <w:szCs w:val="28"/>
              </w:rPr>
            </w:pPr>
            <w:r w:rsidRPr="00E41B11">
              <w:rPr>
                <w:rFonts w:eastAsia="Calibri"/>
                <w:spacing w:val="-2"/>
                <w:szCs w:val="28"/>
              </w:rPr>
              <w:t>3. Đối với hồ sơ đề nghị hỗ trợ thiệt hại do dịch bệnh động vật xảy ra từ ngày 25 tháng 7 năm 2025, hồ sơ đề nghị hỗ trợ công tác phòng, chống dịch bệnh động vật (</w:t>
            </w:r>
            <w:r w:rsidRPr="00126CDE">
              <w:rPr>
                <w:rFonts w:eastAsia="Calibri"/>
                <w:i/>
                <w:iCs/>
                <w:spacing w:val="-2"/>
                <w:szCs w:val="28"/>
              </w:rPr>
              <w:t>không bao gồm đối tượng hỗ trợ là doanh nghiệp nhỏ và vừa</w:t>
            </w:r>
            <w:r w:rsidRPr="00E41B11">
              <w:rPr>
                <w:rFonts w:eastAsia="Calibri"/>
                <w:spacing w:val="-2"/>
                <w:szCs w:val="28"/>
              </w:rPr>
              <w:t xml:space="preserve">) đã được cơ quan chức năng có thẩm quyền tiếp nhận nhưng chưa thực hiện hỗ trợ kể từ ngày 25 tháng 7 năm 2025 đến ngày Nghị quyết này có hiệu lực thi hành, việc hỗ trợ thực hiện theo quy định tại Nghị định </w:t>
            </w:r>
            <w:r w:rsidRPr="00E41B11">
              <w:rPr>
                <w:rFonts w:eastAsia="Calibri"/>
                <w:spacing w:val="-2"/>
                <w:szCs w:val="28"/>
              </w:rPr>
              <w:lastRenderedPageBreak/>
              <w:t>số 116/2025/NĐ-CP ngày 05 tháng 6 năm 2025 của Chính phủ quy định về chính sách hỗ trợ khắc phục dịch bệnh động vật.</w:t>
            </w:r>
          </w:p>
          <w:p w14:paraId="6695A606" w14:textId="25D5ECB9" w:rsidR="008149C3" w:rsidRPr="00F240D4" w:rsidRDefault="008149C3" w:rsidP="008149C3">
            <w:pPr>
              <w:spacing w:before="40" w:after="40"/>
              <w:ind w:firstLine="589"/>
              <w:jc w:val="both"/>
              <w:rPr>
                <w:rFonts w:eastAsia="Calibri"/>
                <w:szCs w:val="28"/>
                <w:shd w:val="clear" w:color="auto" w:fill="FFFFFF"/>
              </w:rPr>
            </w:pPr>
          </w:p>
        </w:tc>
        <w:tc>
          <w:tcPr>
            <w:tcW w:w="7087" w:type="dxa"/>
          </w:tcPr>
          <w:p w14:paraId="160F2267" w14:textId="0740C978" w:rsidR="00CB3D7D" w:rsidRPr="004E4419" w:rsidRDefault="00CB3D7D" w:rsidP="00CB3D7D">
            <w:pPr>
              <w:spacing w:before="40" w:after="40"/>
              <w:ind w:firstLine="459"/>
              <w:jc w:val="both"/>
              <w:rPr>
                <w:rFonts w:eastAsia="Calibri"/>
                <w:szCs w:val="28"/>
              </w:rPr>
            </w:pPr>
            <w:r w:rsidRPr="004E4419">
              <w:rPr>
                <w:rFonts w:eastAsia="Calibri"/>
                <w:szCs w:val="28"/>
              </w:rPr>
              <w:lastRenderedPageBreak/>
              <w:t xml:space="preserve">-  Nghị quyết </w:t>
            </w:r>
            <w:r>
              <w:rPr>
                <w:rFonts w:eastAsia="Calibri"/>
                <w:szCs w:val="28"/>
              </w:rPr>
              <w:t>kế thừa</w:t>
            </w:r>
            <w:r w:rsidRPr="004E4419">
              <w:rPr>
                <w:rFonts w:eastAsia="Calibri"/>
                <w:szCs w:val="28"/>
              </w:rPr>
              <w:t xml:space="preserve"> </w:t>
            </w:r>
            <w:r w:rsidRPr="004E4419">
              <w:rPr>
                <w:rFonts w:eastAsia="Calibri"/>
                <w:iCs/>
                <w:szCs w:val="28"/>
              </w:rPr>
              <w:t xml:space="preserve">điều khoản chuyển tiếp </w:t>
            </w:r>
            <w:r w:rsidRPr="004E4419">
              <w:rPr>
                <w:rFonts w:eastAsia="Calibri"/>
                <w:szCs w:val="28"/>
              </w:rPr>
              <w:t>theo quy định tại Điều 14 Nghị định số 116/2025/NĐ-CP</w:t>
            </w:r>
            <w:r w:rsidR="00791D17">
              <w:rPr>
                <w:rFonts w:eastAsia="Calibri"/>
                <w:szCs w:val="28"/>
                <w:lang w:val="vi-VN"/>
              </w:rPr>
              <w:t xml:space="preserve"> ngày 05 tháng 6 năm 2025 của Chính phủ</w:t>
            </w:r>
            <w:r w:rsidRPr="004E4419">
              <w:rPr>
                <w:rFonts w:eastAsia="Calibri"/>
                <w:szCs w:val="28"/>
              </w:rPr>
              <w:t>.</w:t>
            </w:r>
          </w:p>
          <w:p w14:paraId="73E3BB19" w14:textId="77777777" w:rsidR="00E41B11" w:rsidRDefault="00CB3D7D" w:rsidP="00CB3D7D">
            <w:pPr>
              <w:spacing w:before="40" w:after="40"/>
              <w:ind w:firstLine="459"/>
              <w:jc w:val="both"/>
              <w:rPr>
                <w:rFonts w:eastAsia="Calibri"/>
                <w:szCs w:val="28"/>
              </w:rPr>
            </w:pPr>
            <w:bookmarkStart w:id="3" w:name="_Hlk207285167"/>
            <w:r w:rsidRPr="004E4419">
              <w:rPr>
                <w:rFonts w:eastAsia="Calibri"/>
                <w:szCs w:val="28"/>
              </w:rPr>
              <w:t xml:space="preserve">- </w:t>
            </w:r>
            <w:proofErr w:type="gramStart"/>
            <w:r w:rsidR="00E41B11">
              <w:rPr>
                <w:rFonts w:eastAsia="Calibri"/>
                <w:szCs w:val="28"/>
              </w:rPr>
              <w:t>Lý  do</w:t>
            </w:r>
            <w:proofErr w:type="gramEnd"/>
            <w:r w:rsidR="00E41B11">
              <w:rPr>
                <w:rFonts w:eastAsia="Calibri"/>
                <w:szCs w:val="28"/>
              </w:rPr>
              <w:t xml:space="preserve"> bổ sung các quy định chuyển tiếp:</w:t>
            </w:r>
          </w:p>
          <w:p w14:paraId="0032ACC3" w14:textId="044AA09A" w:rsidR="00E41B11" w:rsidRPr="00E41B11" w:rsidRDefault="00E41B11" w:rsidP="00E41B11">
            <w:pPr>
              <w:spacing w:before="40" w:after="40"/>
              <w:ind w:firstLine="459"/>
              <w:jc w:val="both"/>
              <w:rPr>
                <w:rFonts w:eastAsia="Calibri"/>
                <w:iCs/>
                <w:szCs w:val="28"/>
              </w:rPr>
            </w:pPr>
            <w:r>
              <w:rPr>
                <w:rFonts w:eastAsia="Calibri"/>
                <w:szCs w:val="28"/>
              </w:rPr>
              <w:t>+ Trong 9 tháng đầu năm 2025, trên địa bàn thành phố đã xảy ra 02 ổ dịch: Ổ dịch</w:t>
            </w:r>
            <w:r w:rsidRPr="007003F9">
              <w:rPr>
                <w:rFonts w:eastAsia="Calibri"/>
                <w:szCs w:val="28"/>
              </w:rPr>
              <w:t xml:space="preserve"> Cúm gia cầm</w:t>
            </w:r>
            <w:r>
              <w:rPr>
                <w:rFonts w:eastAsia="Calibri"/>
                <w:szCs w:val="28"/>
              </w:rPr>
              <w:t xml:space="preserve"> (ngày</w:t>
            </w:r>
            <w:r w:rsidRPr="007003F9">
              <w:rPr>
                <w:rFonts w:eastAsia="Calibri"/>
                <w:szCs w:val="28"/>
              </w:rPr>
              <w:t xml:space="preserve"> 21/6/2025</w:t>
            </w:r>
            <w:r>
              <w:rPr>
                <w:rFonts w:eastAsia="Calibri"/>
                <w:szCs w:val="28"/>
              </w:rPr>
              <w:t>)</w:t>
            </w:r>
            <w:r w:rsidRPr="007003F9">
              <w:rPr>
                <w:rFonts w:eastAsia="Calibri"/>
                <w:szCs w:val="28"/>
              </w:rPr>
              <w:t>,</w:t>
            </w:r>
            <w:r>
              <w:rPr>
                <w:rFonts w:eastAsia="Calibri"/>
                <w:szCs w:val="28"/>
              </w:rPr>
              <w:t xml:space="preserve"> </w:t>
            </w:r>
            <w:r w:rsidRPr="007003F9">
              <w:rPr>
                <w:rFonts w:eastAsia="Calibri"/>
                <w:szCs w:val="28"/>
              </w:rPr>
              <w:t>số gia cầm tiêu huỷ 2.118 con, trọng lượng tiêu huỷ 3.812,4kg</w:t>
            </w:r>
            <w:r>
              <w:rPr>
                <w:rFonts w:eastAsia="Calibri"/>
                <w:szCs w:val="28"/>
              </w:rPr>
              <w:t>; ổ Dịch tả lợn Châu Phi (ngày 26/7/2025), số lợn buộc tiêu hủy 163 con, trọng lượng lợn tiêu hủy</w:t>
            </w:r>
            <w:r w:rsidRPr="007003F9">
              <w:rPr>
                <w:rFonts w:eastAsia="Calibri"/>
                <w:szCs w:val="28"/>
              </w:rPr>
              <w:t xml:space="preserve"> 7.319 </w:t>
            </w:r>
            <w:r>
              <w:rPr>
                <w:rFonts w:eastAsia="Calibri"/>
                <w:szCs w:val="28"/>
              </w:rPr>
              <w:t>kg</w:t>
            </w:r>
            <w:r w:rsidRPr="007003F9">
              <w:rPr>
                <w:rFonts w:eastAsia="Calibri"/>
                <w:szCs w:val="28"/>
              </w:rPr>
              <w:t>.</w:t>
            </w:r>
            <w:r>
              <w:rPr>
                <w:rFonts w:eastAsia="Calibri"/>
                <w:szCs w:val="28"/>
              </w:rPr>
              <w:t xml:space="preserve"> </w:t>
            </w:r>
            <w:r w:rsidRPr="006459A7">
              <w:rPr>
                <w:rFonts w:eastAsia="Calibri"/>
                <w:spacing w:val="-2"/>
                <w:szCs w:val="28"/>
              </w:rPr>
              <w:t xml:space="preserve">Do vậy, rất cần thiết có quy định chuyển tiếp để đảm bảo công bằng, không có khoảng trống chính sách, kịp thời hỗ trợ cho cơ sở sản xuất bị thiệt hại để khôi phục sản xuất sau dịch bệnh trong giai đoạn </w:t>
            </w:r>
            <w:r>
              <w:rPr>
                <w:rFonts w:eastAsia="Calibri"/>
                <w:spacing w:val="-2"/>
                <w:szCs w:val="28"/>
              </w:rPr>
              <w:t>trước và sau khi</w:t>
            </w:r>
            <w:r w:rsidRPr="006459A7">
              <w:rPr>
                <w:rFonts w:eastAsia="Calibri"/>
                <w:spacing w:val="-2"/>
                <w:szCs w:val="28"/>
              </w:rPr>
              <w:t xml:space="preserve"> Nghị định số 116/2025/NĐ-CP có hiệu lực thi hành đến thời điểm Nghị quyết của </w:t>
            </w:r>
            <w:r>
              <w:rPr>
                <w:rFonts w:eastAsia="Calibri"/>
                <w:spacing w:val="-2"/>
                <w:szCs w:val="28"/>
              </w:rPr>
              <w:t>Hội đồng nhân dân thành phố</w:t>
            </w:r>
            <w:r w:rsidRPr="006459A7">
              <w:rPr>
                <w:rFonts w:eastAsia="Calibri"/>
                <w:spacing w:val="-2"/>
                <w:szCs w:val="28"/>
              </w:rPr>
              <w:t xml:space="preserve"> được thông qua, có hiệu lực.</w:t>
            </w:r>
          </w:p>
          <w:p w14:paraId="7ACC4A39" w14:textId="77777777" w:rsidR="00E41B11" w:rsidRPr="009774B4" w:rsidRDefault="00E41B11" w:rsidP="00E41B11">
            <w:pPr>
              <w:spacing w:before="120" w:line="330" w:lineRule="exact"/>
              <w:ind w:firstLine="720"/>
              <w:jc w:val="both"/>
              <w:rPr>
                <w:rFonts w:eastAsia="Calibri"/>
                <w:szCs w:val="28"/>
              </w:rPr>
            </w:pPr>
            <w:r>
              <w:rPr>
                <w:rFonts w:eastAsia="Calibri"/>
                <w:szCs w:val="28"/>
              </w:rPr>
              <w:t xml:space="preserve">+ </w:t>
            </w:r>
            <w:r w:rsidRPr="009774B4">
              <w:rPr>
                <w:rFonts w:eastAsia="Calibri"/>
                <w:szCs w:val="28"/>
              </w:rPr>
              <w:t>Nghị định số 116/2025/NĐ-CP có hiệu lực thi hành từ ngày 25</w:t>
            </w:r>
            <w:r>
              <w:rPr>
                <w:rFonts w:eastAsia="Calibri"/>
                <w:szCs w:val="28"/>
              </w:rPr>
              <w:t xml:space="preserve"> tháng </w:t>
            </w:r>
            <w:r w:rsidRPr="009774B4">
              <w:rPr>
                <w:rFonts w:eastAsia="Calibri"/>
                <w:szCs w:val="28"/>
              </w:rPr>
              <w:t>7</w:t>
            </w:r>
            <w:r>
              <w:rPr>
                <w:rFonts w:eastAsia="Calibri"/>
                <w:szCs w:val="28"/>
              </w:rPr>
              <w:t xml:space="preserve"> năm </w:t>
            </w:r>
            <w:r w:rsidRPr="009774B4">
              <w:rPr>
                <w:rFonts w:eastAsia="Calibri"/>
                <w:szCs w:val="28"/>
              </w:rPr>
              <w:t>2025, tuy nhiên Nghị định cũng quy định trách nhiệm của UBND cấp tỉnh trình HĐND cùng cấp quyết định cụ thể mức hỗ trợ các đối tượng. Như vậy, để áp dụng chính sách hỗ trợ theo Nghị định số 116/2025/NĐ-CP thì cần thiết phải được H</w:t>
            </w:r>
            <w:r>
              <w:rPr>
                <w:rFonts w:eastAsia="Calibri"/>
                <w:szCs w:val="28"/>
              </w:rPr>
              <w:t>ội đồng nhân dân</w:t>
            </w:r>
            <w:r w:rsidRPr="009774B4">
              <w:rPr>
                <w:rFonts w:eastAsia="Calibri"/>
                <w:szCs w:val="28"/>
              </w:rPr>
              <w:t xml:space="preserve"> </w:t>
            </w:r>
            <w:r>
              <w:rPr>
                <w:rFonts w:eastAsia="Calibri"/>
                <w:szCs w:val="28"/>
              </w:rPr>
              <w:t xml:space="preserve">thành phố </w:t>
            </w:r>
            <w:r w:rsidRPr="009774B4">
              <w:rPr>
                <w:rFonts w:eastAsia="Calibri"/>
                <w:szCs w:val="28"/>
              </w:rPr>
              <w:t>ban hành Nghị quyết quy định về mức hỗ trợ áp dụng trên địa bàn t</w:t>
            </w:r>
            <w:r>
              <w:rPr>
                <w:rFonts w:eastAsia="Calibri"/>
                <w:szCs w:val="28"/>
              </w:rPr>
              <w:t>hành phố</w:t>
            </w:r>
            <w:r w:rsidRPr="009774B4">
              <w:rPr>
                <w:rFonts w:eastAsia="Calibri"/>
                <w:szCs w:val="28"/>
              </w:rPr>
              <w:t xml:space="preserve">. </w:t>
            </w:r>
          </w:p>
          <w:p w14:paraId="0A485C47" w14:textId="77777777" w:rsidR="00E41B11" w:rsidRPr="009774B4" w:rsidRDefault="00E41B11" w:rsidP="00E41B11">
            <w:pPr>
              <w:spacing w:before="120" w:line="330" w:lineRule="exact"/>
              <w:ind w:firstLine="720"/>
              <w:jc w:val="both"/>
              <w:rPr>
                <w:rFonts w:eastAsia="Calibri"/>
                <w:szCs w:val="28"/>
              </w:rPr>
            </w:pPr>
            <w:r w:rsidRPr="009774B4">
              <w:rPr>
                <w:rFonts w:eastAsia="Calibri"/>
                <w:szCs w:val="28"/>
              </w:rPr>
              <w:t xml:space="preserve">+ Căn cứ khoản 1 Điều 55 Luật Ban hành văn bản quy phạm pháp luật số 64/2025/QH15 và đảm bảo không để gián đoạn chính sách, Sở Nông nghiệp và Môi trường đề xuất trong </w:t>
            </w:r>
            <w:r w:rsidRPr="009774B4">
              <w:rPr>
                <w:rFonts w:eastAsia="Calibri"/>
                <w:szCs w:val="28"/>
              </w:rPr>
              <w:lastRenderedPageBreak/>
              <w:t xml:space="preserve">dự thảo Nghị quyết có quy định chuyển tiếp cho giai đoạn </w:t>
            </w:r>
            <w:r>
              <w:rPr>
                <w:rFonts w:eastAsia="Calibri"/>
                <w:szCs w:val="28"/>
              </w:rPr>
              <w:t>các ổ dịch xảy ra trước ngày 25 tháng 7 năm 2025 và từ ngày 25 tháng 7 năm 2025 (ngày</w:t>
            </w:r>
            <w:r w:rsidRPr="009774B4">
              <w:rPr>
                <w:rFonts w:eastAsia="Calibri"/>
                <w:szCs w:val="28"/>
              </w:rPr>
              <w:t xml:space="preserve"> Nghị định số 116/2025/NĐ-CP có hiệu lực thi hành</w:t>
            </w:r>
            <w:r>
              <w:rPr>
                <w:rFonts w:eastAsia="Calibri"/>
                <w:szCs w:val="28"/>
              </w:rPr>
              <w:t>)</w:t>
            </w:r>
            <w:r w:rsidRPr="009774B4">
              <w:rPr>
                <w:rFonts w:eastAsia="Calibri"/>
                <w:szCs w:val="28"/>
              </w:rPr>
              <w:t xml:space="preserve"> đến ngày Nghị quyết của </w:t>
            </w:r>
            <w:r>
              <w:rPr>
                <w:rFonts w:eastAsia="Calibri"/>
                <w:szCs w:val="28"/>
              </w:rPr>
              <w:t>Hội đồng nhân dân thành phố</w:t>
            </w:r>
            <w:r w:rsidRPr="009774B4">
              <w:rPr>
                <w:rFonts w:eastAsia="Calibri"/>
                <w:szCs w:val="28"/>
              </w:rPr>
              <w:t xml:space="preserve"> quy định mức hỗ trợ khắc phục dịch bệnh động vật trên địa bàn t</w:t>
            </w:r>
            <w:r>
              <w:rPr>
                <w:rFonts w:eastAsia="Calibri"/>
                <w:szCs w:val="28"/>
              </w:rPr>
              <w:t xml:space="preserve">hành phố Hải Phòng </w:t>
            </w:r>
            <w:r w:rsidRPr="009774B4">
              <w:rPr>
                <w:rFonts w:eastAsia="Calibri"/>
                <w:szCs w:val="28"/>
              </w:rPr>
              <w:t>có hiệu lực thi hành.</w:t>
            </w:r>
          </w:p>
          <w:p w14:paraId="29E79C2D" w14:textId="77777777" w:rsidR="00E41B11" w:rsidRPr="004E4419" w:rsidRDefault="00E41B11" w:rsidP="00CB3D7D">
            <w:pPr>
              <w:spacing w:before="40" w:after="40"/>
              <w:ind w:firstLine="459"/>
              <w:jc w:val="both"/>
              <w:rPr>
                <w:rFonts w:eastAsia="Calibri"/>
                <w:iCs/>
                <w:szCs w:val="28"/>
              </w:rPr>
            </w:pPr>
          </w:p>
          <w:bookmarkEnd w:id="3"/>
          <w:p w14:paraId="7E8BC20E" w14:textId="77777777" w:rsidR="00CB3D7D" w:rsidRPr="004E4419" w:rsidRDefault="00CB3D7D" w:rsidP="00CB3D7D">
            <w:pPr>
              <w:spacing w:before="40" w:after="40"/>
              <w:ind w:firstLine="459"/>
              <w:jc w:val="both"/>
              <w:rPr>
                <w:rFonts w:eastAsia="Arial"/>
                <w:noProof/>
                <w:kern w:val="2"/>
                <w14:ligatures w14:val="standardContextual"/>
              </w:rPr>
            </w:pPr>
          </w:p>
        </w:tc>
      </w:tr>
      <w:tr w:rsidR="00CB3D7D" w:rsidRPr="004E4419" w14:paraId="53AC3A25" w14:textId="77777777" w:rsidTr="00791D17">
        <w:tc>
          <w:tcPr>
            <w:tcW w:w="7230" w:type="dxa"/>
          </w:tcPr>
          <w:p w14:paraId="77479825" w14:textId="77777777" w:rsidR="00CB3D7D" w:rsidRPr="00C63D34" w:rsidRDefault="00CB3D7D" w:rsidP="00CB3D7D">
            <w:pPr>
              <w:spacing w:before="40" w:after="40"/>
              <w:ind w:firstLine="589"/>
              <w:jc w:val="both"/>
              <w:rPr>
                <w:rFonts w:eastAsia="Calibri"/>
                <w:b/>
                <w:bCs/>
                <w:szCs w:val="28"/>
                <w:shd w:val="clear" w:color="auto" w:fill="FFFFFF"/>
              </w:rPr>
            </w:pPr>
            <w:r w:rsidRPr="00C63D34">
              <w:rPr>
                <w:rFonts w:eastAsia="Calibri"/>
                <w:b/>
                <w:bCs/>
                <w:szCs w:val="28"/>
                <w:shd w:val="clear" w:color="auto" w:fill="FFFFFF"/>
              </w:rPr>
              <w:lastRenderedPageBreak/>
              <w:t>Điều 5. Điều khoản thi hành</w:t>
            </w:r>
          </w:p>
          <w:p w14:paraId="1B3996FB" w14:textId="77777777" w:rsidR="0041286E" w:rsidRPr="00DC2D8A" w:rsidRDefault="0041286E" w:rsidP="0041286E">
            <w:pPr>
              <w:tabs>
                <w:tab w:val="left" w:pos="851"/>
                <w:tab w:val="left" w:pos="993"/>
              </w:tabs>
              <w:autoSpaceDE w:val="0"/>
              <w:autoSpaceDN w:val="0"/>
              <w:spacing w:after="120" w:line="320" w:lineRule="exact"/>
              <w:ind w:firstLine="624"/>
              <w:jc w:val="both"/>
              <w:rPr>
                <w:rFonts w:eastAsia="Arial"/>
                <w:szCs w:val="28"/>
                <w:lang w:val="pt-BR"/>
              </w:rPr>
            </w:pPr>
            <w:r w:rsidRPr="00DC2D8A">
              <w:rPr>
                <w:rFonts w:eastAsia="Arial"/>
                <w:szCs w:val="28"/>
                <w:lang w:val="pt-BR"/>
              </w:rPr>
              <w:t>1. Giao Ủy ban nhân dân thành phố và các cơ quan</w:t>
            </w:r>
            <w:r>
              <w:rPr>
                <w:rFonts w:eastAsia="Arial"/>
                <w:szCs w:val="28"/>
                <w:lang w:val="pt-BR"/>
              </w:rPr>
              <w:t>, đơn vị có</w:t>
            </w:r>
            <w:r w:rsidRPr="00DC2D8A">
              <w:rPr>
                <w:rFonts w:eastAsia="Arial"/>
                <w:szCs w:val="28"/>
                <w:lang w:val="pt-BR"/>
              </w:rPr>
              <w:t xml:space="preserve"> liên quan chịu trách nhiệm thi hành Nghị quyết đảm bảo đúng quy định của pháp luật.</w:t>
            </w:r>
          </w:p>
          <w:p w14:paraId="0B61E67D" w14:textId="77777777" w:rsidR="0041286E" w:rsidRPr="00DC2D8A" w:rsidRDefault="0041286E" w:rsidP="0041286E">
            <w:pPr>
              <w:tabs>
                <w:tab w:val="left" w:pos="567"/>
                <w:tab w:val="left" w:pos="993"/>
              </w:tabs>
              <w:spacing w:after="120" w:line="320" w:lineRule="exact"/>
              <w:ind w:firstLine="624"/>
              <w:jc w:val="both"/>
              <w:rPr>
                <w:rFonts w:eastAsia="Arial"/>
                <w:szCs w:val="28"/>
                <w:lang w:val="pt-BR"/>
              </w:rPr>
            </w:pPr>
            <w:r w:rsidRPr="00DC2D8A">
              <w:rPr>
                <w:rFonts w:eastAsia="Arial"/>
                <w:szCs w:val="28"/>
                <w:lang w:val="pt-BR"/>
              </w:rPr>
              <w:t xml:space="preserve">2. Giao Thường trực Hội đồng nhân dân thành phố, các </w:t>
            </w:r>
            <w:r>
              <w:rPr>
                <w:rFonts w:eastAsia="Arial"/>
                <w:szCs w:val="28"/>
                <w:lang w:val="pt-BR"/>
              </w:rPr>
              <w:t>B</w:t>
            </w:r>
            <w:r w:rsidRPr="00DC2D8A">
              <w:rPr>
                <w:rFonts w:eastAsia="Arial"/>
                <w:szCs w:val="28"/>
                <w:lang w:val="pt-BR"/>
              </w:rPr>
              <w:t xml:space="preserve">an Hội đồng nhân dân thành phố, các </w:t>
            </w:r>
            <w:r>
              <w:rPr>
                <w:rFonts w:eastAsia="Arial"/>
                <w:szCs w:val="28"/>
                <w:lang w:val="pt-BR"/>
              </w:rPr>
              <w:t>T</w:t>
            </w:r>
            <w:r w:rsidRPr="00DC2D8A">
              <w:rPr>
                <w:rFonts w:eastAsia="Arial"/>
                <w:szCs w:val="28"/>
                <w:lang w:val="pt-BR"/>
              </w:rPr>
              <w:t xml:space="preserve">ổ đại biểu và </w:t>
            </w:r>
            <w:r>
              <w:rPr>
                <w:rFonts w:eastAsia="Arial"/>
                <w:szCs w:val="28"/>
                <w:lang w:val="pt-BR"/>
              </w:rPr>
              <w:t>Đ</w:t>
            </w:r>
            <w:r w:rsidRPr="00DC2D8A">
              <w:rPr>
                <w:rFonts w:eastAsia="Arial"/>
                <w:szCs w:val="28"/>
                <w:lang w:val="pt-BR"/>
              </w:rPr>
              <w:t>ại biểu Hội đồng nhân dân thành phố kiểm tra, giám sát việc thực hiện Nghị quyết</w:t>
            </w:r>
            <w:r>
              <w:rPr>
                <w:rFonts w:eastAsia="Arial"/>
                <w:szCs w:val="28"/>
                <w:lang w:val="pt-BR"/>
              </w:rPr>
              <w:t xml:space="preserve"> này</w:t>
            </w:r>
            <w:r w:rsidRPr="00DC2D8A">
              <w:rPr>
                <w:rFonts w:eastAsia="Arial"/>
                <w:szCs w:val="28"/>
                <w:lang w:val="pt-BR"/>
              </w:rPr>
              <w:t>.</w:t>
            </w:r>
          </w:p>
          <w:p w14:paraId="3B54CA5C" w14:textId="0A6A0BA7" w:rsidR="00CB3D7D" w:rsidRPr="0041286E" w:rsidRDefault="0041286E" w:rsidP="0041286E">
            <w:pPr>
              <w:spacing w:after="120" w:line="320" w:lineRule="exact"/>
              <w:ind w:firstLine="624"/>
              <w:jc w:val="both"/>
              <w:rPr>
                <w:rFonts w:eastAsia="Arial"/>
                <w:i/>
                <w:iCs/>
                <w:szCs w:val="28"/>
                <w:lang w:val="pt-BR"/>
              </w:rPr>
            </w:pPr>
            <w:r w:rsidRPr="003766F3">
              <w:rPr>
                <w:rFonts w:eastAsia="Arial"/>
                <w:i/>
                <w:iCs/>
                <w:szCs w:val="28"/>
                <w:lang w:val="pt-BR"/>
              </w:rPr>
              <w:t xml:space="preserve">Nghị quyết này đã được Hội đồng nhân dân thành phố </w:t>
            </w:r>
            <w:r>
              <w:rPr>
                <w:rFonts w:eastAsia="Arial"/>
                <w:i/>
                <w:iCs/>
                <w:szCs w:val="28"/>
                <w:lang w:val="pt-BR"/>
              </w:rPr>
              <w:t>K</w:t>
            </w:r>
            <w:r w:rsidRPr="003766F3">
              <w:rPr>
                <w:rFonts w:eastAsia="Arial"/>
                <w:i/>
                <w:iCs/>
                <w:szCs w:val="28"/>
                <w:lang w:val="pt-BR"/>
              </w:rPr>
              <w:t xml:space="preserve">hóa ...., kỳ họp thứ ...... thông qua ngày     </w:t>
            </w:r>
            <w:r>
              <w:rPr>
                <w:rFonts w:eastAsia="Arial"/>
                <w:i/>
                <w:iCs/>
                <w:szCs w:val="28"/>
                <w:lang w:val="pt-BR"/>
              </w:rPr>
              <w:t>tháng 12 năm 2025</w:t>
            </w:r>
            <w:r w:rsidRPr="003766F3">
              <w:rPr>
                <w:rFonts w:eastAsia="Arial"/>
                <w:i/>
                <w:iCs/>
                <w:szCs w:val="28"/>
                <w:lang w:val="pt-BR"/>
              </w:rPr>
              <w:t>.</w:t>
            </w:r>
          </w:p>
        </w:tc>
        <w:tc>
          <w:tcPr>
            <w:tcW w:w="7087" w:type="dxa"/>
          </w:tcPr>
          <w:p w14:paraId="3EE406D6" w14:textId="77777777" w:rsidR="00CB3D7D" w:rsidRDefault="00CB3D7D" w:rsidP="00CB3D7D">
            <w:pPr>
              <w:widowControl w:val="0"/>
              <w:spacing w:before="40" w:after="40"/>
              <w:ind w:firstLine="459"/>
              <w:jc w:val="center"/>
              <w:rPr>
                <w:szCs w:val="28"/>
              </w:rPr>
            </w:pPr>
          </w:p>
          <w:p w14:paraId="4CE70A4C" w14:textId="77777777" w:rsidR="00CB3D7D" w:rsidRPr="000E65B6" w:rsidRDefault="00CB3D7D" w:rsidP="00CB3D7D">
            <w:pPr>
              <w:rPr>
                <w:szCs w:val="28"/>
              </w:rPr>
            </w:pPr>
          </w:p>
          <w:p w14:paraId="5682D52F" w14:textId="77777777" w:rsidR="00CB3D7D" w:rsidRPr="000E65B6" w:rsidRDefault="00CB3D7D" w:rsidP="00CB3D7D">
            <w:pPr>
              <w:rPr>
                <w:szCs w:val="28"/>
              </w:rPr>
            </w:pPr>
          </w:p>
          <w:p w14:paraId="7439422A" w14:textId="77777777" w:rsidR="00CB3D7D" w:rsidRPr="000E65B6" w:rsidRDefault="00CB3D7D" w:rsidP="00CB3D7D">
            <w:pPr>
              <w:tabs>
                <w:tab w:val="left" w:pos="3660"/>
              </w:tabs>
              <w:rPr>
                <w:szCs w:val="28"/>
              </w:rPr>
            </w:pPr>
            <w:r>
              <w:rPr>
                <w:szCs w:val="28"/>
              </w:rPr>
              <w:tab/>
            </w:r>
          </w:p>
        </w:tc>
      </w:tr>
    </w:tbl>
    <w:p w14:paraId="113F8512" w14:textId="77777777" w:rsidR="00120CBB" w:rsidRPr="00BD23CB" w:rsidRDefault="00120CBB" w:rsidP="00120CBB">
      <w:pPr>
        <w:spacing w:before="80"/>
        <w:jc w:val="both"/>
        <w:rPr>
          <w:noProof/>
          <w:sz w:val="18"/>
          <w:szCs w:val="18"/>
        </w:rPr>
      </w:pPr>
    </w:p>
    <w:p w14:paraId="4CE0BF08" w14:textId="77777777" w:rsidR="00120CBB" w:rsidRDefault="00120CBB" w:rsidP="00120CBB">
      <w:pPr>
        <w:widowControl w:val="0"/>
        <w:rPr>
          <w:szCs w:val="28"/>
        </w:rPr>
      </w:pPr>
    </w:p>
    <w:p w14:paraId="5F3D4282" w14:textId="77777777" w:rsidR="00120CBB" w:rsidRDefault="00120CBB" w:rsidP="00BE3F25">
      <w:pPr>
        <w:spacing w:before="0" w:after="0" w:line="240" w:lineRule="auto"/>
        <w:rPr>
          <w:rFonts w:cs="Times New Roman"/>
          <w:b/>
        </w:rPr>
      </w:pPr>
    </w:p>
    <w:sectPr w:rsidR="00120CBB" w:rsidSect="005422D9">
      <w:headerReference w:type="default" r:id="rId12"/>
      <w:pgSz w:w="16840" w:h="11907" w:orient="landscape" w:code="9"/>
      <w:pgMar w:top="1134" w:right="851" w:bottom="1134"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0C23" w14:textId="77777777" w:rsidR="006819A8" w:rsidRDefault="006819A8">
      <w:pPr>
        <w:spacing w:line="240" w:lineRule="auto"/>
      </w:pPr>
      <w:r>
        <w:separator/>
      </w:r>
    </w:p>
  </w:endnote>
  <w:endnote w:type="continuationSeparator" w:id="0">
    <w:p w14:paraId="640A9B76" w14:textId="77777777" w:rsidR="006819A8" w:rsidRDefault="00681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C77F" w14:textId="77777777" w:rsidR="006819A8" w:rsidRDefault="006819A8">
      <w:pPr>
        <w:spacing w:before="0" w:after="0"/>
      </w:pPr>
      <w:r>
        <w:separator/>
      </w:r>
    </w:p>
  </w:footnote>
  <w:footnote w:type="continuationSeparator" w:id="0">
    <w:p w14:paraId="0B7FC61B" w14:textId="77777777" w:rsidR="006819A8" w:rsidRDefault="006819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833344"/>
    </w:sdtPr>
    <w:sdtContent>
      <w:p w14:paraId="692772AB" w14:textId="77777777" w:rsidR="00885C51" w:rsidRDefault="00092314">
        <w:pPr>
          <w:pStyle w:val="Header"/>
          <w:jc w:val="center"/>
        </w:pPr>
        <w:r>
          <w:fldChar w:fldCharType="begin"/>
        </w:r>
        <w:r>
          <w:instrText xml:space="preserve"> PAGE   \* MERGEFORMAT </w:instrText>
        </w:r>
        <w:r>
          <w:fldChar w:fldCharType="separate"/>
        </w:r>
        <w:r w:rsidR="00C92451">
          <w:rPr>
            <w:noProof/>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84"/>
    <w:rsid w:val="0000205D"/>
    <w:rsid w:val="00004D17"/>
    <w:rsid w:val="000069A0"/>
    <w:rsid w:val="0001221B"/>
    <w:rsid w:val="00012A94"/>
    <w:rsid w:val="00013D13"/>
    <w:rsid w:val="00013E61"/>
    <w:rsid w:val="000156D8"/>
    <w:rsid w:val="00015DA6"/>
    <w:rsid w:val="00016044"/>
    <w:rsid w:val="000173C1"/>
    <w:rsid w:val="00017997"/>
    <w:rsid w:val="0002062E"/>
    <w:rsid w:val="00021B91"/>
    <w:rsid w:val="00022FA3"/>
    <w:rsid w:val="00030468"/>
    <w:rsid w:val="00031586"/>
    <w:rsid w:val="00034B17"/>
    <w:rsid w:val="000355FC"/>
    <w:rsid w:val="00036C36"/>
    <w:rsid w:val="0003765B"/>
    <w:rsid w:val="00040158"/>
    <w:rsid w:val="00040E9F"/>
    <w:rsid w:val="000428AF"/>
    <w:rsid w:val="0004491B"/>
    <w:rsid w:val="00047A16"/>
    <w:rsid w:val="00051749"/>
    <w:rsid w:val="00054235"/>
    <w:rsid w:val="00055FC3"/>
    <w:rsid w:val="00056E6B"/>
    <w:rsid w:val="000614A5"/>
    <w:rsid w:val="0006771B"/>
    <w:rsid w:val="00071C45"/>
    <w:rsid w:val="00073525"/>
    <w:rsid w:val="00073D8F"/>
    <w:rsid w:val="00074B2D"/>
    <w:rsid w:val="0009055F"/>
    <w:rsid w:val="00091006"/>
    <w:rsid w:val="00091586"/>
    <w:rsid w:val="00091E38"/>
    <w:rsid w:val="00092314"/>
    <w:rsid w:val="00094EFD"/>
    <w:rsid w:val="00095670"/>
    <w:rsid w:val="00097605"/>
    <w:rsid w:val="000A07FB"/>
    <w:rsid w:val="000A4F84"/>
    <w:rsid w:val="000A5584"/>
    <w:rsid w:val="000B08A1"/>
    <w:rsid w:val="000B1AC6"/>
    <w:rsid w:val="000B22F2"/>
    <w:rsid w:val="000B3806"/>
    <w:rsid w:val="000B5533"/>
    <w:rsid w:val="000B6550"/>
    <w:rsid w:val="000B682A"/>
    <w:rsid w:val="000B73C1"/>
    <w:rsid w:val="000C0E38"/>
    <w:rsid w:val="000C10AD"/>
    <w:rsid w:val="000C31BF"/>
    <w:rsid w:val="000C3785"/>
    <w:rsid w:val="000C4D57"/>
    <w:rsid w:val="000C5917"/>
    <w:rsid w:val="000D004A"/>
    <w:rsid w:val="000D058C"/>
    <w:rsid w:val="000D11D2"/>
    <w:rsid w:val="000D13FE"/>
    <w:rsid w:val="000D3678"/>
    <w:rsid w:val="000D73E8"/>
    <w:rsid w:val="000D7C3B"/>
    <w:rsid w:val="000E08ED"/>
    <w:rsid w:val="000E1190"/>
    <w:rsid w:val="000E432E"/>
    <w:rsid w:val="000E55AD"/>
    <w:rsid w:val="000E5BA2"/>
    <w:rsid w:val="000E616C"/>
    <w:rsid w:val="000E7B73"/>
    <w:rsid w:val="000F2DED"/>
    <w:rsid w:val="000F35BA"/>
    <w:rsid w:val="000F424E"/>
    <w:rsid w:val="000F5100"/>
    <w:rsid w:val="0010246D"/>
    <w:rsid w:val="00103085"/>
    <w:rsid w:val="00105A36"/>
    <w:rsid w:val="00106CDE"/>
    <w:rsid w:val="001074E3"/>
    <w:rsid w:val="001116BB"/>
    <w:rsid w:val="0011195F"/>
    <w:rsid w:val="00112F79"/>
    <w:rsid w:val="001153C0"/>
    <w:rsid w:val="0011578A"/>
    <w:rsid w:val="00115B38"/>
    <w:rsid w:val="00115CC0"/>
    <w:rsid w:val="0011748B"/>
    <w:rsid w:val="00120CBB"/>
    <w:rsid w:val="0012143C"/>
    <w:rsid w:val="0012159A"/>
    <w:rsid w:val="00121F1F"/>
    <w:rsid w:val="0012204B"/>
    <w:rsid w:val="00122180"/>
    <w:rsid w:val="00123622"/>
    <w:rsid w:val="00123CD1"/>
    <w:rsid w:val="00124BDA"/>
    <w:rsid w:val="00125E1D"/>
    <w:rsid w:val="00126CDE"/>
    <w:rsid w:val="0012702F"/>
    <w:rsid w:val="001301D9"/>
    <w:rsid w:val="001306F3"/>
    <w:rsid w:val="001315D5"/>
    <w:rsid w:val="00133BC3"/>
    <w:rsid w:val="0013460C"/>
    <w:rsid w:val="00137593"/>
    <w:rsid w:val="001427C3"/>
    <w:rsid w:val="00142CB1"/>
    <w:rsid w:val="00142D18"/>
    <w:rsid w:val="00146E59"/>
    <w:rsid w:val="00151C06"/>
    <w:rsid w:val="0015299A"/>
    <w:rsid w:val="00153A92"/>
    <w:rsid w:val="00154495"/>
    <w:rsid w:val="00154D02"/>
    <w:rsid w:val="00155DDE"/>
    <w:rsid w:val="00157DC8"/>
    <w:rsid w:val="00157FB4"/>
    <w:rsid w:val="00160DF6"/>
    <w:rsid w:val="00165801"/>
    <w:rsid w:val="001659D8"/>
    <w:rsid w:val="0017043D"/>
    <w:rsid w:val="00170A97"/>
    <w:rsid w:val="00170ADB"/>
    <w:rsid w:val="001713CD"/>
    <w:rsid w:val="0017152A"/>
    <w:rsid w:val="0017278F"/>
    <w:rsid w:val="00173595"/>
    <w:rsid w:val="00175E66"/>
    <w:rsid w:val="001800B6"/>
    <w:rsid w:val="0018024E"/>
    <w:rsid w:val="00180A03"/>
    <w:rsid w:val="00182E25"/>
    <w:rsid w:val="00184BE1"/>
    <w:rsid w:val="001857E4"/>
    <w:rsid w:val="00185A44"/>
    <w:rsid w:val="00186290"/>
    <w:rsid w:val="00186B52"/>
    <w:rsid w:val="00186E6B"/>
    <w:rsid w:val="00187697"/>
    <w:rsid w:val="00187989"/>
    <w:rsid w:val="00193406"/>
    <w:rsid w:val="00194252"/>
    <w:rsid w:val="00194B9D"/>
    <w:rsid w:val="00195126"/>
    <w:rsid w:val="001A223B"/>
    <w:rsid w:val="001A514F"/>
    <w:rsid w:val="001A5CBE"/>
    <w:rsid w:val="001A6A43"/>
    <w:rsid w:val="001A7363"/>
    <w:rsid w:val="001B132F"/>
    <w:rsid w:val="001B5423"/>
    <w:rsid w:val="001B5EB7"/>
    <w:rsid w:val="001B6AAE"/>
    <w:rsid w:val="001B7F9A"/>
    <w:rsid w:val="001C0792"/>
    <w:rsid w:val="001C2420"/>
    <w:rsid w:val="001C272C"/>
    <w:rsid w:val="001C305E"/>
    <w:rsid w:val="001C4776"/>
    <w:rsid w:val="001C4981"/>
    <w:rsid w:val="001C548A"/>
    <w:rsid w:val="001D0D44"/>
    <w:rsid w:val="001D31A6"/>
    <w:rsid w:val="001D53E1"/>
    <w:rsid w:val="001D7606"/>
    <w:rsid w:val="001D7F26"/>
    <w:rsid w:val="001E0F93"/>
    <w:rsid w:val="001E190A"/>
    <w:rsid w:val="001E36EB"/>
    <w:rsid w:val="001E574B"/>
    <w:rsid w:val="001E7A31"/>
    <w:rsid w:val="001F2604"/>
    <w:rsid w:val="001F2C2F"/>
    <w:rsid w:val="001F3FC4"/>
    <w:rsid w:val="001F4F85"/>
    <w:rsid w:val="00200A96"/>
    <w:rsid w:val="00204669"/>
    <w:rsid w:val="00204E21"/>
    <w:rsid w:val="00207068"/>
    <w:rsid w:val="00207907"/>
    <w:rsid w:val="00207D5F"/>
    <w:rsid w:val="002108A1"/>
    <w:rsid w:val="00212A2B"/>
    <w:rsid w:val="002138F1"/>
    <w:rsid w:val="0021475B"/>
    <w:rsid w:val="0021532B"/>
    <w:rsid w:val="00215F41"/>
    <w:rsid w:val="00220118"/>
    <w:rsid w:val="00220294"/>
    <w:rsid w:val="0022037C"/>
    <w:rsid w:val="00220749"/>
    <w:rsid w:val="002209AC"/>
    <w:rsid w:val="002218F9"/>
    <w:rsid w:val="002271FF"/>
    <w:rsid w:val="00227EF7"/>
    <w:rsid w:val="00230D80"/>
    <w:rsid w:val="00230DCF"/>
    <w:rsid w:val="00240553"/>
    <w:rsid w:val="002405F1"/>
    <w:rsid w:val="002421BD"/>
    <w:rsid w:val="002425DE"/>
    <w:rsid w:val="0024262A"/>
    <w:rsid w:val="002434AA"/>
    <w:rsid w:val="002455A3"/>
    <w:rsid w:val="00251F6D"/>
    <w:rsid w:val="0025203C"/>
    <w:rsid w:val="00252ABA"/>
    <w:rsid w:val="00254D73"/>
    <w:rsid w:val="002562C1"/>
    <w:rsid w:val="002565D1"/>
    <w:rsid w:val="002576E9"/>
    <w:rsid w:val="00260A44"/>
    <w:rsid w:val="00262C02"/>
    <w:rsid w:val="002648AB"/>
    <w:rsid w:val="00265AFC"/>
    <w:rsid w:val="00265AFF"/>
    <w:rsid w:val="00270345"/>
    <w:rsid w:val="002734A5"/>
    <w:rsid w:val="00273EAF"/>
    <w:rsid w:val="002745EB"/>
    <w:rsid w:val="002759F2"/>
    <w:rsid w:val="00277021"/>
    <w:rsid w:val="0027758C"/>
    <w:rsid w:val="00277E02"/>
    <w:rsid w:val="0028061E"/>
    <w:rsid w:val="00280E6F"/>
    <w:rsid w:val="00285CDE"/>
    <w:rsid w:val="002866AB"/>
    <w:rsid w:val="00287759"/>
    <w:rsid w:val="00287B96"/>
    <w:rsid w:val="00290955"/>
    <w:rsid w:val="00295E85"/>
    <w:rsid w:val="00297CD6"/>
    <w:rsid w:val="002A05AF"/>
    <w:rsid w:val="002A2FF0"/>
    <w:rsid w:val="002A3C56"/>
    <w:rsid w:val="002A433A"/>
    <w:rsid w:val="002A5782"/>
    <w:rsid w:val="002A6BCC"/>
    <w:rsid w:val="002A7237"/>
    <w:rsid w:val="002B661E"/>
    <w:rsid w:val="002B71A0"/>
    <w:rsid w:val="002C1367"/>
    <w:rsid w:val="002C347B"/>
    <w:rsid w:val="002C52A5"/>
    <w:rsid w:val="002C53B6"/>
    <w:rsid w:val="002C6D62"/>
    <w:rsid w:val="002C73EE"/>
    <w:rsid w:val="002C74C5"/>
    <w:rsid w:val="002D583D"/>
    <w:rsid w:val="002D5DBF"/>
    <w:rsid w:val="002D5F01"/>
    <w:rsid w:val="002D7C01"/>
    <w:rsid w:val="002E21D7"/>
    <w:rsid w:val="002E39D2"/>
    <w:rsid w:val="002E3D28"/>
    <w:rsid w:val="002E4049"/>
    <w:rsid w:val="002E4251"/>
    <w:rsid w:val="002E7990"/>
    <w:rsid w:val="002F10EA"/>
    <w:rsid w:val="002F515E"/>
    <w:rsid w:val="002F6CE9"/>
    <w:rsid w:val="002F79B9"/>
    <w:rsid w:val="00302185"/>
    <w:rsid w:val="00304D22"/>
    <w:rsid w:val="00305020"/>
    <w:rsid w:val="00306167"/>
    <w:rsid w:val="00306DE1"/>
    <w:rsid w:val="00306EBA"/>
    <w:rsid w:val="003075C5"/>
    <w:rsid w:val="00310E5D"/>
    <w:rsid w:val="00311224"/>
    <w:rsid w:val="0031242E"/>
    <w:rsid w:val="00312A84"/>
    <w:rsid w:val="003130CF"/>
    <w:rsid w:val="003158A2"/>
    <w:rsid w:val="00316E32"/>
    <w:rsid w:val="00320906"/>
    <w:rsid w:val="00320B30"/>
    <w:rsid w:val="00320B4C"/>
    <w:rsid w:val="00322AB6"/>
    <w:rsid w:val="00323367"/>
    <w:rsid w:val="00324A04"/>
    <w:rsid w:val="00326301"/>
    <w:rsid w:val="00327333"/>
    <w:rsid w:val="00327939"/>
    <w:rsid w:val="003314C4"/>
    <w:rsid w:val="0033338A"/>
    <w:rsid w:val="00334961"/>
    <w:rsid w:val="003353BE"/>
    <w:rsid w:val="0034156C"/>
    <w:rsid w:val="003419E3"/>
    <w:rsid w:val="00343902"/>
    <w:rsid w:val="00343937"/>
    <w:rsid w:val="00343A76"/>
    <w:rsid w:val="00344167"/>
    <w:rsid w:val="00345220"/>
    <w:rsid w:val="003463FB"/>
    <w:rsid w:val="003476B6"/>
    <w:rsid w:val="00347AED"/>
    <w:rsid w:val="003504DA"/>
    <w:rsid w:val="00350941"/>
    <w:rsid w:val="00350C8A"/>
    <w:rsid w:val="003514E2"/>
    <w:rsid w:val="00351CEB"/>
    <w:rsid w:val="0035498E"/>
    <w:rsid w:val="00354DBF"/>
    <w:rsid w:val="00357191"/>
    <w:rsid w:val="00357355"/>
    <w:rsid w:val="00357CE0"/>
    <w:rsid w:val="00360367"/>
    <w:rsid w:val="00360A4A"/>
    <w:rsid w:val="00361B8E"/>
    <w:rsid w:val="003625A6"/>
    <w:rsid w:val="003647B9"/>
    <w:rsid w:val="00365840"/>
    <w:rsid w:val="00366A7B"/>
    <w:rsid w:val="0036710B"/>
    <w:rsid w:val="00367553"/>
    <w:rsid w:val="003701AD"/>
    <w:rsid w:val="003701D2"/>
    <w:rsid w:val="00370BA2"/>
    <w:rsid w:val="003719A1"/>
    <w:rsid w:val="00372F87"/>
    <w:rsid w:val="00373954"/>
    <w:rsid w:val="003742CE"/>
    <w:rsid w:val="003803A7"/>
    <w:rsid w:val="00383569"/>
    <w:rsid w:val="00383AD1"/>
    <w:rsid w:val="00384204"/>
    <w:rsid w:val="00385A06"/>
    <w:rsid w:val="00392A2B"/>
    <w:rsid w:val="003946C2"/>
    <w:rsid w:val="003963F4"/>
    <w:rsid w:val="00397285"/>
    <w:rsid w:val="003A0DF9"/>
    <w:rsid w:val="003A10A5"/>
    <w:rsid w:val="003A2493"/>
    <w:rsid w:val="003A4C10"/>
    <w:rsid w:val="003A5AB9"/>
    <w:rsid w:val="003A5D1C"/>
    <w:rsid w:val="003A6D24"/>
    <w:rsid w:val="003A7790"/>
    <w:rsid w:val="003B21AC"/>
    <w:rsid w:val="003B4728"/>
    <w:rsid w:val="003B4CBD"/>
    <w:rsid w:val="003B4DF8"/>
    <w:rsid w:val="003B5740"/>
    <w:rsid w:val="003B67C8"/>
    <w:rsid w:val="003C1FDF"/>
    <w:rsid w:val="003C3D82"/>
    <w:rsid w:val="003C4B71"/>
    <w:rsid w:val="003C6EC6"/>
    <w:rsid w:val="003C75B0"/>
    <w:rsid w:val="003D03BE"/>
    <w:rsid w:val="003D090B"/>
    <w:rsid w:val="003D1DE8"/>
    <w:rsid w:val="003D2FB3"/>
    <w:rsid w:val="003D7222"/>
    <w:rsid w:val="003D72C5"/>
    <w:rsid w:val="003E043F"/>
    <w:rsid w:val="003E089A"/>
    <w:rsid w:val="003E1937"/>
    <w:rsid w:val="003E2169"/>
    <w:rsid w:val="003E5B0A"/>
    <w:rsid w:val="003E68E9"/>
    <w:rsid w:val="003E6C5B"/>
    <w:rsid w:val="003E7A2D"/>
    <w:rsid w:val="003F06D9"/>
    <w:rsid w:val="003F1924"/>
    <w:rsid w:val="003F2DB1"/>
    <w:rsid w:val="003F55EB"/>
    <w:rsid w:val="003F5C21"/>
    <w:rsid w:val="00402276"/>
    <w:rsid w:val="0040356D"/>
    <w:rsid w:val="00403798"/>
    <w:rsid w:val="00403899"/>
    <w:rsid w:val="00405A2D"/>
    <w:rsid w:val="00407963"/>
    <w:rsid w:val="00410A68"/>
    <w:rsid w:val="00411DB9"/>
    <w:rsid w:val="0041286E"/>
    <w:rsid w:val="004133B9"/>
    <w:rsid w:val="0041457F"/>
    <w:rsid w:val="0041682F"/>
    <w:rsid w:val="004177BF"/>
    <w:rsid w:val="0042193C"/>
    <w:rsid w:val="00423E64"/>
    <w:rsid w:val="004246EB"/>
    <w:rsid w:val="00424995"/>
    <w:rsid w:val="00424CB7"/>
    <w:rsid w:val="004259F8"/>
    <w:rsid w:val="00427D12"/>
    <w:rsid w:val="00431900"/>
    <w:rsid w:val="00432803"/>
    <w:rsid w:val="00436017"/>
    <w:rsid w:val="00436A8D"/>
    <w:rsid w:val="00440145"/>
    <w:rsid w:val="00441F99"/>
    <w:rsid w:val="00444AE6"/>
    <w:rsid w:val="00445CEE"/>
    <w:rsid w:val="00451531"/>
    <w:rsid w:val="00453430"/>
    <w:rsid w:val="004545D7"/>
    <w:rsid w:val="004554E6"/>
    <w:rsid w:val="00455AAE"/>
    <w:rsid w:val="00455AE0"/>
    <w:rsid w:val="004603BB"/>
    <w:rsid w:val="004629E3"/>
    <w:rsid w:val="0046389B"/>
    <w:rsid w:val="00465AD9"/>
    <w:rsid w:val="00467728"/>
    <w:rsid w:val="004711D2"/>
    <w:rsid w:val="00471A4D"/>
    <w:rsid w:val="0047221A"/>
    <w:rsid w:val="00472843"/>
    <w:rsid w:val="00473365"/>
    <w:rsid w:val="0047415B"/>
    <w:rsid w:val="00475251"/>
    <w:rsid w:val="00476ED9"/>
    <w:rsid w:val="00480188"/>
    <w:rsid w:val="00480C9D"/>
    <w:rsid w:val="00480D99"/>
    <w:rsid w:val="00480E3D"/>
    <w:rsid w:val="00482020"/>
    <w:rsid w:val="004837F2"/>
    <w:rsid w:val="00483963"/>
    <w:rsid w:val="00483AC6"/>
    <w:rsid w:val="004841FB"/>
    <w:rsid w:val="004848DE"/>
    <w:rsid w:val="0048582A"/>
    <w:rsid w:val="004874A3"/>
    <w:rsid w:val="00493AAE"/>
    <w:rsid w:val="00494007"/>
    <w:rsid w:val="0049449E"/>
    <w:rsid w:val="004949AF"/>
    <w:rsid w:val="00495B01"/>
    <w:rsid w:val="00496081"/>
    <w:rsid w:val="00496CE4"/>
    <w:rsid w:val="004975AC"/>
    <w:rsid w:val="00497B8B"/>
    <w:rsid w:val="004A0A7A"/>
    <w:rsid w:val="004A141A"/>
    <w:rsid w:val="004A204F"/>
    <w:rsid w:val="004A27C0"/>
    <w:rsid w:val="004A4C29"/>
    <w:rsid w:val="004A4E1C"/>
    <w:rsid w:val="004A5766"/>
    <w:rsid w:val="004A6BA1"/>
    <w:rsid w:val="004A6E11"/>
    <w:rsid w:val="004A792C"/>
    <w:rsid w:val="004B032B"/>
    <w:rsid w:val="004B0946"/>
    <w:rsid w:val="004B09AA"/>
    <w:rsid w:val="004B2495"/>
    <w:rsid w:val="004B2BD3"/>
    <w:rsid w:val="004B6A8E"/>
    <w:rsid w:val="004B6C15"/>
    <w:rsid w:val="004B7980"/>
    <w:rsid w:val="004B7B69"/>
    <w:rsid w:val="004C01A4"/>
    <w:rsid w:val="004C1212"/>
    <w:rsid w:val="004C1EF3"/>
    <w:rsid w:val="004C2B0D"/>
    <w:rsid w:val="004C3C47"/>
    <w:rsid w:val="004C4478"/>
    <w:rsid w:val="004C4E1A"/>
    <w:rsid w:val="004C4F2A"/>
    <w:rsid w:val="004D0F64"/>
    <w:rsid w:val="004D15B6"/>
    <w:rsid w:val="004D3ADB"/>
    <w:rsid w:val="004D3AE1"/>
    <w:rsid w:val="004D3B06"/>
    <w:rsid w:val="004D47DB"/>
    <w:rsid w:val="004D53BA"/>
    <w:rsid w:val="004E093B"/>
    <w:rsid w:val="004E108E"/>
    <w:rsid w:val="004E1A94"/>
    <w:rsid w:val="004E21BE"/>
    <w:rsid w:val="004E2204"/>
    <w:rsid w:val="004E2F49"/>
    <w:rsid w:val="004E491B"/>
    <w:rsid w:val="004E59A7"/>
    <w:rsid w:val="004E6204"/>
    <w:rsid w:val="004E7FC8"/>
    <w:rsid w:val="004F18A8"/>
    <w:rsid w:val="004F20BF"/>
    <w:rsid w:val="004F2FC1"/>
    <w:rsid w:val="004F594B"/>
    <w:rsid w:val="004F7382"/>
    <w:rsid w:val="004F7C0C"/>
    <w:rsid w:val="004F7E66"/>
    <w:rsid w:val="00500CF4"/>
    <w:rsid w:val="00500FC8"/>
    <w:rsid w:val="005030A4"/>
    <w:rsid w:val="00504870"/>
    <w:rsid w:val="00504905"/>
    <w:rsid w:val="005056FB"/>
    <w:rsid w:val="005070BF"/>
    <w:rsid w:val="0051023E"/>
    <w:rsid w:val="00511928"/>
    <w:rsid w:val="00513684"/>
    <w:rsid w:val="00513D76"/>
    <w:rsid w:val="00514CB6"/>
    <w:rsid w:val="00515B5F"/>
    <w:rsid w:val="00521902"/>
    <w:rsid w:val="005220EE"/>
    <w:rsid w:val="00524EA2"/>
    <w:rsid w:val="00525EC8"/>
    <w:rsid w:val="005267CC"/>
    <w:rsid w:val="00527866"/>
    <w:rsid w:val="005308FE"/>
    <w:rsid w:val="00532B93"/>
    <w:rsid w:val="0053351B"/>
    <w:rsid w:val="00534F17"/>
    <w:rsid w:val="005405A3"/>
    <w:rsid w:val="005405E8"/>
    <w:rsid w:val="00540BB3"/>
    <w:rsid w:val="005422D9"/>
    <w:rsid w:val="00544188"/>
    <w:rsid w:val="005444BA"/>
    <w:rsid w:val="00545961"/>
    <w:rsid w:val="00547EFC"/>
    <w:rsid w:val="00550D15"/>
    <w:rsid w:val="00551F73"/>
    <w:rsid w:val="00552DFB"/>
    <w:rsid w:val="0055404B"/>
    <w:rsid w:val="00561E8E"/>
    <w:rsid w:val="00565E06"/>
    <w:rsid w:val="00566767"/>
    <w:rsid w:val="005712E3"/>
    <w:rsid w:val="00571FFA"/>
    <w:rsid w:val="00572A74"/>
    <w:rsid w:val="00572A91"/>
    <w:rsid w:val="005733C7"/>
    <w:rsid w:val="005757E9"/>
    <w:rsid w:val="005759DA"/>
    <w:rsid w:val="00584039"/>
    <w:rsid w:val="00584BCA"/>
    <w:rsid w:val="005879DC"/>
    <w:rsid w:val="0059126F"/>
    <w:rsid w:val="0059284C"/>
    <w:rsid w:val="00592941"/>
    <w:rsid w:val="0059522E"/>
    <w:rsid w:val="0059653C"/>
    <w:rsid w:val="0059729C"/>
    <w:rsid w:val="005A28B1"/>
    <w:rsid w:val="005A3F7F"/>
    <w:rsid w:val="005A3FAC"/>
    <w:rsid w:val="005B0420"/>
    <w:rsid w:val="005B0DFB"/>
    <w:rsid w:val="005B0E5A"/>
    <w:rsid w:val="005B1000"/>
    <w:rsid w:val="005B1F27"/>
    <w:rsid w:val="005B393A"/>
    <w:rsid w:val="005B6EE9"/>
    <w:rsid w:val="005B7BF8"/>
    <w:rsid w:val="005C0743"/>
    <w:rsid w:val="005C4612"/>
    <w:rsid w:val="005C5A7B"/>
    <w:rsid w:val="005D0E29"/>
    <w:rsid w:val="005D15F1"/>
    <w:rsid w:val="005D36C1"/>
    <w:rsid w:val="005D378C"/>
    <w:rsid w:val="005D40AD"/>
    <w:rsid w:val="005D4AF7"/>
    <w:rsid w:val="005D52E8"/>
    <w:rsid w:val="005D62AC"/>
    <w:rsid w:val="005D735F"/>
    <w:rsid w:val="005D7792"/>
    <w:rsid w:val="005E1D47"/>
    <w:rsid w:val="005E487E"/>
    <w:rsid w:val="005E4CD0"/>
    <w:rsid w:val="005E76AF"/>
    <w:rsid w:val="005F0415"/>
    <w:rsid w:val="005F102C"/>
    <w:rsid w:val="005F1A64"/>
    <w:rsid w:val="005F1FAF"/>
    <w:rsid w:val="005F5F16"/>
    <w:rsid w:val="005F7BC2"/>
    <w:rsid w:val="00601A98"/>
    <w:rsid w:val="00603586"/>
    <w:rsid w:val="00605FD6"/>
    <w:rsid w:val="006065D3"/>
    <w:rsid w:val="00606987"/>
    <w:rsid w:val="00607EFF"/>
    <w:rsid w:val="00611A4C"/>
    <w:rsid w:val="006123A1"/>
    <w:rsid w:val="00612FB9"/>
    <w:rsid w:val="00616CE0"/>
    <w:rsid w:val="00617A2C"/>
    <w:rsid w:val="006214E0"/>
    <w:rsid w:val="00622BDA"/>
    <w:rsid w:val="0062334A"/>
    <w:rsid w:val="00624BEE"/>
    <w:rsid w:val="00625BE6"/>
    <w:rsid w:val="00626A55"/>
    <w:rsid w:val="00627AD1"/>
    <w:rsid w:val="00631218"/>
    <w:rsid w:val="006313AB"/>
    <w:rsid w:val="00633B30"/>
    <w:rsid w:val="00634E2C"/>
    <w:rsid w:val="00635A5C"/>
    <w:rsid w:val="00637014"/>
    <w:rsid w:val="006371A5"/>
    <w:rsid w:val="006372D1"/>
    <w:rsid w:val="006379AF"/>
    <w:rsid w:val="00640477"/>
    <w:rsid w:val="0064275F"/>
    <w:rsid w:val="0064370C"/>
    <w:rsid w:val="00644251"/>
    <w:rsid w:val="00645D99"/>
    <w:rsid w:val="006465F4"/>
    <w:rsid w:val="0064690C"/>
    <w:rsid w:val="00650459"/>
    <w:rsid w:val="00651DD1"/>
    <w:rsid w:val="00652A83"/>
    <w:rsid w:val="00652FC0"/>
    <w:rsid w:val="006530E1"/>
    <w:rsid w:val="00654DD8"/>
    <w:rsid w:val="00656A33"/>
    <w:rsid w:val="006577BA"/>
    <w:rsid w:val="00657DD9"/>
    <w:rsid w:val="006606EE"/>
    <w:rsid w:val="00661AFD"/>
    <w:rsid w:val="00662D85"/>
    <w:rsid w:val="00664042"/>
    <w:rsid w:val="006643CC"/>
    <w:rsid w:val="006648E6"/>
    <w:rsid w:val="00665017"/>
    <w:rsid w:val="00665112"/>
    <w:rsid w:val="00665964"/>
    <w:rsid w:val="00666A18"/>
    <w:rsid w:val="00670A0E"/>
    <w:rsid w:val="00672616"/>
    <w:rsid w:val="00673E38"/>
    <w:rsid w:val="00675726"/>
    <w:rsid w:val="006819A8"/>
    <w:rsid w:val="00682686"/>
    <w:rsid w:val="006853C1"/>
    <w:rsid w:val="00685F9B"/>
    <w:rsid w:val="0068677D"/>
    <w:rsid w:val="006900C7"/>
    <w:rsid w:val="006922EC"/>
    <w:rsid w:val="006936DD"/>
    <w:rsid w:val="0069374F"/>
    <w:rsid w:val="0069634B"/>
    <w:rsid w:val="006A41CB"/>
    <w:rsid w:val="006A4AFA"/>
    <w:rsid w:val="006A65C1"/>
    <w:rsid w:val="006A678D"/>
    <w:rsid w:val="006A72DB"/>
    <w:rsid w:val="006A7917"/>
    <w:rsid w:val="006B014A"/>
    <w:rsid w:val="006B28B4"/>
    <w:rsid w:val="006B2924"/>
    <w:rsid w:val="006B29C4"/>
    <w:rsid w:val="006B4B27"/>
    <w:rsid w:val="006C3475"/>
    <w:rsid w:val="006D2253"/>
    <w:rsid w:val="006D27A0"/>
    <w:rsid w:val="006D29DD"/>
    <w:rsid w:val="006D325D"/>
    <w:rsid w:val="006D4326"/>
    <w:rsid w:val="006D64A9"/>
    <w:rsid w:val="006D7766"/>
    <w:rsid w:val="006D799D"/>
    <w:rsid w:val="006E0166"/>
    <w:rsid w:val="006E2476"/>
    <w:rsid w:val="006E248A"/>
    <w:rsid w:val="006E2C61"/>
    <w:rsid w:val="006E4241"/>
    <w:rsid w:val="006E43BA"/>
    <w:rsid w:val="006E4DD2"/>
    <w:rsid w:val="006E73DB"/>
    <w:rsid w:val="006F143B"/>
    <w:rsid w:val="006F3F7A"/>
    <w:rsid w:val="006F5A76"/>
    <w:rsid w:val="006F66CF"/>
    <w:rsid w:val="00700677"/>
    <w:rsid w:val="00702B0C"/>
    <w:rsid w:val="00702DC2"/>
    <w:rsid w:val="00703753"/>
    <w:rsid w:val="00704AAA"/>
    <w:rsid w:val="0070658E"/>
    <w:rsid w:val="00707577"/>
    <w:rsid w:val="00707662"/>
    <w:rsid w:val="007110EE"/>
    <w:rsid w:val="0071253A"/>
    <w:rsid w:val="00715981"/>
    <w:rsid w:val="00716763"/>
    <w:rsid w:val="00716B2E"/>
    <w:rsid w:val="0071730F"/>
    <w:rsid w:val="00717FC6"/>
    <w:rsid w:val="00720000"/>
    <w:rsid w:val="00720706"/>
    <w:rsid w:val="007226F3"/>
    <w:rsid w:val="00723076"/>
    <w:rsid w:val="0072468C"/>
    <w:rsid w:val="00731CF7"/>
    <w:rsid w:val="007332E4"/>
    <w:rsid w:val="00733B1C"/>
    <w:rsid w:val="007341F4"/>
    <w:rsid w:val="00735586"/>
    <w:rsid w:val="007418DF"/>
    <w:rsid w:val="00741D8B"/>
    <w:rsid w:val="0074499F"/>
    <w:rsid w:val="00744D3C"/>
    <w:rsid w:val="00744DEE"/>
    <w:rsid w:val="0074523D"/>
    <w:rsid w:val="0074681D"/>
    <w:rsid w:val="007479E4"/>
    <w:rsid w:val="007501CD"/>
    <w:rsid w:val="00753EA7"/>
    <w:rsid w:val="00755275"/>
    <w:rsid w:val="00755AB6"/>
    <w:rsid w:val="00757D71"/>
    <w:rsid w:val="00757DA0"/>
    <w:rsid w:val="00760BA8"/>
    <w:rsid w:val="007610F9"/>
    <w:rsid w:val="00761B56"/>
    <w:rsid w:val="0076352E"/>
    <w:rsid w:val="0076432B"/>
    <w:rsid w:val="00766DC4"/>
    <w:rsid w:val="007677D3"/>
    <w:rsid w:val="0077156B"/>
    <w:rsid w:val="007722B0"/>
    <w:rsid w:val="00773C39"/>
    <w:rsid w:val="0077577E"/>
    <w:rsid w:val="00775F75"/>
    <w:rsid w:val="00776632"/>
    <w:rsid w:val="0078315A"/>
    <w:rsid w:val="00784217"/>
    <w:rsid w:val="0078483F"/>
    <w:rsid w:val="00786119"/>
    <w:rsid w:val="0078665F"/>
    <w:rsid w:val="00787546"/>
    <w:rsid w:val="00791D17"/>
    <w:rsid w:val="007930CA"/>
    <w:rsid w:val="00793310"/>
    <w:rsid w:val="007978A4"/>
    <w:rsid w:val="007A02AF"/>
    <w:rsid w:val="007A04B2"/>
    <w:rsid w:val="007A117B"/>
    <w:rsid w:val="007A2BE6"/>
    <w:rsid w:val="007A2CD4"/>
    <w:rsid w:val="007A2D31"/>
    <w:rsid w:val="007A2F81"/>
    <w:rsid w:val="007A31F2"/>
    <w:rsid w:val="007A4FAE"/>
    <w:rsid w:val="007A53F7"/>
    <w:rsid w:val="007A5A58"/>
    <w:rsid w:val="007A7F18"/>
    <w:rsid w:val="007B0179"/>
    <w:rsid w:val="007B0B09"/>
    <w:rsid w:val="007B1C13"/>
    <w:rsid w:val="007B4175"/>
    <w:rsid w:val="007B6ED8"/>
    <w:rsid w:val="007B78A6"/>
    <w:rsid w:val="007C09AA"/>
    <w:rsid w:val="007C1242"/>
    <w:rsid w:val="007C68EB"/>
    <w:rsid w:val="007C6C8A"/>
    <w:rsid w:val="007D0295"/>
    <w:rsid w:val="007D03F4"/>
    <w:rsid w:val="007D049C"/>
    <w:rsid w:val="007D0E6E"/>
    <w:rsid w:val="007D18C0"/>
    <w:rsid w:val="007D19AB"/>
    <w:rsid w:val="007D1EB7"/>
    <w:rsid w:val="007D2857"/>
    <w:rsid w:val="007D3207"/>
    <w:rsid w:val="007D41DD"/>
    <w:rsid w:val="007D4262"/>
    <w:rsid w:val="007D49DC"/>
    <w:rsid w:val="007D52FE"/>
    <w:rsid w:val="007D6DCB"/>
    <w:rsid w:val="007D7058"/>
    <w:rsid w:val="007D7C02"/>
    <w:rsid w:val="007E1D82"/>
    <w:rsid w:val="007E41A4"/>
    <w:rsid w:val="007E552A"/>
    <w:rsid w:val="007E5B6B"/>
    <w:rsid w:val="007F0C51"/>
    <w:rsid w:val="007F214A"/>
    <w:rsid w:val="007F226D"/>
    <w:rsid w:val="007F3919"/>
    <w:rsid w:val="007F4928"/>
    <w:rsid w:val="007F5C0B"/>
    <w:rsid w:val="00800707"/>
    <w:rsid w:val="00804B3F"/>
    <w:rsid w:val="008057C1"/>
    <w:rsid w:val="00805A6D"/>
    <w:rsid w:val="008069B7"/>
    <w:rsid w:val="00807BA3"/>
    <w:rsid w:val="0081157C"/>
    <w:rsid w:val="00814153"/>
    <w:rsid w:val="008149C3"/>
    <w:rsid w:val="00817B5A"/>
    <w:rsid w:val="00823727"/>
    <w:rsid w:val="00823851"/>
    <w:rsid w:val="00823860"/>
    <w:rsid w:val="008238FF"/>
    <w:rsid w:val="00824466"/>
    <w:rsid w:val="00824D5C"/>
    <w:rsid w:val="008254CA"/>
    <w:rsid w:val="0082749B"/>
    <w:rsid w:val="0082758D"/>
    <w:rsid w:val="0082765D"/>
    <w:rsid w:val="00832681"/>
    <w:rsid w:val="00837109"/>
    <w:rsid w:val="00837AB9"/>
    <w:rsid w:val="00840E15"/>
    <w:rsid w:val="00842741"/>
    <w:rsid w:val="00842EE0"/>
    <w:rsid w:val="00843325"/>
    <w:rsid w:val="008457D4"/>
    <w:rsid w:val="008464E9"/>
    <w:rsid w:val="0085053E"/>
    <w:rsid w:val="00852F76"/>
    <w:rsid w:val="00855D82"/>
    <w:rsid w:val="00856726"/>
    <w:rsid w:val="00856C91"/>
    <w:rsid w:val="008571B9"/>
    <w:rsid w:val="0085783B"/>
    <w:rsid w:val="00860FA6"/>
    <w:rsid w:val="00862AE2"/>
    <w:rsid w:val="00862CFE"/>
    <w:rsid w:val="00863764"/>
    <w:rsid w:val="008643E8"/>
    <w:rsid w:val="008670BB"/>
    <w:rsid w:val="00871EA0"/>
    <w:rsid w:val="00872896"/>
    <w:rsid w:val="00872ACE"/>
    <w:rsid w:val="00873424"/>
    <w:rsid w:val="008766DD"/>
    <w:rsid w:val="00877C69"/>
    <w:rsid w:val="008802BB"/>
    <w:rsid w:val="00880A5B"/>
    <w:rsid w:val="00880FE1"/>
    <w:rsid w:val="0088134E"/>
    <w:rsid w:val="00885C51"/>
    <w:rsid w:val="00885EEB"/>
    <w:rsid w:val="008867F6"/>
    <w:rsid w:val="0088757C"/>
    <w:rsid w:val="008920A8"/>
    <w:rsid w:val="008932CD"/>
    <w:rsid w:val="008955DA"/>
    <w:rsid w:val="0089650D"/>
    <w:rsid w:val="00897567"/>
    <w:rsid w:val="008975E5"/>
    <w:rsid w:val="008A02B7"/>
    <w:rsid w:val="008A0769"/>
    <w:rsid w:val="008A167C"/>
    <w:rsid w:val="008A1E3B"/>
    <w:rsid w:val="008A31AB"/>
    <w:rsid w:val="008A43B3"/>
    <w:rsid w:val="008A58A9"/>
    <w:rsid w:val="008A7EEB"/>
    <w:rsid w:val="008B36BF"/>
    <w:rsid w:val="008B6E9A"/>
    <w:rsid w:val="008B77ED"/>
    <w:rsid w:val="008C4851"/>
    <w:rsid w:val="008C6A2A"/>
    <w:rsid w:val="008C70FC"/>
    <w:rsid w:val="008C78FF"/>
    <w:rsid w:val="008D18C2"/>
    <w:rsid w:val="008D317E"/>
    <w:rsid w:val="008D33FD"/>
    <w:rsid w:val="008D53CF"/>
    <w:rsid w:val="008D6FDB"/>
    <w:rsid w:val="008D78E8"/>
    <w:rsid w:val="008E1B6C"/>
    <w:rsid w:val="008E2039"/>
    <w:rsid w:val="008E3A2D"/>
    <w:rsid w:val="008F1F3A"/>
    <w:rsid w:val="008F2288"/>
    <w:rsid w:val="008F336D"/>
    <w:rsid w:val="008F43BC"/>
    <w:rsid w:val="008F50B9"/>
    <w:rsid w:val="008F5D1B"/>
    <w:rsid w:val="008F5E29"/>
    <w:rsid w:val="00900F95"/>
    <w:rsid w:val="0090218C"/>
    <w:rsid w:val="00902CAE"/>
    <w:rsid w:val="00906ABD"/>
    <w:rsid w:val="00907B2E"/>
    <w:rsid w:val="00910E12"/>
    <w:rsid w:val="009122CD"/>
    <w:rsid w:val="009148B9"/>
    <w:rsid w:val="00915DAD"/>
    <w:rsid w:val="00916767"/>
    <w:rsid w:val="00920B8E"/>
    <w:rsid w:val="00921E40"/>
    <w:rsid w:val="0092224D"/>
    <w:rsid w:val="009224D8"/>
    <w:rsid w:val="00922774"/>
    <w:rsid w:val="0092354D"/>
    <w:rsid w:val="00923850"/>
    <w:rsid w:val="009239F1"/>
    <w:rsid w:val="009243E8"/>
    <w:rsid w:val="009265F5"/>
    <w:rsid w:val="009272AA"/>
    <w:rsid w:val="009276AF"/>
    <w:rsid w:val="0092781F"/>
    <w:rsid w:val="00930798"/>
    <w:rsid w:val="009331E1"/>
    <w:rsid w:val="00934D2F"/>
    <w:rsid w:val="009370F4"/>
    <w:rsid w:val="0093784F"/>
    <w:rsid w:val="00937DAE"/>
    <w:rsid w:val="00937FE7"/>
    <w:rsid w:val="0094056E"/>
    <w:rsid w:val="009405E8"/>
    <w:rsid w:val="00946C64"/>
    <w:rsid w:val="00947A0A"/>
    <w:rsid w:val="00952C1C"/>
    <w:rsid w:val="009552F5"/>
    <w:rsid w:val="0095791E"/>
    <w:rsid w:val="00957F10"/>
    <w:rsid w:val="00962B1C"/>
    <w:rsid w:val="00963DC5"/>
    <w:rsid w:val="009671B7"/>
    <w:rsid w:val="009678AA"/>
    <w:rsid w:val="00970739"/>
    <w:rsid w:val="00971C89"/>
    <w:rsid w:val="009746FD"/>
    <w:rsid w:val="009747FF"/>
    <w:rsid w:val="00974C33"/>
    <w:rsid w:val="00975D6C"/>
    <w:rsid w:val="00975E19"/>
    <w:rsid w:val="009769E4"/>
    <w:rsid w:val="009772B7"/>
    <w:rsid w:val="00977387"/>
    <w:rsid w:val="0098072D"/>
    <w:rsid w:val="009808C5"/>
    <w:rsid w:val="00980CDC"/>
    <w:rsid w:val="00980EE3"/>
    <w:rsid w:val="00983D6B"/>
    <w:rsid w:val="0098516C"/>
    <w:rsid w:val="00986A08"/>
    <w:rsid w:val="00991B3C"/>
    <w:rsid w:val="0099281E"/>
    <w:rsid w:val="009944DF"/>
    <w:rsid w:val="00994956"/>
    <w:rsid w:val="00994C9C"/>
    <w:rsid w:val="009A138E"/>
    <w:rsid w:val="009A17F4"/>
    <w:rsid w:val="009A1C33"/>
    <w:rsid w:val="009A3D6B"/>
    <w:rsid w:val="009A5120"/>
    <w:rsid w:val="009A665D"/>
    <w:rsid w:val="009A793B"/>
    <w:rsid w:val="009A7AF4"/>
    <w:rsid w:val="009B15D2"/>
    <w:rsid w:val="009B1BCF"/>
    <w:rsid w:val="009B20A8"/>
    <w:rsid w:val="009B4381"/>
    <w:rsid w:val="009B4CAB"/>
    <w:rsid w:val="009B69D2"/>
    <w:rsid w:val="009C03D8"/>
    <w:rsid w:val="009C0AFF"/>
    <w:rsid w:val="009C5BA0"/>
    <w:rsid w:val="009C738D"/>
    <w:rsid w:val="009C79D2"/>
    <w:rsid w:val="009D1E08"/>
    <w:rsid w:val="009D23A3"/>
    <w:rsid w:val="009D5221"/>
    <w:rsid w:val="009D5BCC"/>
    <w:rsid w:val="009D6629"/>
    <w:rsid w:val="009D774B"/>
    <w:rsid w:val="009D778F"/>
    <w:rsid w:val="009E051A"/>
    <w:rsid w:val="009E109E"/>
    <w:rsid w:val="009E242A"/>
    <w:rsid w:val="009E48C0"/>
    <w:rsid w:val="009E5ECE"/>
    <w:rsid w:val="009E643C"/>
    <w:rsid w:val="009E7C53"/>
    <w:rsid w:val="009F371F"/>
    <w:rsid w:val="009F38FF"/>
    <w:rsid w:val="009F71DE"/>
    <w:rsid w:val="009F766F"/>
    <w:rsid w:val="00A011EC"/>
    <w:rsid w:val="00A02041"/>
    <w:rsid w:val="00A03685"/>
    <w:rsid w:val="00A03FE9"/>
    <w:rsid w:val="00A044BD"/>
    <w:rsid w:val="00A049D6"/>
    <w:rsid w:val="00A05B2B"/>
    <w:rsid w:val="00A11909"/>
    <w:rsid w:val="00A11F96"/>
    <w:rsid w:val="00A12E77"/>
    <w:rsid w:val="00A13643"/>
    <w:rsid w:val="00A13854"/>
    <w:rsid w:val="00A13F1E"/>
    <w:rsid w:val="00A14F26"/>
    <w:rsid w:val="00A15CCE"/>
    <w:rsid w:val="00A16BEB"/>
    <w:rsid w:val="00A174BE"/>
    <w:rsid w:val="00A17724"/>
    <w:rsid w:val="00A206B3"/>
    <w:rsid w:val="00A2079B"/>
    <w:rsid w:val="00A2128F"/>
    <w:rsid w:val="00A249C4"/>
    <w:rsid w:val="00A24D3F"/>
    <w:rsid w:val="00A305D2"/>
    <w:rsid w:val="00A30922"/>
    <w:rsid w:val="00A3268D"/>
    <w:rsid w:val="00A34502"/>
    <w:rsid w:val="00A366DB"/>
    <w:rsid w:val="00A371E0"/>
    <w:rsid w:val="00A4059F"/>
    <w:rsid w:val="00A43272"/>
    <w:rsid w:val="00A43655"/>
    <w:rsid w:val="00A440D8"/>
    <w:rsid w:val="00A45623"/>
    <w:rsid w:val="00A45E1B"/>
    <w:rsid w:val="00A47AAA"/>
    <w:rsid w:val="00A51A84"/>
    <w:rsid w:val="00A52A70"/>
    <w:rsid w:val="00A53CEE"/>
    <w:rsid w:val="00A548D0"/>
    <w:rsid w:val="00A54A4E"/>
    <w:rsid w:val="00A54E1B"/>
    <w:rsid w:val="00A54F85"/>
    <w:rsid w:val="00A559E2"/>
    <w:rsid w:val="00A55E5C"/>
    <w:rsid w:val="00A568EF"/>
    <w:rsid w:val="00A57BDF"/>
    <w:rsid w:val="00A606AD"/>
    <w:rsid w:val="00A6474D"/>
    <w:rsid w:val="00A662E0"/>
    <w:rsid w:val="00A676C3"/>
    <w:rsid w:val="00A707D9"/>
    <w:rsid w:val="00A73B0E"/>
    <w:rsid w:val="00A73D3E"/>
    <w:rsid w:val="00A74F73"/>
    <w:rsid w:val="00A76CF0"/>
    <w:rsid w:val="00A77BB9"/>
    <w:rsid w:val="00A77D8D"/>
    <w:rsid w:val="00A80D90"/>
    <w:rsid w:val="00A83A78"/>
    <w:rsid w:val="00A86D60"/>
    <w:rsid w:val="00A91FAF"/>
    <w:rsid w:val="00A92B9A"/>
    <w:rsid w:val="00A96607"/>
    <w:rsid w:val="00AA3AEF"/>
    <w:rsid w:val="00AA4E20"/>
    <w:rsid w:val="00AA71BB"/>
    <w:rsid w:val="00AA749C"/>
    <w:rsid w:val="00AA7760"/>
    <w:rsid w:val="00AA7B02"/>
    <w:rsid w:val="00AB34CB"/>
    <w:rsid w:val="00AB3738"/>
    <w:rsid w:val="00AB3978"/>
    <w:rsid w:val="00AB6BD7"/>
    <w:rsid w:val="00AB7D1E"/>
    <w:rsid w:val="00AB7E93"/>
    <w:rsid w:val="00AC0DA7"/>
    <w:rsid w:val="00AC1CF4"/>
    <w:rsid w:val="00AC1DEA"/>
    <w:rsid w:val="00AC21AE"/>
    <w:rsid w:val="00AC26B3"/>
    <w:rsid w:val="00AC437B"/>
    <w:rsid w:val="00AC5735"/>
    <w:rsid w:val="00AC7B8A"/>
    <w:rsid w:val="00AC7C44"/>
    <w:rsid w:val="00AD0F71"/>
    <w:rsid w:val="00AD3C9B"/>
    <w:rsid w:val="00AD5107"/>
    <w:rsid w:val="00AD7310"/>
    <w:rsid w:val="00AE019E"/>
    <w:rsid w:val="00AE2020"/>
    <w:rsid w:val="00AE2A64"/>
    <w:rsid w:val="00AE4B6A"/>
    <w:rsid w:val="00AE4EAD"/>
    <w:rsid w:val="00AF11AF"/>
    <w:rsid w:val="00AF1202"/>
    <w:rsid w:val="00AF16F8"/>
    <w:rsid w:val="00AF1993"/>
    <w:rsid w:val="00AF1C83"/>
    <w:rsid w:val="00AF30A9"/>
    <w:rsid w:val="00AF3F60"/>
    <w:rsid w:val="00AF3F88"/>
    <w:rsid w:val="00AF426F"/>
    <w:rsid w:val="00AF4320"/>
    <w:rsid w:val="00AF44D1"/>
    <w:rsid w:val="00AF5034"/>
    <w:rsid w:val="00AF58C7"/>
    <w:rsid w:val="00AF671D"/>
    <w:rsid w:val="00AF7785"/>
    <w:rsid w:val="00AF77F5"/>
    <w:rsid w:val="00B01932"/>
    <w:rsid w:val="00B02170"/>
    <w:rsid w:val="00B02251"/>
    <w:rsid w:val="00B03451"/>
    <w:rsid w:val="00B034E6"/>
    <w:rsid w:val="00B04868"/>
    <w:rsid w:val="00B04B64"/>
    <w:rsid w:val="00B054CF"/>
    <w:rsid w:val="00B12492"/>
    <w:rsid w:val="00B13248"/>
    <w:rsid w:val="00B139D8"/>
    <w:rsid w:val="00B140D6"/>
    <w:rsid w:val="00B14998"/>
    <w:rsid w:val="00B15FFE"/>
    <w:rsid w:val="00B16599"/>
    <w:rsid w:val="00B16EF3"/>
    <w:rsid w:val="00B20377"/>
    <w:rsid w:val="00B20D1E"/>
    <w:rsid w:val="00B22EAF"/>
    <w:rsid w:val="00B23AAD"/>
    <w:rsid w:val="00B24050"/>
    <w:rsid w:val="00B264F9"/>
    <w:rsid w:val="00B266DB"/>
    <w:rsid w:val="00B303E3"/>
    <w:rsid w:val="00B318B1"/>
    <w:rsid w:val="00B35C08"/>
    <w:rsid w:val="00B361CF"/>
    <w:rsid w:val="00B37EB7"/>
    <w:rsid w:val="00B402C5"/>
    <w:rsid w:val="00B41207"/>
    <w:rsid w:val="00B4177D"/>
    <w:rsid w:val="00B43242"/>
    <w:rsid w:val="00B44B94"/>
    <w:rsid w:val="00B44E96"/>
    <w:rsid w:val="00B4514B"/>
    <w:rsid w:val="00B452AB"/>
    <w:rsid w:val="00B46890"/>
    <w:rsid w:val="00B517B2"/>
    <w:rsid w:val="00B55689"/>
    <w:rsid w:val="00B55AB4"/>
    <w:rsid w:val="00B566DB"/>
    <w:rsid w:val="00B601BB"/>
    <w:rsid w:val="00B60924"/>
    <w:rsid w:val="00B60EA0"/>
    <w:rsid w:val="00B610F3"/>
    <w:rsid w:val="00B62EA6"/>
    <w:rsid w:val="00B63BFF"/>
    <w:rsid w:val="00B6489C"/>
    <w:rsid w:val="00B648DA"/>
    <w:rsid w:val="00B67768"/>
    <w:rsid w:val="00B67A56"/>
    <w:rsid w:val="00B76AED"/>
    <w:rsid w:val="00B771CA"/>
    <w:rsid w:val="00B810BC"/>
    <w:rsid w:val="00B827D6"/>
    <w:rsid w:val="00B84701"/>
    <w:rsid w:val="00B84B70"/>
    <w:rsid w:val="00B850E2"/>
    <w:rsid w:val="00B854F1"/>
    <w:rsid w:val="00B8633E"/>
    <w:rsid w:val="00B878FF"/>
    <w:rsid w:val="00B90B49"/>
    <w:rsid w:val="00B90F31"/>
    <w:rsid w:val="00B93ECD"/>
    <w:rsid w:val="00B97239"/>
    <w:rsid w:val="00B976DF"/>
    <w:rsid w:val="00BA0BC8"/>
    <w:rsid w:val="00BA0C7F"/>
    <w:rsid w:val="00BA33B4"/>
    <w:rsid w:val="00BA68B3"/>
    <w:rsid w:val="00BB1CC3"/>
    <w:rsid w:val="00BB27FC"/>
    <w:rsid w:val="00BB3174"/>
    <w:rsid w:val="00BB67BE"/>
    <w:rsid w:val="00BB6C64"/>
    <w:rsid w:val="00BB72A1"/>
    <w:rsid w:val="00BC121B"/>
    <w:rsid w:val="00BC151A"/>
    <w:rsid w:val="00BC210A"/>
    <w:rsid w:val="00BC3404"/>
    <w:rsid w:val="00BC384C"/>
    <w:rsid w:val="00BC43EF"/>
    <w:rsid w:val="00BC4FBD"/>
    <w:rsid w:val="00BC69DA"/>
    <w:rsid w:val="00BD1F07"/>
    <w:rsid w:val="00BD43CE"/>
    <w:rsid w:val="00BD7058"/>
    <w:rsid w:val="00BD7FB7"/>
    <w:rsid w:val="00BE0EBC"/>
    <w:rsid w:val="00BE0EDD"/>
    <w:rsid w:val="00BE3F25"/>
    <w:rsid w:val="00BE443B"/>
    <w:rsid w:val="00BE4AC1"/>
    <w:rsid w:val="00BE67FC"/>
    <w:rsid w:val="00BE7213"/>
    <w:rsid w:val="00BE7AC4"/>
    <w:rsid w:val="00BF2A4F"/>
    <w:rsid w:val="00BF3256"/>
    <w:rsid w:val="00BF417F"/>
    <w:rsid w:val="00BF4B99"/>
    <w:rsid w:val="00BF574F"/>
    <w:rsid w:val="00BF6810"/>
    <w:rsid w:val="00BF7736"/>
    <w:rsid w:val="00C00B2C"/>
    <w:rsid w:val="00C00D87"/>
    <w:rsid w:val="00C00EA9"/>
    <w:rsid w:val="00C010E9"/>
    <w:rsid w:val="00C02F35"/>
    <w:rsid w:val="00C03D71"/>
    <w:rsid w:val="00C04125"/>
    <w:rsid w:val="00C05BBA"/>
    <w:rsid w:val="00C07AA1"/>
    <w:rsid w:val="00C10294"/>
    <w:rsid w:val="00C116A9"/>
    <w:rsid w:val="00C145D4"/>
    <w:rsid w:val="00C16429"/>
    <w:rsid w:val="00C1662D"/>
    <w:rsid w:val="00C16B31"/>
    <w:rsid w:val="00C16F23"/>
    <w:rsid w:val="00C2116D"/>
    <w:rsid w:val="00C2309F"/>
    <w:rsid w:val="00C26588"/>
    <w:rsid w:val="00C30C6C"/>
    <w:rsid w:val="00C314E0"/>
    <w:rsid w:val="00C327EE"/>
    <w:rsid w:val="00C32BB4"/>
    <w:rsid w:val="00C32C42"/>
    <w:rsid w:val="00C3317A"/>
    <w:rsid w:val="00C34EBB"/>
    <w:rsid w:val="00C35AE1"/>
    <w:rsid w:val="00C35D29"/>
    <w:rsid w:val="00C36D64"/>
    <w:rsid w:val="00C37109"/>
    <w:rsid w:val="00C40AD0"/>
    <w:rsid w:val="00C40B45"/>
    <w:rsid w:val="00C43643"/>
    <w:rsid w:val="00C4502C"/>
    <w:rsid w:val="00C45B3F"/>
    <w:rsid w:val="00C501D0"/>
    <w:rsid w:val="00C5041C"/>
    <w:rsid w:val="00C52CD4"/>
    <w:rsid w:val="00C54469"/>
    <w:rsid w:val="00C55764"/>
    <w:rsid w:val="00C55EAB"/>
    <w:rsid w:val="00C5652F"/>
    <w:rsid w:val="00C57AAF"/>
    <w:rsid w:val="00C61382"/>
    <w:rsid w:val="00C652FC"/>
    <w:rsid w:val="00C66D83"/>
    <w:rsid w:val="00C71A70"/>
    <w:rsid w:val="00C71E4B"/>
    <w:rsid w:val="00C729EA"/>
    <w:rsid w:val="00C73373"/>
    <w:rsid w:val="00C7472F"/>
    <w:rsid w:val="00C7512A"/>
    <w:rsid w:val="00C76348"/>
    <w:rsid w:val="00C76A53"/>
    <w:rsid w:val="00C8142B"/>
    <w:rsid w:val="00C8167E"/>
    <w:rsid w:val="00C82769"/>
    <w:rsid w:val="00C85118"/>
    <w:rsid w:val="00C85A2B"/>
    <w:rsid w:val="00C87565"/>
    <w:rsid w:val="00C9021D"/>
    <w:rsid w:val="00C90302"/>
    <w:rsid w:val="00C90992"/>
    <w:rsid w:val="00C92451"/>
    <w:rsid w:val="00C92EB3"/>
    <w:rsid w:val="00C94BF1"/>
    <w:rsid w:val="00C95C6A"/>
    <w:rsid w:val="00C964D7"/>
    <w:rsid w:val="00CA0E68"/>
    <w:rsid w:val="00CA1037"/>
    <w:rsid w:val="00CA12FF"/>
    <w:rsid w:val="00CA1520"/>
    <w:rsid w:val="00CA1775"/>
    <w:rsid w:val="00CA2C96"/>
    <w:rsid w:val="00CA473E"/>
    <w:rsid w:val="00CA58C0"/>
    <w:rsid w:val="00CA6C84"/>
    <w:rsid w:val="00CA7118"/>
    <w:rsid w:val="00CA7EFF"/>
    <w:rsid w:val="00CB02F3"/>
    <w:rsid w:val="00CB1241"/>
    <w:rsid w:val="00CB23A0"/>
    <w:rsid w:val="00CB2941"/>
    <w:rsid w:val="00CB3D7D"/>
    <w:rsid w:val="00CB4B8D"/>
    <w:rsid w:val="00CC1A3D"/>
    <w:rsid w:val="00CC4C42"/>
    <w:rsid w:val="00CC75F2"/>
    <w:rsid w:val="00CC78F8"/>
    <w:rsid w:val="00CC7C7E"/>
    <w:rsid w:val="00CD0EEB"/>
    <w:rsid w:val="00CD29D7"/>
    <w:rsid w:val="00CD3BFB"/>
    <w:rsid w:val="00CD3DF6"/>
    <w:rsid w:val="00CD68F7"/>
    <w:rsid w:val="00CD740F"/>
    <w:rsid w:val="00CE07B2"/>
    <w:rsid w:val="00CE1332"/>
    <w:rsid w:val="00CE5504"/>
    <w:rsid w:val="00CE58DE"/>
    <w:rsid w:val="00CE6503"/>
    <w:rsid w:val="00CF101B"/>
    <w:rsid w:val="00CF3335"/>
    <w:rsid w:val="00CF3918"/>
    <w:rsid w:val="00CF4EC6"/>
    <w:rsid w:val="00D01DBF"/>
    <w:rsid w:val="00D04BB6"/>
    <w:rsid w:val="00D0518A"/>
    <w:rsid w:val="00D062FC"/>
    <w:rsid w:val="00D1504E"/>
    <w:rsid w:val="00D154B9"/>
    <w:rsid w:val="00D16761"/>
    <w:rsid w:val="00D1710F"/>
    <w:rsid w:val="00D17E52"/>
    <w:rsid w:val="00D20E52"/>
    <w:rsid w:val="00D2152E"/>
    <w:rsid w:val="00D22781"/>
    <w:rsid w:val="00D22793"/>
    <w:rsid w:val="00D24C60"/>
    <w:rsid w:val="00D2579C"/>
    <w:rsid w:val="00D3003E"/>
    <w:rsid w:val="00D3055B"/>
    <w:rsid w:val="00D3259A"/>
    <w:rsid w:val="00D33BFC"/>
    <w:rsid w:val="00D35314"/>
    <w:rsid w:val="00D35640"/>
    <w:rsid w:val="00D35B4F"/>
    <w:rsid w:val="00D46186"/>
    <w:rsid w:val="00D50ACF"/>
    <w:rsid w:val="00D50D98"/>
    <w:rsid w:val="00D51584"/>
    <w:rsid w:val="00D5306A"/>
    <w:rsid w:val="00D54426"/>
    <w:rsid w:val="00D5540C"/>
    <w:rsid w:val="00D600F7"/>
    <w:rsid w:val="00D60E22"/>
    <w:rsid w:val="00D625FA"/>
    <w:rsid w:val="00D640F0"/>
    <w:rsid w:val="00D64227"/>
    <w:rsid w:val="00D644A5"/>
    <w:rsid w:val="00D73122"/>
    <w:rsid w:val="00D73A14"/>
    <w:rsid w:val="00D76EC1"/>
    <w:rsid w:val="00D7744D"/>
    <w:rsid w:val="00D8007B"/>
    <w:rsid w:val="00D80A6B"/>
    <w:rsid w:val="00D820BB"/>
    <w:rsid w:val="00D83FAF"/>
    <w:rsid w:val="00D8791B"/>
    <w:rsid w:val="00D90104"/>
    <w:rsid w:val="00D90318"/>
    <w:rsid w:val="00D92646"/>
    <w:rsid w:val="00D93123"/>
    <w:rsid w:val="00D965D3"/>
    <w:rsid w:val="00D96B12"/>
    <w:rsid w:val="00D97045"/>
    <w:rsid w:val="00D9735F"/>
    <w:rsid w:val="00D9738C"/>
    <w:rsid w:val="00DA2755"/>
    <w:rsid w:val="00DA3013"/>
    <w:rsid w:val="00DA433D"/>
    <w:rsid w:val="00DA6FBD"/>
    <w:rsid w:val="00DA7C99"/>
    <w:rsid w:val="00DA7DDC"/>
    <w:rsid w:val="00DA7FC0"/>
    <w:rsid w:val="00DB1966"/>
    <w:rsid w:val="00DB3381"/>
    <w:rsid w:val="00DB3AF5"/>
    <w:rsid w:val="00DB5F72"/>
    <w:rsid w:val="00DB653F"/>
    <w:rsid w:val="00DB7B9F"/>
    <w:rsid w:val="00DC3F0B"/>
    <w:rsid w:val="00DC42B1"/>
    <w:rsid w:val="00DC499B"/>
    <w:rsid w:val="00DC4B9F"/>
    <w:rsid w:val="00DC51B4"/>
    <w:rsid w:val="00DC7F78"/>
    <w:rsid w:val="00DD14D1"/>
    <w:rsid w:val="00DD2F81"/>
    <w:rsid w:val="00DD344C"/>
    <w:rsid w:val="00DD3ACF"/>
    <w:rsid w:val="00DD7309"/>
    <w:rsid w:val="00DD7972"/>
    <w:rsid w:val="00DE0618"/>
    <w:rsid w:val="00DE1E49"/>
    <w:rsid w:val="00DE23DA"/>
    <w:rsid w:val="00DE30FF"/>
    <w:rsid w:val="00DE7B54"/>
    <w:rsid w:val="00DF4620"/>
    <w:rsid w:val="00E0049D"/>
    <w:rsid w:val="00E011B7"/>
    <w:rsid w:val="00E01C4A"/>
    <w:rsid w:val="00E039E4"/>
    <w:rsid w:val="00E056FA"/>
    <w:rsid w:val="00E07B99"/>
    <w:rsid w:val="00E1033E"/>
    <w:rsid w:val="00E1080B"/>
    <w:rsid w:val="00E11246"/>
    <w:rsid w:val="00E13B08"/>
    <w:rsid w:val="00E13EC1"/>
    <w:rsid w:val="00E16EE2"/>
    <w:rsid w:val="00E16F24"/>
    <w:rsid w:val="00E203E2"/>
    <w:rsid w:val="00E20D8B"/>
    <w:rsid w:val="00E21013"/>
    <w:rsid w:val="00E233B8"/>
    <w:rsid w:val="00E2344C"/>
    <w:rsid w:val="00E240FB"/>
    <w:rsid w:val="00E24805"/>
    <w:rsid w:val="00E24E8B"/>
    <w:rsid w:val="00E2672A"/>
    <w:rsid w:val="00E31AD7"/>
    <w:rsid w:val="00E3299D"/>
    <w:rsid w:val="00E37485"/>
    <w:rsid w:val="00E40121"/>
    <w:rsid w:val="00E40122"/>
    <w:rsid w:val="00E4198D"/>
    <w:rsid w:val="00E41B11"/>
    <w:rsid w:val="00E4227F"/>
    <w:rsid w:val="00E46600"/>
    <w:rsid w:val="00E46D34"/>
    <w:rsid w:val="00E50BF7"/>
    <w:rsid w:val="00E50D6A"/>
    <w:rsid w:val="00E50E9D"/>
    <w:rsid w:val="00E55590"/>
    <w:rsid w:val="00E57215"/>
    <w:rsid w:val="00E61D01"/>
    <w:rsid w:val="00E62820"/>
    <w:rsid w:val="00E64166"/>
    <w:rsid w:val="00E669E8"/>
    <w:rsid w:val="00E678CC"/>
    <w:rsid w:val="00E71EE0"/>
    <w:rsid w:val="00E811FE"/>
    <w:rsid w:val="00E815C1"/>
    <w:rsid w:val="00E81BD4"/>
    <w:rsid w:val="00E82CB5"/>
    <w:rsid w:val="00E83D3C"/>
    <w:rsid w:val="00E8487E"/>
    <w:rsid w:val="00E84DF0"/>
    <w:rsid w:val="00E85E45"/>
    <w:rsid w:val="00E861BF"/>
    <w:rsid w:val="00E92A52"/>
    <w:rsid w:val="00E94E1E"/>
    <w:rsid w:val="00E95324"/>
    <w:rsid w:val="00E9693E"/>
    <w:rsid w:val="00EA0280"/>
    <w:rsid w:val="00EA20FE"/>
    <w:rsid w:val="00EA2C62"/>
    <w:rsid w:val="00EA4817"/>
    <w:rsid w:val="00EA649D"/>
    <w:rsid w:val="00EA6855"/>
    <w:rsid w:val="00EA7B4E"/>
    <w:rsid w:val="00EB68DA"/>
    <w:rsid w:val="00EC15C7"/>
    <w:rsid w:val="00EC31A1"/>
    <w:rsid w:val="00EC5459"/>
    <w:rsid w:val="00ED01C9"/>
    <w:rsid w:val="00ED1A03"/>
    <w:rsid w:val="00ED303A"/>
    <w:rsid w:val="00ED5BF0"/>
    <w:rsid w:val="00ED7030"/>
    <w:rsid w:val="00EE3EFE"/>
    <w:rsid w:val="00EE4221"/>
    <w:rsid w:val="00EE4DDE"/>
    <w:rsid w:val="00EF0A3A"/>
    <w:rsid w:val="00EF3024"/>
    <w:rsid w:val="00EF3286"/>
    <w:rsid w:val="00EF4D51"/>
    <w:rsid w:val="00EF4FC4"/>
    <w:rsid w:val="00EF7238"/>
    <w:rsid w:val="00F02731"/>
    <w:rsid w:val="00F03FFD"/>
    <w:rsid w:val="00F04007"/>
    <w:rsid w:val="00F05592"/>
    <w:rsid w:val="00F06308"/>
    <w:rsid w:val="00F07687"/>
    <w:rsid w:val="00F0791C"/>
    <w:rsid w:val="00F103C7"/>
    <w:rsid w:val="00F11F0B"/>
    <w:rsid w:val="00F13BD0"/>
    <w:rsid w:val="00F14AA9"/>
    <w:rsid w:val="00F14CE3"/>
    <w:rsid w:val="00F15A6F"/>
    <w:rsid w:val="00F16422"/>
    <w:rsid w:val="00F16D90"/>
    <w:rsid w:val="00F17416"/>
    <w:rsid w:val="00F178DA"/>
    <w:rsid w:val="00F240D4"/>
    <w:rsid w:val="00F25C86"/>
    <w:rsid w:val="00F275AE"/>
    <w:rsid w:val="00F27833"/>
    <w:rsid w:val="00F279F4"/>
    <w:rsid w:val="00F303C2"/>
    <w:rsid w:val="00F31F84"/>
    <w:rsid w:val="00F32968"/>
    <w:rsid w:val="00F3356D"/>
    <w:rsid w:val="00F33BA7"/>
    <w:rsid w:val="00F34B45"/>
    <w:rsid w:val="00F3743C"/>
    <w:rsid w:val="00F37686"/>
    <w:rsid w:val="00F41E6E"/>
    <w:rsid w:val="00F43398"/>
    <w:rsid w:val="00F43F44"/>
    <w:rsid w:val="00F45E78"/>
    <w:rsid w:val="00F46054"/>
    <w:rsid w:val="00F47638"/>
    <w:rsid w:val="00F502BD"/>
    <w:rsid w:val="00F518F4"/>
    <w:rsid w:val="00F52322"/>
    <w:rsid w:val="00F531AF"/>
    <w:rsid w:val="00F54C4F"/>
    <w:rsid w:val="00F558BE"/>
    <w:rsid w:val="00F56160"/>
    <w:rsid w:val="00F56C55"/>
    <w:rsid w:val="00F614CD"/>
    <w:rsid w:val="00F63DAC"/>
    <w:rsid w:val="00F64C3B"/>
    <w:rsid w:val="00F64D59"/>
    <w:rsid w:val="00F64FFB"/>
    <w:rsid w:val="00F65927"/>
    <w:rsid w:val="00F70868"/>
    <w:rsid w:val="00F71058"/>
    <w:rsid w:val="00F71AC9"/>
    <w:rsid w:val="00F72F36"/>
    <w:rsid w:val="00F77BD8"/>
    <w:rsid w:val="00F80905"/>
    <w:rsid w:val="00F814D8"/>
    <w:rsid w:val="00F84536"/>
    <w:rsid w:val="00F86A71"/>
    <w:rsid w:val="00F87385"/>
    <w:rsid w:val="00F90D6D"/>
    <w:rsid w:val="00F9157A"/>
    <w:rsid w:val="00F9626F"/>
    <w:rsid w:val="00F968A8"/>
    <w:rsid w:val="00F96D7E"/>
    <w:rsid w:val="00FA4473"/>
    <w:rsid w:val="00FA5F9F"/>
    <w:rsid w:val="00FA6E7F"/>
    <w:rsid w:val="00FB0492"/>
    <w:rsid w:val="00FB0B65"/>
    <w:rsid w:val="00FB0D77"/>
    <w:rsid w:val="00FB0DCC"/>
    <w:rsid w:val="00FB4628"/>
    <w:rsid w:val="00FB66AF"/>
    <w:rsid w:val="00FB72F6"/>
    <w:rsid w:val="00FC2C7E"/>
    <w:rsid w:val="00FC360D"/>
    <w:rsid w:val="00FC52F0"/>
    <w:rsid w:val="00FC571B"/>
    <w:rsid w:val="00FC7FF4"/>
    <w:rsid w:val="00FD117F"/>
    <w:rsid w:val="00FD1F6C"/>
    <w:rsid w:val="00FD2068"/>
    <w:rsid w:val="00FD2B43"/>
    <w:rsid w:val="00FD360D"/>
    <w:rsid w:val="00FD39CA"/>
    <w:rsid w:val="00FD44B1"/>
    <w:rsid w:val="00FD4C0E"/>
    <w:rsid w:val="00FD6383"/>
    <w:rsid w:val="00FD773F"/>
    <w:rsid w:val="00FE3EEC"/>
    <w:rsid w:val="00FE4414"/>
    <w:rsid w:val="00FE6356"/>
    <w:rsid w:val="00FE7A81"/>
    <w:rsid w:val="00FF091D"/>
    <w:rsid w:val="00FF18DD"/>
    <w:rsid w:val="00FF193D"/>
    <w:rsid w:val="00FF1C8F"/>
    <w:rsid w:val="00FF39A7"/>
    <w:rsid w:val="00FF572D"/>
    <w:rsid w:val="00FF6304"/>
    <w:rsid w:val="00FF7A35"/>
    <w:rsid w:val="2A7D3CD4"/>
    <w:rsid w:val="31CC4642"/>
    <w:rsid w:val="3F3F004D"/>
    <w:rsid w:val="40846F4E"/>
    <w:rsid w:val="4FAB4BF4"/>
    <w:rsid w:val="524D0715"/>
    <w:rsid w:val="52F26CA4"/>
    <w:rsid w:val="6E231E89"/>
    <w:rsid w:val="71F8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9092BB"/>
  <w15:docId w15:val="{B3F9A38C-662E-4F21-99B1-BBEFB51C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78" w:lineRule="auto"/>
    </w:pPr>
    <w:rPr>
      <w:sz w:val="28"/>
      <w:szCs w:val="22"/>
      <w:lang w:eastAsia="en-US"/>
    </w:rPr>
  </w:style>
  <w:style w:type="paragraph" w:styleId="Heading1">
    <w:name w:val="heading 1"/>
    <w:basedOn w:val="Normal"/>
    <w:link w:val="Heading1Char"/>
    <w:uiPriority w:val="1"/>
    <w:qFormat/>
    <w:pPr>
      <w:widowControl w:val="0"/>
      <w:autoSpaceDE w:val="0"/>
      <w:autoSpaceDN w:val="0"/>
      <w:spacing w:before="124" w:after="0" w:line="240" w:lineRule="auto"/>
      <w:ind w:left="122" w:firstLine="566"/>
      <w:outlineLvl w:val="0"/>
    </w:pPr>
    <w:rPr>
      <w:rFonts w:eastAsia="Times New Roman" w:cs="Times New Roman"/>
      <w:b/>
      <w:bCs/>
      <w:szCs w:val="28"/>
      <w:lang w:val="vi"/>
    </w:rPr>
  </w:style>
  <w:style w:type="paragraph" w:styleId="Heading2">
    <w:name w:val="heading 2"/>
    <w:basedOn w:val="Normal"/>
    <w:link w:val="Heading2Char"/>
    <w:uiPriority w:val="1"/>
    <w:qFormat/>
    <w:pPr>
      <w:widowControl w:val="0"/>
      <w:autoSpaceDE w:val="0"/>
      <w:autoSpaceDN w:val="0"/>
      <w:spacing w:before="0" w:after="0" w:line="240" w:lineRule="auto"/>
      <w:ind w:left="967" w:hanging="279"/>
      <w:outlineLvl w:val="1"/>
    </w:pPr>
    <w:rPr>
      <w:rFonts w:eastAsia="Times New Roman" w:cs="Times New Roman"/>
      <w:b/>
      <w:bCs/>
      <w:szCs w:val="28"/>
      <w:lang w:val="vi"/>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qFormat/>
    <w:pPr>
      <w:spacing w:before="0" w:after="0" w:line="240" w:lineRule="auto"/>
      <w:ind w:firstLine="720"/>
      <w:jc w:val="both"/>
    </w:pPr>
    <w:rPr>
      <w:rFonts w:ascii=".VnTime" w:eastAsia="Times New Roman" w:hAnsi=".VnTime" w:cs="Times New Roman"/>
      <w:sz w:val="26"/>
      <w:szCs w:val="24"/>
      <w:lang w:val="zh-CN" w:eastAsia="zh-CN"/>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link w:val="ftrefCharChar"/>
    <w:unhideWhenUsed/>
    <w:qFormat/>
    <w:rPr>
      <w:vertAlign w:val="superscript"/>
    </w:rPr>
  </w:style>
  <w:style w:type="paragraph" w:customStyle="1" w:styleId="ftrefCharChar">
    <w:name w:val="ftref Char Char"/>
    <w:basedOn w:val="Normal"/>
    <w:link w:val="FootnoteReference"/>
    <w:qFormat/>
    <w:pPr>
      <w:spacing w:before="100" w:after="0" w:line="240" w:lineRule="exact"/>
    </w:pPr>
    <w:rPr>
      <w:vertAlign w:val="superscript"/>
    </w:rPr>
  </w:style>
  <w:style w:type="paragraph" w:styleId="FootnoteText">
    <w:name w:val="footnote text"/>
    <w:basedOn w:val="Normal"/>
    <w:link w:val="FootnoteTextChar"/>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qFormat/>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character" w:customStyle="1" w:styleId="FootnoteTextChar">
    <w:name w:val="Footnote Text Char"/>
    <w:basedOn w:val="DefaultParagraphFont"/>
    <w:link w:val="FootnoteText"/>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VnTime" w:eastAsia="Times New Roman" w:hAnsi=".VnTime" w:cs="Times New Roman"/>
      <w:sz w:val="26"/>
      <w:szCs w:val="24"/>
      <w:lang w:val="zh-CN" w:eastAsia="zh-CN"/>
    </w:rPr>
  </w:style>
  <w:style w:type="character" w:customStyle="1" w:styleId="Heading1Char">
    <w:name w:val="Heading 1 Char"/>
    <w:basedOn w:val="DefaultParagraphFont"/>
    <w:link w:val="Heading1"/>
    <w:uiPriority w:val="1"/>
    <w:qFormat/>
    <w:rPr>
      <w:rFonts w:eastAsia="Times New Roman" w:cs="Times New Roman"/>
      <w:b/>
      <w:bCs/>
      <w:szCs w:val="28"/>
      <w:lang w:val="vi"/>
    </w:rPr>
  </w:style>
  <w:style w:type="character" w:customStyle="1" w:styleId="Heading2Char">
    <w:name w:val="Heading 2 Char"/>
    <w:basedOn w:val="DefaultParagraphFont"/>
    <w:link w:val="Heading2"/>
    <w:uiPriority w:val="1"/>
    <w:qFormat/>
    <w:rPr>
      <w:rFonts w:eastAsia="Times New Roman" w:cs="Times New Roman"/>
      <w:b/>
      <w:bCs/>
      <w:szCs w:val="28"/>
      <w:lang w:val="vi"/>
    </w:rPr>
  </w:style>
  <w:style w:type="character" w:customStyle="1" w:styleId="BodyTextChar">
    <w:name w:val="Body Text Char"/>
    <w:basedOn w:val="DefaultParagraphFont"/>
    <w:link w:val="BodyText"/>
    <w:uiPriority w:val="99"/>
    <w:qFormat/>
  </w:style>
  <w:style w:type="paragraph" w:styleId="ListParagraph">
    <w:name w:val="List Paragraph"/>
    <w:basedOn w:val="Normal"/>
    <w:uiPriority w:val="1"/>
    <w:qFormat/>
    <w:pPr>
      <w:widowControl w:val="0"/>
      <w:autoSpaceDE w:val="0"/>
      <w:autoSpaceDN w:val="0"/>
      <w:spacing w:before="158" w:after="0" w:line="240" w:lineRule="auto"/>
      <w:ind w:left="122" w:firstLine="566"/>
    </w:pPr>
    <w:rPr>
      <w:rFonts w:eastAsia="Times New Roman" w:cs="Times New Roman"/>
      <w:sz w:val="22"/>
      <w:lang w:val="vi"/>
    </w:rPr>
  </w:style>
  <w:style w:type="paragraph" w:customStyle="1" w:styleId="Title1">
    <w:name w:val="Title 1"/>
    <w:basedOn w:val="Normal"/>
    <w:qFormat/>
    <w:pPr>
      <w:spacing w:before="120" w:after="120" w:line="240" w:lineRule="auto"/>
      <w:jc w:val="center"/>
    </w:pPr>
    <w:rPr>
      <w:rFonts w:eastAsia="Times New Roman" w:cs="Times New Roman"/>
      <w:b/>
      <w:sz w:val="32"/>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paragraph" w:customStyle="1" w:styleId="TableParagraph">
    <w:name w:val="Table Paragraph"/>
    <w:basedOn w:val="Normal"/>
    <w:uiPriority w:val="1"/>
    <w:qFormat/>
    <w:pPr>
      <w:widowControl w:val="0"/>
      <w:autoSpaceDE w:val="0"/>
      <w:autoSpaceDN w:val="0"/>
      <w:spacing w:before="0" w:after="0" w:line="240" w:lineRule="auto"/>
      <w:jc w:val="center"/>
    </w:pPr>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2">
    <w:name w:val="Văn bản nội dung (2)_"/>
    <w:basedOn w:val="DefaultParagraphFont"/>
    <w:link w:val="Vnbnnidung20"/>
    <w:qFormat/>
    <w:locked/>
    <w:rPr>
      <w:rFonts w:eastAsia="Times New Roman" w:cs="Times New Roman"/>
      <w:sz w:val="26"/>
      <w:szCs w:val="26"/>
    </w:rPr>
  </w:style>
  <w:style w:type="paragraph" w:customStyle="1" w:styleId="Vnbnnidung20">
    <w:name w:val="Văn bản nội dung (2)"/>
    <w:basedOn w:val="Normal"/>
    <w:link w:val="Vnbnnidung2"/>
    <w:qFormat/>
    <w:pPr>
      <w:widowControl w:val="0"/>
      <w:spacing w:before="0" w:after="40" w:line="256" w:lineRule="auto"/>
      <w:ind w:firstLine="720"/>
    </w:pPr>
    <w:rPr>
      <w:rFonts w:eastAsia="Times New Roman" w:cs="Times New Roman"/>
      <w:sz w:val="26"/>
      <w:szCs w:val="26"/>
    </w:rPr>
  </w:style>
  <w:style w:type="paragraph" w:customStyle="1" w:styleId="body13">
    <w:name w:val="body13"/>
    <w:basedOn w:val="Normal"/>
    <w:link w:val="body13Char"/>
    <w:qFormat/>
    <w:rsid w:val="003D090B"/>
    <w:pPr>
      <w:spacing w:before="0" w:after="0" w:line="276" w:lineRule="auto"/>
      <w:ind w:firstLine="720"/>
      <w:jc w:val="both"/>
    </w:pPr>
    <w:rPr>
      <w:rFonts w:eastAsia="Calibri" w:cs="Times New Roman"/>
      <w:sz w:val="26"/>
      <w:szCs w:val="26"/>
      <w:lang w:val="it-IT" w:eastAsia="x-none"/>
    </w:rPr>
  </w:style>
  <w:style w:type="character" w:customStyle="1" w:styleId="body13Char">
    <w:name w:val="body13 Char"/>
    <w:link w:val="body13"/>
    <w:rsid w:val="003D090B"/>
    <w:rPr>
      <w:rFonts w:eastAsia="Calibri" w:cs="Times New Roman"/>
      <w:sz w:val="26"/>
      <w:szCs w:val="26"/>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4924">
      <w:bodyDiv w:val="1"/>
      <w:marLeft w:val="0"/>
      <w:marRight w:val="0"/>
      <w:marTop w:val="0"/>
      <w:marBottom w:val="0"/>
      <w:divBdr>
        <w:top w:val="none" w:sz="0" w:space="0" w:color="auto"/>
        <w:left w:val="none" w:sz="0" w:space="0" w:color="auto"/>
        <w:bottom w:val="none" w:sz="0" w:space="0" w:color="auto"/>
        <w:right w:val="none" w:sz="0" w:space="0" w:color="auto"/>
      </w:divBdr>
    </w:div>
    <w:div w:id="1016157093">
      <w:bodyDiv w:val="1"/>
      <w:marLeft w:val="0"/>
      <w:marRight w:val="0"/>
      <w:marTop w:val="0"/>
      <w:marBottom w:val="0"/>
      <w:divBdr>
        <w:top w:val="none" w:sz="0" w:space="0" w:color="auto"/>
        <w:left w:val="none" w:sz="0" w:space="0" w:color="auto"/>
        <w:bottom w:val="none" w:sz="0" w:space="0" w:color="auto"/>
        <w:right w:val="none" w:sz="0" w:space="0" w:color="auto"/>
      </w:divBdr>
    </w:div>
    <w:div w:id="1920671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02-2017-ND-CP-chinh-sach-ho-tro-khoi-phuc-san-xuat-nong-nghiep-vung-thiet-hai-thien-tai-dich-benh-337032.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Quyet-dinh-719-QD-TTg-chinh-sach-ho-tro-phong-chong-dich-benh-gia-suc-gia-cam-66729.aspx" TargetMode="External"/><Relationship Id="rId5" Type="http://schemas.openxmlformats.org/officeDocument/2006/relationships/webSettings" Target="webSettings.xml"/><Relationship Id="rId10" Type="http://schemas.openxmlformats.org/officeDocument/2006/relationships/hyperlink" Target="https://thuvienphapluat.vn/van-ban/Tai-chinh-nha-nuoc/Quyet-dinh-1442-QD-TTg-sua-doi-Quyet-dinh-719-QD-TTg-chinh-sach-ho-tro-128247.aspx" TargetMode="External"/><Relationship Id="rId4" Type="http://schemas.openxmlformats.org/officeDocument/2006/relationships/settings" Target="settings.xml"/><Relationship Id="rId9" Type="http://schemas.openxmlformats.org/officeDocument/2006/relationships/hyperlink" Target="https://thuvienphapluat.vn/van-ban/Tai-chinh-nha-nuoc/Quyet-dinh-719-QD-TTg-chinh-sach-ho-tro-phong-chong-dich-benh-gia-suc-gia-cam-6672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F418E-935C-46F3-997D-C2184D8A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hp.snnptnt53</cp:lastModifiedBy>
  <cp:revision>6</cp:revision>
  <cp:lastPrinted>2024-09-27T09:05:00Z</cp:lastPrinted>
  <dcterms:created xsi:type="dcterms:W3CDTF">2025-09-25T10:01:00Z</dcterms:created>
  <dcterms:modified xsi:type="dcterms:W3CDTF">2025-09-30T02:50:00Z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A9B6D86EFED8401893EEB2E2B1FD5638_13</vt:lpwstr>
  </property>
</Properties>
</file>