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183" w:type="dxa"/>
        <w:tblInd w:w="-142" w:type="dxa"/>
        <w:tblLayout w:type="fixed"/>
        <w:tblLook w:val="0000" w:firstRow="0" w:lastRow="0" w:firstColumn="0" w:lastColumn="0" w:noHBand="0" w:noVBand="0"/>
      </w:tblPr>
      <w:tblGrid>
        <w:gridCol w:w="7939"/>
        <w:gridCol w:w="5244"/>
      </w:tblGrid>
      <w:tr w:rsidR="002E4F1E" w:rsidRPr="002E4F1E" w14:paraId="49CD3B2E" w14:textId="77777777" w:rsidTr="00336640">
        <w:trPr>
          <w:trHeight w:val="1261"/>
        </w:trPr>
        <w:tc>
          <w:tcPr>
            <w:tcW w:w="7939" w:type="dxa"/>
          </w:tcPr>
          <w:p w14:paraId="5DAA5FA3" w14:textId="6F90C20E" w:rsidR="00773236" w:rsidRPr="00E46E5A" w:rsidRDefault="00BB6BFA" w:rsidP="006F2E4C">
            <w:pPr>
              <w:pStyle w:val="Heading1"/>
              <w:jc w:val="center"/>
              <w:rPr>
                <w:rFonts w:ascii="Times New Roman" w:hAnsi="Times New Roman"/>
                <w:b w:val="0"/>
                <w:bCs w:val="0"/>
                <w:noProof/>
              </w:rPr>
            </w:pPr>
            <w:r w:rsidRPr="00E46E5A">
              <w:rPr>
                <w:rFonts w:ascii="Times New Roman" w:hAnsi="Times New Roman"/>
                <w:b w:val="0"/>
                <w:bCs w:val="0"/>
                <w:noProof/>
              </w:rPr>
              <w:t>UBND THÀNH PHỐ HẢI PHÒNG</w:t>
            </w:r>
          </w:p>
          <w:p w14:paraId="6C23EA92" w14:textId="5E4C4798" w:rsidR="00773236" w:rsidRPr="00533162" w:rsidRDefault="00BB6BFA" w:rsidP="006F2E4C">
            <w:pPr>
              <w:pStyle w:val="Heading1"/>
              <w:jc w:val="center"/>
              <w:rPr>
                <w:rFonts w:ascii="Times New Roman" w:hAnsi="Times New Roman"/>
                <w:noProof/>
                <w:sz w:val="26"/>
                <w:szCs w:val="26"/>
              </w:rPr>
            </w:pPr>
            <w:r w:rsidRPr="00533162">
              <w:rPr>
                <w:rFonts w:ascii="Times New Roman" w:hAnsi="Times New Roman"/>
                <w:noProof/>
                <w:sz w:val="26"/>
                <w:szCs w:val="26"/>
              </w:rPr>
              <w:t>SỞ TÀI CHÍNH</w:t>
            </w:r>
          </w:p>
          <w:p w14:paraId="5030411E" w14:textId="19B90305" w:rsidR="00773236" w:rsidRPr="00533162" w:rsidRDefault="00336640" w:rsidP="000E656D">
            <w:pPr>
              <w:spacing w:before="240" w:after="60"/>
              <w:jc w:val="center"/>
              <w:rPr>
                <w:sz w:val="28"/>
                <w:szCs w:val="28"/>
              </w:rPr>
            </w:pPr>
            <w:r w:rsidRPr="00533162">
              <w:rPr>
                <w:b/>
                <w:noProof/>
                <w:sz w:val="28"/>
                <w:szCs w:val="28"/>
              </w:rPr>
              <mc:AlternateContent>
                <mc:Choice Requires="wps">
                  <w:drawing>
                    <wp:anchor distT="0" distB="0" distL="114300" distR="114300" simplePos="0" relativeHeight="251656704" behindDoc="0" locked="0" layoutInCell="1" allowOverlap="1" wp14:anchorId="53285B2D" wp14:editId="468D2D77">
                      <wp:simplePos x="0" y="0"/>
                      <wp:positionH relativeFrom="column">
                        <wp:posOffset>2203657</wp:posOffset>
                      </wp:positionH>
                      <wp:positionV relativeFrom="paragraph">
                        <wp:posOffset>16835</wp:posOffset>
                      </wp:positionV>
                      <wp:extent cx="5943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B725D"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35pt" to="22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6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cZ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AtpWEvcAAAABwEAAA8AAABkcnMvZG93bnJldi54bWxMj8FOwzAQRO9I&#10;/IO1SL1U1CaNWhTiVAiaGxcKiOs2XpKIeJ3Gbpvy9bi9wHE0o5k3+Wq0nTjQ4FvHGu5mCgRx5UzL&#10;tYb3t/L2HoQPyAY7x6ThRB5WxfVVjplxR36lwybUIpawz1BDE0KfSemrhiz6meuJo/flBoshyqGW&#10;ZsBjLLedTJRaSIstx4UGe3pqqPre7K0GX37QrvyZVlP1Oa8dJbvnlzVqPbkZHx9ABBrDXxjO+BEd&#10;isi0dXs2XnQa5ukyfgkakiWI6KepWoDYXrQscvmfv/gFAAD//wMAUEsBAi0AFAAGAAgAAAAhALaD&#10;OJL+AAAA4QEAABMAAAAAAAAAAAAAAAAAAAAAAFtDb250ZW50X1R5cGVzXS54bWxQSwECLQAUAAYA&#10;CAAAACEAOP0h/9YAAACUAQAACwAAAAAAAAAAAAAAAAAvAQAAX3JlbHMvLnJlbHNQSwECLQAUAAYA&#10;CAAAACEAh2/f+hwCAAA1BAAADgAAAAAAAAAAAAAAAAAuAgAAZHJzL2Uyb0RvYy54bWxQSwECLQAU&#10;AAYACAAAACEAC2lYS9wAAAAHAQAADwAAAAAAAAAAAAAAAAB2BAAAZHJzL2Rvd25yZXYueG1sUEsF&#10;BgAAAAAEAAQA8wAAAH8FAAAAAA==&#10;"/>
                  </w:pict>
                </mc:Fallback>
              </mc:AlternateContent>
            </w:r>
          </w:p>
          <w:p w14:paraId="23EC0C6A" w14:textId="2CDAEA95" w:rsidR="0083254B" w:rsidRPr="00533162" w:rsidRDefault="0083254B" w:rsidP="00874E66">
            <w:pPr>
              <w:spacing w:before="60" w:after="60"/>
              <w:ind w:right="-106"/>
              <w:jc w:val="center"/>
              <w:rPr>
                <w:sz w:val="25"/>
                <w:szCs w:val="25"/>
              </w:rPr>
            </w:pPr>
          </w:p>
        </w:tc>
        <w:tc>
          <w:tcPr>
            <w:tcW w:w="5244" w:type="dxa"/>
          </w:tcPr>
          <w:p w14:paraId="31A515E0" w14:textId="77777777" w:rsidR="00773236" w:rsidRPr="00E46E5A" w:rsidRDefault="00773236" w:rsidP="00DB4A1F">
            <w:pPr>
              <w:pStyle w:val="Heading2"/>
              <w:ind w:left="-246"/>
              <w:rPr>
                <w:rFonts w:ascii="Times New Roman Bold" w:hAnsi="Times New Roman Bold"/>
                <w:spacing w:val="-2"/>
                <w:sz w:val="24"/>
              </w:rPr>
            </w:pPr>
            <w:r w:rsidRPr="00E46E5A">
              <w:rPr>
                <w:rFonts w:ascii="Times New Roman Bold" w:hAnsi="Times New Roman Bold"/>
                <w:spacing w:val="-2"/>
                <w:sz w:val="24"/>
              </w:rPr>
              <w:t>CỘNG HÒA XÃ HỘI CHỦ NGHĨA VIỆT NAM</w:t>
            </w:r>
          </w:p>
          <w:p w14:paraId="25450446" w14:textId="03B2DE2C" w:rsidR="00773236" w:rsidRPr="00E46E5A" w:rsidRDefault="00773236" w:rsidP="00DB4A1F">
            <w:pPr>
              <w:pStyle w:val="Heading2"/>
              <w:ind w:left="-246" w:right="168"/>
              <w:rPr>
                <w:rFonts w:ascii="Times New Roman" w:hAnsi="Times New Roman"/>
                <w:szCs w:val="28"/>
              </w:rPr>
            </w:pPr>
            <w:r w:rsidRPr="002E4F1E">
              <w:rPr>
                <w:rFonts w:ascii="Times New Roman" w:hAnsi="Times New Roman"/>
                <w:szCs w:val="28"/>
              </w:rPr>
              <w:t xml:space="preserve">   </w:t>
            </w:r>
            <w:r w:rsidRPr="00E46E5A">
              <w:rPr>
                <w:rFonts w:ascii="Times New Roman" w:hAnsi="Times New Roman"/>
                <w:szCs w:val="28"/>
              </w:rPr>
              <w:t>Độc lập - Tự do - Hạnh phúc</w:t>
            </w:r>
          </w:p>
          <w:p w14:paraId="19F0E6A6" w14:textId="5BC46B86" w:rsidR="00773236" w:rsidRPr="002E4F1E" w:rsidRDefault="00DB4A1F" w:rsidP="0045266D">
            <w:pPr>
              <w:spacing w:before="240" w:after="60"/>
              <w:jc w:val="center"/>
              <w:rPr>
                <w:b/>
                <w:i/>
                <w:sz w:val="26"/>
                <w:szCs w:val="26"/>
              </w:rPr>
            </w:pPr>
            <w:r w:rsidRPr="002E4F1E">
              <w:rPr>
                <w:b/>
                <w:noProof/>
                <w:sz w:val="28"/>
                <w:szCs w:val="28"/>
              </w:rPr>
              <mc:AlternateContent>
                <mc:Choice Requires="wps">
                  <w:drawing>
                    <wp:anchor distT="0" distB="0" distL="114300" distR="114300" simplePos="0" relativeHeight="251663872" behindDoc="0" locked="0" layoutInCell="1" allowOverlap="1" wp14:anchorId="4E3EA8FC" wp14:editId="22541A29">
                      <wp:simplePos x="0" y="0"/>
                      <wp:positionH relativeFrom="column">
                        <wp:posOffset>556895</wp:posOffset>
                      </wp:positionH>
                      <wp:positionV relativeFrom="paragraph">
                        <wp:posOffset>13970</wp:posOffset>
                      </wp:positionV>
                      <wp:extent cx="1945640" cy="0"/>
                      <wp:effectExtent l="762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7473E"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1pt" to="19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5N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Ct/7uC2wAAAAYBAAAPAAAAZHJzL2Rvd25yZXYueG1sTI5N&#10;T8MwEETvSPwHa5G4Uadp1Y8Qp6oQ9IKERAmcN/GSRNjrKHbT8O8xXMpxNKM3L99N1oiRBt85VjCf&#10;JSCIa6c7bhSUb093GxA+IGs0jknBN3nYFddXOWbanfmVxmNoRISwz1BBG0KfSenrliz6meuJY/fp&#10;BoshxqGResBzhFsj0yRZSYsdx4cWe3poqf46nqyC/cfz4+JlrKwzetuU79qWySFV6vZm2t+DCDSF&#10;yxh+9aM6FNGpcifWXhgFm/U6LhWkKYhYL7bLOYjqL8sil//1ix8AAAD//wMAUEsBAi0AFAAGAAgA&#10;AAAhALaDOJL+AAAA4QEAABMAAAAAAAAAAAAAAAAAAAAAAFtDb250ZW50X1R5cGVzXS54bWxQSwEC&#10;LQAUAAYACAAAACEAOP0h/9YAAACUAQAACwAAAAAAAAAAAAAAAAAvAQAAX3JlbHMvLnJlbHNQSwEC&#10;LQAUAAYACAAAACEAhCvieiMCAABABAAADgAAAAAAAAAAAAAAAAAuAgAAZHJzL2Uyb0RvYy54bWxQ&#10;SwECLQAUAAYACAAAACEArf+7gtsAAAAGAQAADwAAAAAAAAAAAAAAAAB9BAAAZHJzL2Rvd25yZXYu&#10;eG1sUEsFBgAAAAAEAAQA8wAAAIUFAAAAAA==&#10;"/>
                  </w:pict>
                </mc:Fallback>
              </mc:AlternateContent>
            </w:r>
            <w:r w:rsidR="00773236" w:rsidRPr="002E4F1E">
              <w:rPr>
                <w:i/>
                <w:sz w:val="28"/>
                <w:szCs w:val="28"/>
              </w:rPr>
              <w:t xml:space="preserve">Hải Phòng, ngày </w:t>
            </w:r>
            <w:r w:rsidR="0083254B">
              <w:rPr>
                <w:i/>
                <w:sz w:val="28"/>
                <w:szCs w:val="28"/>
              </w:rPr>
              <w:t xml:space="preserve">    </w:t>
            </w:r>
            <w:r w:rsidR="00773236" w:rsidRPr="002E4F1E">
              <w:rPr>
                <w:i/>
                <w:sz w:val="28"/>
                <w:szCs w:val="28"/>
              </w:rPr>
              <w:t xml:space="preserve"> tháng</w:t>
            </w:r>
            <w:r w:rsidR="00717601">
              <w:rPr>
                <w:i/>
                <w:sz w:val="28"/>
                <w:szCs w:val="28"/>
              </w:rPr>
              <w:t xml:space="preserve"> </w:t>
            </w:r>
            <w:r w:rsidR="0045266D">
              <w:rPr>
                <w:i/>
                <w:sz w:val="28"/>
                <w:szCs w:val="28"/>
              </w:rPr>
              <w:t>10</w:t>
            </w:r>
            <w:r w:rsidR="00A83692">
              <w:rPr>
                <w:i/>
                <w:sz w:val="28"/>
                <w:szCs w:val="28"/>
              </w:rPr>
              <w:t xml:space="preserve"> năm 202</w:t>
            </w:r>
            <w:r w:rsidR="00FA3B05">
              <w:rPr>
                <w:i/>
                <w:sz w:val="28"/>
                <w:szCs w:val="28"/>
              </w:rPr>
              <w:t>5</w:t>
            </w:r>
          </w:p>
        </w:tc>
      </w:tr>
    </w:tbl>
    <w:p w14:paraId="30AD7E9A" w14:textId="3363A716" w:rsidR="0083254B" w:rsidRPr="00707ADF" w:rsidRDefault="00B86DD7" w:rsidP="00687986">
      <w:pPr>
        <w:widowControl w:val="0"/>
        <w:spacing w:before="240" w:after="120"/>
        <w:jc w:val="center"/>
        <w:rPr>
          <w:b/>
          <w:sz w:val="28"/>
          <w:szCs w:val="28"/>
        </w:rPr>
      </w:pPr>
      <w:r>
        <w:rPr>
          <w:b/>
          <w:sz w:val="28"/>
          <w:szCs w:val="28"/>
        </w:rPr>
        <w:t>BẢN SO SÁNH, THUYẾT MINH</w:t>
      </w:r>
    </w:p>
    <w:p w14:paraId="6211DBD0" w14:textId="77777777" w:rsidR="0074205C" w:rsidRPr="0074205C" w:rsidRDefault="00B86DD7" w:rsidP="0074205C">
      <w:pPr>
        <w:jc w:val="center"/>
        <w:rPr>
          <w:b/>
          <w:sz w:val="28"/>
          <w:szCs w:val="28"/>
          <w:lang w:val="nl-NL"/>
        </w:rPr>
      </w:pPr>
      <w:r>
        <w:rPr>
          <w:b/>
          <w:sz w:val="28"/>
          <w:szCs w:val="28"/>
          <w:lang w:val="nl-NL"/>
        </w:rPr>
        <w:t xml:space="preserve">Nội dung dự thảo Nghị quyết </w:t>
      </w:r>
      <w:r w:rsidR="0074205C" w:rsidRPr="0074205C">
        <w:rPr>
          <w:b/>
          <w:sz w:val="28"/>
          <w:szCs w:val="28"/>
          <w:lang w:val="nl-NL"/>
        </w:rPr>
        <w:t>Quy định việc sử dụng nguồn thu từ giao dịch tín chỉ các-bon</w:t>
      </w:r>
    </w:p>
    <w:p w14:paraId="622A92FA" w14:textId="77777777" w:rsidR="0074205C" w:rsidRPr="0074205C" w:rsidRDefault="0074205C" w:rsidP="0074205C">
      <w:pPr>
        <w:jc w:val="center"/>
        <w:rPr>
          <w:b/>
          <w:sz w:val="28"/>
          <w:szCs w:val="28"/>
          <w:lang w:val="nl-NL"/>
        </w:rPr>
      </w:pPr>
      <w:r w:rsidRPr="0074205C">
        <w:rPr>
          <w:b/>
          <w:sz w:val="28"/>
          <w:szCs w:val="28"/>
          <w:lang w:val="nl-NL"/>
        </w:rPr>
        <w:t>cho chương trình, dự án ứng phó biến đổi khí hậu, phát triển kinh tế xanh</w:t>
      </w:r>
    </w:p>
    <w:p w14:paraId="65EE4E73" w14:textId="1655678D" w:rsidR="00B86DD7" w:rsidRDefault="0074205C" w:rsidP="0074205C">
      <w:pPr>
        <w:jc w:val="center"/>
        <w:rPr>
          <w:b/>
          <w:sz w:val="28"/>
          <w:szCs w:val="28"/>
          <w:lang w:val="nl-NL"/>
        </w:rPr>
      </w:pPr>
      <w:r w:rsidRPr="0074205C">
        <w:rPr>
          <w:b/>
          <w:sz w:val="28"/>
          <w:szCs w:val="28"/>
          <w:lang w:val="nl-NL"/>
        </w:rPr>
        <w:t>kinh tế số, kinh tế tuần hoàn trên địa bàn thành phố Hải Phòng</w:t>
      </w:r>
    </w:p>
    <w:p w14:paraId="663FFF0C" w14:textId="1934A320" w:rsidR="006313CD" w:rsidRPr="006313CD" w:rsidRDefault="006313CD" w:rsidP="0083254B">
      <w:pPr>
        <w:jc w:val="center"/>
        <w:rPr>
          <w:bCs/>
          <w:i/>
          <w:sz w:val="28"/>
          <w:szCs w:val="28"/>
        </w:rPr>
      </w:pPr>
      <w:r w:rsidRPr="006313CD">
        <w:rPr>
          <w:i/>
          <w:sz w:val="28"/>
          <w:szCs w:val="28"/>
          <w:lang w:val="nl-NL"/>
        </w:rPr>
        <w:t>(Kèm theo Hồ sơ dự thảo Nghị quyết)</w:t>
      </w:r>
    </w:p>
    <w:p w14:paraId="4DBA8818" w14:textId="79BAECBF" w:rsidR="0083254B" w:rsidRPr="00707ADF" w:rsidRDefault="0083254B" w:rsidP="0083254B">
      <w:pPr>
        <w:widowControl w:val="0"/>
        <w:jc w:val="center"/>
        <w:rPr>
          <w:sz w:val="28"/>
          <w:szCs w:val="28"/>
        </w:rPr>
      </w:pPr>
      <w:r w:rsidRPr="00707ADF">
        <w:rPr>
          <w:noProof/>
          <w:sz w:val="28"/>
          <w:szCs w:val="28"/>
        </w:rPr>
        <mc:AlternateContent>
          <mc:Choice Requires="wps">
            <w:drawing>
              <wp:anchor distT="0" distB="0" distL="114300" distR="114300" simplePos="0" relativeHeight="251666944" behindDoc="0" locked="0" layoutInCell="1" allowOverlap="1" wp14:anchorId="1221AB18" wp14:editId="3AC53F74">
                <wp:simplePos x="0" y="0"/>
                <wp:positionH relativeFrom="margin">
                  <wp:align>center</wp:align>
                </wp:positionH>
                <wp:positionV relativeFrom="paragraph">
                  <wp:posOffset>19050</wp:posOffset>
                </wp:positionV>
                <wp:extent cx="15557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E716" id="Straight Connector 5"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7J2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ZURRPBbSQ3nwJKW+Jxjr/ieseBaPCUqggGynJ8cX5&#10;QISUt5BwrPRaSBlbLxUaKjwvJkVMcFoKFpwhzNn9rpYWHUkYnvjFqsDzGGb1QbEI1nHCVlfbEyEv&#10;NlwuVcCDUoDO1bpMx495Ol/NVrN8lE+mq1GeNs3o47rOR9N19lQ0H5q6brKfgVqWl51gjKvA7jap&#10;Wf53k3B9M5cZu8/qXYbkLXrUC8je/pF07GVo32UQdpqdN/bWYxjOGHx9SGH6H/dgPz735S8AAAD/&#10;/wMAUEsDBBQABgAIAAAAIQDRJ1ou2QAAAAQBAAAPAAAAZHJzL2Rvd25yZXYueG1sTI9BT8MwDIXv&#10;SPsPkSdxmbZ0HSBUmk4T0BsXBmhXrzFtReN0TbYVfj2GC5zsp2c9fy9fj65TJxpC69nAcpGAIq68&#10;bbk28PpSzm9BhYhssfNMBj4pwLqYXOSYWX/mZzptY60khEOGBpoY+0zrUDXkMCx8Tyzeux8cRpFD&#10;re2AZwl3nU6T5EY7bFk+NNjTfUPVx/boDITyjQ7l16yaJbtV7Sk9PDw9ojGX03FzByrSGP+O4Qdf&#10;0KEQpr0/sg2qMyBFooGVDDHTq2tZ9r9aF7n+D198AwAA//8DAFBLAQItABQABgAIAAAAIQC2gziS&#10;/gAAAOEBAAATAAAAAAAAAAAAAAAAAAAAAABbQ29udGVudF9UeXBlc10ueG1sUEsBAi0AFAAGAAgA&#10;AAAhADj9If/WAAAAlAEAAAsAAAAAAAAAAAAAAAAALwEAAF9yZWxzLy5yZWxzUEsBAi0AFAAGAAgA&#10;AAAhAA8PsnYdAgAANgQAAA4AAAAAAAAAAAAAAAAALgIAAGRycy9lMm9Eb2MueG1sUEsBAi0AFAAG&#10;AAgAAAAhANEnWi7ZAAAABAEAAA8AAAAAAAAAAAAAAAAAdwQAAGRycy9kb3ducmV2LnhtbFBLBQYA&#10;AAAABAAEAPMAAAB9BQAAAAA=&#10;">
                <w10:wrap anchorx="margin"/>
              </v:line>
            </w:pict>
          </mc:Fallback>
        </mc:AlternateContent>
      </w:r>
    </w:p>
    <w:tbl>
      <w:tblPr>
        <w:tblStyle w:val="TableGrid"/>
        <w:tblW w:w="0" w:type="auto"/>
        <w:tblLook w:val="04A0" w:firstRow="1" w:lastRow="0" w:firstColumn="1" w:lastColumn="0" w:noHBand="0" w:noVBand="1"/>
      </w:tblPr>
      <w:tblGrid>
        <w:gridCol w:w="846"/>
        <w:gridCol w:w="7229"/>
        <w:gridCol w:w="5245"/>
      </w:tblGrid>
      <w:tr w:rsidR="009656D5" w:rsidRPr="009656D5" w14:paraId="2E1A8F7A" w14:textId="77777777" w:rsidTr="00DB7114">
        <w:tc>
          <w:tcPr>
            <w:tcW w:w="846" w:type="dxa"/>
          </w:tcPr>
          <w:p w14:paraId="00699A79" w14:textId="2512DD49" w:rsidR="009656D5" w:rsidRPr="009656D5" w:rsidRDefault="009656D5" w:rsidP="009656D5">
            <w:pPr>
              <w:spacing w:before="120" w:after="120"/>
              <w:jc w:val="center"/>
              <w:rPr>
                <w:b/>
                <w:sz w:val="28"/>
                <w:szCs w:val="28"/>
                <w:lang w:val="nl-NL"/>
              </w:rPr>
            </w:pPr>
            <w:r w:rsidRPr="009656D5">
              <w:rPr>
                <w:b/>
                <w:sz w:val="28"/>
                <w:szCs w:val="28"/>
                <w:lang w:val="nl-NL"/>
              </w:rPr>
              <w:t>STT</w:t>
            </w:r>
          </w:p>
        </w:tc>
        <w:tc>
          <w:tcPr>
            <w:tcW w:w="7229" w:type="dxa"/>
          </w:tcPr>
          <w:p w14:paraId="6E57C555" w14:textId="2720CA0E" w:rsidR="009656D5" w:rsidRPr="009656D5" w:rsidRDefault="009656D5" w:rsidP="009656D5">
            <w:pPr>
              <w:spacing w:before="120" w:after="120"/>
              <w:jc w:val="center"/>
              <w:rPr>
                <w:b/>
                <w:sz w:val="28"/>
                <w:szCs w:val="28"/>
                <w:lang w:val="nl-NL"/>
              </w:rPr>
            </w:pPr>
            <w:r w:rsidRPr="009656D5">
              <w:rPr>
                <w:b/>
                <w:sz w:val="28"/>
                <w:szCs w:val="28"/>
                <w:lang w:val="nl-NL"/>
              </w:rPr>
              <w:t>DỰ THẢO NGHỊ QUYẾT</w:t>
            </w:r>
          </w:p>
        </w:tc>
        <w:tc>
          <w:tcPr>
            <w:tcW w:w="5245" w:type="dxa"/>
          </w:tcPr>
          <w:p w14:paraId="383A429F" w14:textId="35942EBE" w:rsidR="009656D5" w:rsidRPr="009656D5" w:rsidRDefault="009656D5" w:rsidP="009656D5">
            <w:pPr>
              <w:spacing w:before="120" w:after="120"/>
              <w:jc w:val="center"/>
              <w:rPr>
                <w:b/>
                <w:sz w:val="28"/>
                <w:szCs w:val="28"/>
                <w:lang w:val="nl-NL"/>
              </w:rPr>
            </w:pPr>
            <w:r w:rsidRPr="009656D5">
              <w:rPr>
                <w:b/>
                <w:sz w:val="28"/>
                <w:szCs w:val="28"/>
                <w:lang w:val="nl-NL"/>
              </w:rPr>
              <w:t>THUYẾT MINH</w:t>
            </w:r>
          </w:p>
        </w:tc>
      </w:tr>
      <w:tr w:rsidR="00DB7114" w:rsidRPr="009656D5" w14:paraId="5777349B" w14:textId="77777777" w:rsidTr="00DB7114">
        <w:tc>
          <w:tcPr>
            <w:tcW w:w="846" w:type="dxa"/>
          </w:tcPr>
          <w:p w14:paraId="4BFEFA42" w14:textId="2CEC9D90" w:rsidR="00DB7114" w:rsidRPr="009656D5" w:rsidRDefault="00DB7114" w:rsidP="009656D5">
            <w:pPr>
              <w:spacing w:before="120" w:after="120"/>
              <w:jc w:val="center"/>
              <w:rPr>
                <w:sz w:val="28"/>
                <w:szCs w:val="28"/>
                <w:lang w:val="nl-NL"/>
              </w:rPr>
            </w:pPr>
            <w:r>
              <w:rPr>
                <w:sz w:val="28"/>
                <w:szCs w:val="28"/>
                <w:lang w:val="nl-NL"/>
              </w:rPr>
              <w:t>1</w:t>
            </w:r>
          </w:p>
        </w:tc>
        <w:tc>
          <w:tcPr>
            <w:tcW w:w="7229" w:type="dxa"/>
          </w:tcPr>
          <w:p w14:paraId="6D983084" w14:textId="77777777" w:rsidR="00DB7114" w:rsidRPr="00813E39" w:rsidRDefault="00DB7114" w:rsidP="00DB7114">
            <w:pPr>
              <w:widowControl w:val="0"/>
              <w:spacing w:before="120" w:after="120"/>
              <w:ind w:firstLine="174"/>
              <w:jc w:val="both"/>
              <w:outlineLvl w:val="0"/>
              <w:rPr>
                <w:rStyle w:val="apple-converted-space"/>
                <w:sz w:val="28"/>
                <w:szCs w:val="28"/>
              </w:rPr>
            </w:pPr>
            <w:r w:rsidRPr="00813E39">
              <w:rPr>
                <w:rStyle w:val="apple-converted-space"/>
                <w:sz w:val="28"/>
                <w:szCs w:val="28"/>
              </w:rPr>
              <w:t>1. Phạm vi điều chỉnh</w:t>
            </w:r>
          </w:p>
          <w:p w14:paraId="028A34B6" w14:textId="77777777" w:rsidR="00DB7114"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a) Nghị quyết này quy định v</w:t>
            </w:r>
            <w:r w:rsidRPr="00B677C5">
              <w:rPr>
                <w:rStyle w:val="apple-converted-space"/>
                <w:sz w:val="28"/>
                <w:szCs w:val="28"/>
              </w:rPr>
              <w:t>iệc sử dụng nguồn thu từ giao dịch tín chỉ các-bon</w:t>
            </w:r>
            <w:r>
              <w:rPr>
                <w:rStyle w:val="apple-converted-space"/>
                <w:sz w:val="28"/>
                <w:szCs w:val="28"/>
              </w:rPr>
              <w:t xml:space="preserve"> hình thành từ các chương trình, dự án thực hiện theo các cơ chế trao đổi, bù trừ tín chỉ các-bon đầu tư từ nguồn vốn của ngân sách thành phố được giao dịch với nhà đầu tư trong nước và nước ngoài.</w:t>
            </w:r>
          </w:p>
          <w:p w14:paraId="4AF3D7DC" w14:textId="77777777" w:rsidR="00DB7114"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b) Nguồn thu từ giao dịch tín chỉ các-bon quy định tại Điểm a Khoản này</w:t>
            </w:r>
            <w:r w:rsidRPr="00B677C5">
              <w:rPr>
                <w:rStyle w:val="apple-converted-space"/>
                <w:sz w:val="28"/>
                <w:szCs w:val="28"/>
              </w:rPr>
              <w:t xml:space="preserve"> </w:t>
            </w:r>
            <w:r>
              <w:rPr>
                <w:rStyle w:val="apple-converted-space"/>
                <w:sz w:val="28"/>
                <w:szCs w:val="28"/>
              </w:rPr>
              <w:t xml:space="preserve">được sử dụng </w:t>
            </w:r>
            <w:r w:rsidRPr="00B677C5">
              <w:rPr>
                <w:rStyle w:val="apple-converted-space"/>
                <w:sz w:val="28"/>
                <w:szCs w:val="28"/>
              </w:rPr>
              <w:t>cho các chương trình, dự án ứng phó biến đổi khí hậu, phát triển kinh tế xanh, kinh tế số, kinh tế tuần hoàn trên địa bàn thành phố.</w:t>
            </w:r>
            <w:r w:rsidRPr="00813E39">
              <w:rPr>
                <w:rStyle w:val="apple-converted-space"/>
                <w:sz w:val="28"/>
                <w:szCs w:val="28"/>
              </w:rPr>
              <w:t xml:space="preserve"> </w:t>
            </w:r>
          </w:p>
          <w:p w14:paraId="14F0983C" w14:textId="34BCD2E8" w:rsidR="00DB7114" w:rsidRPr="00813E39" w:rsidRDefault="00DB7114" w:rsidP="00DB7114">
            <w:pPr>
              <w:widowControl w:val="0"/>
              <w:spacing w:before="120" w:after="120"/>
              <w:ind w:firstLine="174"/>
              <w:jc w:val="both"/>
              <w:outlineLvl w:val="0"/>
              <w:rPr>
                <w:rStyle w:val="apple-converted-space"/>
                <w:sz w:val="28"/>
                <w:szCs w:val="28"/>
              </w:rPr>
            </w:pPr>
            <w:r w:rsidRPr="00813E39">
              <w:rPr>
                <w:rStyle w:val="apple-converted-space"/>
                <w:sz w:val="28"/>
                <w:szCs w:val="28"/>
              </w:rPr>
              <w:t>2. Đối tượng áp dụng</w:t>
            </w:r>
          </w:p>
          <w:p w14:paraId="0FD3A5FF" w14:textId="492BEC8B" w:rsidR="00DB7114" w:rsidRPr="009656D5" w:rsidRDefault="00DB7114" w:rsidP="00DB7114">
            <w:pPr>
              <w:widowControl w:val="0"/>
              <w:spacing w:before="120" w:after="120"/>
              <w:ind w:firstLine="174"/>
              <w:jc w:val="both"/>
              <w:outlineLvl w:val="0"/>
              <w:rPr>
                <w:sz w:val="28"/>
                <w:szCs w:val="28"/>
                <w:lang w:val="nl-NL"/>
              </w:rPr>
            </w:pPr>
            <w:r w:rsidRPr="00B677C5">
              <w:rPr>
                <w:rStyle w:val="apple-converted-space"/>
                <w:sz w:val="28"/>
                <w:szCs w:val="28"/>
              </w:rPr>
              <w:t xml:space="preserve">Các cơ quan, tổ chức, cá nhân, Ủy ban nhân dân các cấp có liên quan đến </w:t>
            </w:r>
            <w:r>
              <w:rPr>
                <w:rStyle w:val="apple-converted-space"/>
                <w:sz w:val="28"/>
                <w:szCs w:val="28"/>
              </w:rPr>
              <w:t xml:space="preserve">việc quản lý thu, </w:t>
            </w:r>
            <w:r w:rsidRPr="00B677C5">
              <w:rPr>
                <w:rStyle w:val="apple-converted-space"/>
                <w:sz w:val="28"/>
                <w:szCs w:val="28"/>
              </w:rPr>
              <w:t>chi</w:t>
            </w:r>
            <w:r>
              <w:rPr>
                <w:rStyle w:val="apple-converted-space"/>
                <w:sz w:val="28"/>
                <w:szCs w:val="28"/>
              </w:rPr>
              <w:t xml:space="preserve"> và sử dụng nguồn thu từ giao </w:t>
            </w:r>
            <w:r>
              <w:rPr>
                <w:rStyle w:val="apple-converted-space"/>
                <w:sz w:val="28"/>
                <w:szCs w:val="28"/>
              </w:rPr>
              <w:lastRenderedPageBreak/>
              <w:t>dịch</w:t>
            </w:r>
            <w:r w:rsidRPr="00B677C5">
              <w:rPr>
                <w:rStyle w:val="apple-converted-space"/>
                <w:sz w:val="28"/>
                <w:szCs w:val="28"/>
              </w:rPr>
              <w:t xml:space="preserve"> tín chỉ các-bon</w:t>
            </w:r>
            <w:r>
              <w:rPr>
                <w:rStyle w:val="apple-converted-space"/>
                <w:sz w:val="28"/>
                <w:szCs w:val="28"/>
              </w:rPr>
              <w:t xml:space="preserve"> trên địa bàn thành phố</w:t>
            </w:r>
            <w:r w:rsidRPr="00813E39">
              <w:rPr>
                <w:rStyle w:val="apple-converted-space"/>
                <w:sz w:val="28"/>
                <w:szCs w:val="28"/>
              </w:rPr>
              <w:t>.</w:t>
            </w:r>
            <w:r>
              <w:t xml:space="preserve"> </w:t>
            </w:r>
          </w:p>
        </w:tc>
        <w:tc>
          <w:tcPr>
            <w:tcW w:w="5245" w:type="dxa"/>
            <w:vMerge w:val="restart"/>
          </w:tcPr>
          <w:p w14:paraId="61DD8EA7" w14:textId="77777777" w:rsidR="00DB7114" w:rsidRPr="00663AC8" w:rsidRDefault="00DB7114" w:rsidP="00663AC8">
            <w:pPr>
              <w:spacing w:before="120" w:after="120"/>
              <w:ind w:firstLine="312"/>
              <w:jc w:val="both"/>
              <w:rPr>
                <w:sz w:val="28"/>
                <w:szCs w:val="28"/>
                <w:lang w:val="nl-NL"/>
              </w:rPr>
            </w:pPr>
            <w:r w:rsidRPr="00663AC8">
              <w:rPr>
                <w:sz w:val="28"/>
                <w:szCs w:val="28"/>
                <w:lang w:val="nl-NL"/>
              </w:rPr>
              <w:lastRenderedPageBreak/>
              <w:t>Thực hiện quy định tại các Văn bản:</w:t>
            </w:r>
          </w:p>
          <w:p w14:paraId="51515AFA" w14:textId="1A31ACB8" w:rsidR="00DB7114" w:rsidRDefault="00DB7114" w:rsidP="00663AC8">
            <w:pPr>
              <w:spacing w:before="120" w:after="120"/>
              <w:ind w:firstLine="312"/>
              <w:jc w:val="both"/>
              <w:rPr>
                <w:sz w:val="28"/>
                <w:szCs w:val="28"/>
                <w:lang w:val="nl-NL"/>
              </w:rPr>
            </w:pPr>
            <w:r w:rsidRPr="00663AC8">
              <w:rPr>
                <w:sz w:val="28"/>
                <w:szCs w:val="28"/>
                <w:lang w:val="nl-NL"/>
              </w:rPr>
              <w:t xml:space="preserve">- </w:t>
            </w:r>
            <w:r w:rsidRPr="00663AC8">
              <w:rPr>
                <w:sz w:val="28"/>
                <w:szCs w:val="28"/>
                <w:lang w:val="nl-NL"/>
              </w:rPr>
              <w:t>Nghị quyết số 226/2025/QH15 ngày 27 tháng 6 năm 2025 của Quốc hội về thí đ</w:t>
            </w:r>
            <w:r w:rsidRPr="00663AC8">
              <w:rPr>
                <w:sz w:val="28"/>
                <w:szCs w:val="28"/>
                <w:lang w:val="vi-VN"/>
              </w:rPr>
              <w:t>i</w:t>
            </w:r>
            <w:r w:rsidRPr="00663AC8">
              <w:rPr>
                <w:sz w:val="28"/>
                <w:szCs w:val="28"/>
                <w:lang w:val="nl-NL"/>
              </w:rPr>
              <w:t>ểm một số cơ chế, chính sách đặc thù</w:t>
            </w:r>
            <w:r>
              <w:rPr>
                <w:sz w:val="28"/>
                <w:szCs w:val="28"/>
                <w:lang w:val="nl-NL"/>
              </w:rPr>
              <w:t xml:space="preserve"> phát triển thành phố Hải Phòng:</w:t>
            </w:r>
          </w:p>
          <w:p w14:paraId="5C3DBBDC" w14:textId="362318F3" w:rsidR="00DB7114" w:rsidRPr="00663AC8" w:rsidRDefault="00DB7114" w:rsidP="00663AC8">
            <w:pPr>
              <w:spacing w:before="120" w:after="120"/>
              <w:ind w:firstLine="312"/>
              <w:jc w:val="both"/>
              <w:rPr>
                <w:i/>
                <w:sz w:val="28"/>
                <w:szCs w:val="28"/>
                <w:lang w:val="nl-NL"/>
              </w:rPr>
            </w:pPr>
            <w:r w:rsidRPr="00663AC8">
              <w:rPr>
                <w:i/>
                <w:sz w:val="28"/>
                <w:szCs w:val="28"/>
                <w:lang w:val="nl-NL"/>
              </w:rPr>
              <w:t>“</w:t>
            </w:r>
            <w:r w:rsidRPr="00663AC8">
              <w:rPr>
                <w:i/>
                <w:sz w:val="28"/>
                <w:szCs w:val="28"/>
                <w:lang w:val="nl-NL"/>
              </w:rPr>
              <w:t>Việc thí điểm cơ chế tài chính thực hiện biện pháp giảm phát thải khí nhà</w:t>
            </w:r>
            <w:r w:rsidRPr="00663AC8">
              <w:rPr>
                <w:i/>
                <w:sz w:val="28"/>
                <w:szCs w:val="28"/>
                <w:lang w:val="nl-NL"/>
              </w:rPr>
              <w:t xml:space="preserve"> </w:t>
            </w:r>
            <w:r w:rsidRPr="00663AC8">
              <w:rPr>
                <w:i/>
                <w:sz w:val="28"/>
                <w:szCs w:val="28"/>
                <w:lang w:val="nl-NL"/>
              </w:rPr>
              <w:t>kính theo các cơ chế trao đổi, bù trừ tín chỉ các-bon được quy định như sau:</w:t>
            </w:r>
          </w:p>
          <w:p w14:paraId="6EBD457D" w14:textId="202EE509" w:rsidR="00DB7114" w:rsidRPr="00663AC8" w:rsidRDefault="00DB7114" w:rsidP="00663AC8">
            <w:pPr>
              <w:spacing w:before="120" w:after="120"/>
              <w:ind w:firstLine="312"/>
              <w:jc w:val="both"/>
              <w:rPr>
                <w:i/>
                <w:sz w:val="28"/>
                <w:szCs w:val="28"/>
                <w:lang w:val="nl-NL"/>
              </w:rPr>
            </w:pPr>
            <w:r w:rsidRPr="00663AC8">
              <w:rPr>
                <w:i/>
                <w:sz w:val="28"/>
                <w:szCs w:val="28"/>
                <w:lang w:val="nl-NL"/>
              </w:rPr>
              <w:t>a) Tín chỉ các-bon hình thành từ các chương trình, dự án theo các cơ chế</w:t>
            </w:r>
            <w:r w:rsidRPr="00663AC8">
              <w:rPr>
                <w:i/>
                <w:sz w:val="28"/>
                <w:szCs w:val="28"/>
                <w:lang w:val="nl-NL"/>
              </w:rPr>
              <w:t xml:space="preserve"> </w:t>
            </w:r>
            <w:r w:rsidRPr="00663AC8">
              <w:rPr>
                <w:i/>
                <w:sz w:val="28"/>
                <w:szCs w:val="28"/>
                <w:lang w:val="nl-NL"/>
              </w:rPr>
              <w:t>trao đổi, bù trừ tín chỉ các-bon đầu tư từ nguồn vốn của ngân sách Thành phố</w:t>
            </w:r>
            <w:r w:rsidRPr="00663AC8">
              <w:rPr>
                <w:i/>
                <w:sz w:val="28"/>
                <w:szCs w:val="28"/>
                <w:lang w:val="nl-NL"/>
              </w:rPr>
              <w:t xml:space="preserve"> </w:t>
            </w:r>
            <w:r w:rsidRPr="00663AC8">
              <w:rPr>
                <w:i/>
                <w:sz w:val="28"/>
                <w:szCs w:val="28"/>
                <w:lang w:val="nl-NL"/>
              </w:rPr>
              <w:t xml:space="preserve">được giao dịch với </w:t>
            </w:r>
            <w:r w:rsidRPr="00663AC8">
              <w:rPr>
                <w:i/>
                <w:sz w:val="28"/>
                <w:szCs w:val="28"/>
                <w:lang w:val="nl-NL"/>
              </w:rPr>
              <w:lastRenderedPageBreak/>
              <w:t>các nhà đầu tư trong nước, nước ngoài. Ủy ban nhân dân Thành</w:t>
            </w:r>
            <w:r w:rsidRPr="00663AC8">
              <w:rPr>
                <w:i/>
                <w:sz w:val="28"/>
                <w:szCs w:val="28"/>
                <w:lang w:val="nl-NL"/>
              </w:rPr>
              <w:t xml:space="preserve"> </w:t>
            </w:r>
            <w:r w:rsidRPr="00663AC8">
              <w:rPr>
                <w:i/>
                <w:sz w:val="28"/>
                <w:szCs w:val="28"/>
                <w:lang w:val="nl-NL"/>
              </w:rPr>
              <w:t>phố phối hợp với các Bộ: Công Thương, Nông nghiệp và Môi trường, Xây dựng,</w:t>
            </w:r>
            <w:r w:rsidRPr="00663AC8">
              <w:rPr>
                <w:i/>
                <w:sz w:val="28"/>
                <w:szCs w:val="28"/>
                <w:lang w:val="nl-NL"/>
              </w:rPr>
              <w:t xml:space="preserve"> </w:t>
            </w:r>
            <w:r w:rsidRPr="00663AC8">
              <w:rPr>
                <w:i/>
                <w:sz w:val="28"/>
                <w:szCs w:val="28"/>
                <w:lang w:val="nl-NL"/>
              </w:rPr>
              <w:t>Tài chính xác định tỷ lệ đóng góp về lượng giảm phát thải, hấp thụ khí nhà kính</w:t>
            </w:r>
            <w:r w:rsidRPr="00663AC8">
              <w:rPr>
                <w:i/>
                <w:sz w:val="28"/>
                <w:szCs w:val="28"/>
                <w:lang w:val="nl-NL"/>
              </w:rPr>
              <w:t xml:space="preserve"> </w:t>
            </w:r>
            <w:r w:rsidRPr="00663AC8">
              <w:rPr>
                <w:i/>
                <w:sz w:val="28"/>
                <w:szCs w:val="28"/>
                <w:lang w:val="nl-NL"/>
              </w:rPr>
              <w:t>trên địa bàn Thành phố cho mục tiêu giảm phát thải khí nhà kính của quốc gia</w:t>
            </w:r>
            <w:r w:rsidRPr="00663AC8">
              <w:rPr>
                <w:i/>
                <w:sz w:val="28"/>
                <w:szCs w:val="28"/>
                <w:lang w:val="nl-NL"/>
              </w:rPr>
              <w:t xml:space="preserve"> </w:t>
            </w:r>
            <w:r w:rsidRPr="00663AC8">
              <w:rPr>
                <w:i/>
                <w:sz w:val="28"/>
                <w:szCs w:val="28"/>
                <w:lang w:val="nl-NL"/>
              </w:rPr>
              <w:t>trước khi giao dịch tín chỉ các-bon;</w:t>
            </w:r>
          </w:p>
          <w:p w14:paraId="50733616" w14:textId="67741D5D" w:rsidR="00DB7114" w:rsidRPr="00663AC8" w:rsidRDefault="00DB7114" w:rsidP="00663AC8">
            <w:pPr>
              <w:spacing w:before="120" w:after="120"/>
              <w:ind w:firstLine="312"/>
              <w:jc w:val="both"/>
              <w:rPr>
                <w:i/>
                <w:sz w:val="28"/>
                <w:szCs w:val="28"/>
                <w:lang w:val="nl-NL"/>
              </w:rPr>
            </w:pPr>
            <w:r w:rsidRPr="00663AC8">
              <w:rPr>
                <w:i/>
                <w:sz w:val="28"/>
                <w:szCs w:val="28"/>
                <w:lang w:val="nl-NL"/>
              </w:rPr>
              <w:t>b) Ủy ban nhân dân Thành phố ban hành trình tự, thủ tục đầu tư và quyết</w:t>
            </w:r>
            <w:r w:rsidRPr="00663AC8">
              <w:rPr>
                <w:i/>
                <w:sz w:val="28"/>
                <w:szCs w:val="28"/>
                <w:lang w:val="nl-NL"/>
              </w:rPr>
              <w:t xml:space="preserve"> </w:t>
            </w:r>
            <w:r w:rsidRPr="00663AC8">
              <w:rPr>
                <w:i/>
                <w:sz w:val="28"/>
                <w:szCs w:val="28"/>
                <w:lang w:val="nl-NL"/>
              </w:rPr>
              <w:t>định việc lựa chọn nhà đầu tư. Nguồn thu từ giao dịch tín chỉ các-bon là nguồn</w:t>
            </w:r>
            <w:r w:rsidRPr="00663AC8">
              <w:rPr>
                <w:i/>
                <w:sz w:val="28"/>
                <w:szCs w:val="28"/>
                <w:lang w:val="nl-NL"/>
              </w:rPr>
              <w:t xml:space="preserve"> </w:t>
            </w:r>
            <w:r w:rsidRPr="00663AC8">
              <w:rPr>
                <w:i/>
                <w:sz w:val="28"/>
                <w:szCs w:val="28"/>
                <w:lang w:val="nl-NL"/>
              </w:rPr>
              <w:t>thu ngân sách Thành phố được hưởng 100%; các khoản thu này không tính vào</w:t>
            </w:r>
            <w:r w:rsidRPr="00663AC8">
              <w:rPr>
                <w:i/>
                <w:sz w:val="28"/>
                <w:szCs w:val="28"/>
                <w:lang w:val="nl-NL"/>
              </w:rPr>
              <w:t xml:space="preserve"> </w:t>
            </w:r>
            <w:r w:rsidRPr="00663AC8">
              <w:rPr>
                <w:i/>
                <w:sz w:val="28"/>
                <w:szCs w:val="28"/>
                <w:lang w:val="nl-NL"/>
              </w:rPr>
              <w:t>số thu cân đối ngân sách địa phương;</w:t>
            </w:r>
          </w:p>
          <w:p w14:paraId="79FFB496" w14:textId="058811FB" w:rsidR="00DB7114" w:rsidRPr="00663AC8" w:rsidRDefault="00DB7114" w:rsidP="00663AC8">
            <w:pPr>
              <w:spacing w:before="120" w:after="120"/>
              <w:ind w:firstLine="312"/>
              <w:jc w:val="both"/>
              <w:rPr>
                <w:i/>
                <w:sz w:val="28"/>
                <w:szCs w:val="28"/>
                <w:lang w:val="nl-NL"/>
              </w:rPr>
            </w:pPr>
            <w:r w:rsidRPr="00663AC8">
              <w:rPr>
                <w:i/>
                <w:sz w:val="28"/>
                <w:szCs w:val="28"/>
                <w:lang w:val="nl-NL"/>
              </w:rPr>
              <w:t>c) Hội đồng nhân dân Thành phố quyết định việc sử dụng nguồn thu từ giao</w:t>
            </w:r>
            <w:r w:rsidRPr="00663AC8">
              <w:rPr>
                <w:i/>
                <w:sz w:val="28"/>
                <w:szCs w:val="28"/>
                <w:lang w:val="nl-NL"/>
              </w:rPr>
              <w:t xml:space="preserve"> </w:t>
            </w:r>
            <w:r w:rsidRPr="00663AC8">
              <w:rPr>
                <w:i/>
                <w:sz w:val="28"/>
                <w:szCs w:val="28"/>
                <w:lang w:val="nl-NL"/>
              </w:rPr>
              <w:t>dịch tín chỉ các-bon cho các chương trình, dụ án ứng phó với biến đổi khí hậu,</w:t>
            </w:r>
            <w:r w:rsidRPr="00663AC8">
              <w:rPr>
                <w:i/>
                <w:sz w:val="28"/>
                <w:szCs w:val="28"/>
                <w:lang w:val="nl-NL"/>
              </w:rPr>
              <w:t xml:space="preserve"> </w:t>
            </w:r>
            <w:r w:rsidRPr="00663AC8">
              <w:rPr>
                <w:i/>
                <w:sz w:val="28"/>
                <w:szCs w:val="28"/>
                <w:lang w:val="nl-NL"/>
              </w:rPr>
              <w:t>phát triển kinh tế xanh, kinh tế số, kinh tế tu</w:t>
            </w:r>
            <w:r w:rsidRPr="00663AC8">
              <w:rPr>
                <w:i/>
                <w:sz w:val="28"/>
                <w:szCs w:val="28"/>
                <w:lang w:val="nl-NL"/>
              </w:rPr>
              <w:t>ần hoàn trên địa bàn Thành phố”.</w:t>
            </w:r>
          </w:p>
          <w:p w14:paraId="7E994478" w14:textId="40BA05A8" w:rsidR="00DB7114" w:rsidRPr="00663AC8" w:rsidRDefault="00DB7114" w:rsidP="00663AC8">
            <w:pPr>
              <w:spacing w:before="120" w:after="120"/>
              <w:ind w:firstLine="312"/>
              <w:jc w:val="both"/>
              <w:rPr>
                <w:sz w:val="28"/>
                <w:szCs w:val="28"/>
                <w:lang w:val="nl-NL"/>
              </w:rPr>
            </w:pPr>
            <w:r>
              <w:rPr>
                <w:sz w:val="28"/>
                <w:szCs w:val="28"/>
                <w:lang w:val="nl-NL"/>
              </w:rPr>
              <w:t xml:space="preserve">- </w:t>
            </w:r>
            <w:r w:rsidRPr="00663AC8">
              <w:rPr>
                <w:sz w:val="28"/>
                <w:szCs w:val="28"/>
                <w:lang w:val="nl-NL"/>
              </w:rPr>
              <w:t xml:space="preserve">Nghị định số 06/2022/NĐ-CP ngày 07 tháng 01 năm 2022 của Chính phủ quy định giảm nhẹ phát thải khí nhà kính và bảo vệ tầng ô-dôn; </w:t>
            </w:r>
          </w:p>
          <w:p w14:paraId="31740AF5" w14:textId="77777777" w:rsidR="00DB7114" w:rsidRDefault="00DB7114" w:rsidP="00663AC8">
            <w:pPr>
              <w:spacing w:before="120" w:after="120"/>
              <w:ind w:firstLine="312"/>
              <w:jc w:val="both"/>
              <w:rPr>
                <w:sz w:val="28"/>
                <w:szCs w:val="28"/>
                <w:lang w:val="nl-NL"/>
              </w:rPr>
            </w:pPr>
            <w:r w:rsidRPr="00663AC8">
              <w:rPr>
                <w:sz w:val="28"/>
                <w:szCs w:val="28"/>
                <w:lang w:val="nl-NL"/>
              </w:rPr>
              <w:t xml:space="preserve">- </w:t>
            </w:r>
            <w:r w:rsidRPr="00663AC8">
              <w:rPr>
                <w:sz w:val="28"/>
                <w:szCs w:val="28"/>
                <w:lang w:val="nl-NL"/>
              </w:rPr>
              <w:t xml:space="preserve">Nghị định số 119/2025/NĐ-CP ngày 09 tháng 6 năm 2025 của Chính phủ sửa đổi, bổ </w:t>
            </w:r>
            <w:r w:rsidRPr="00663AC8">
              <w:rPr>
                <w:sz w:val="28"/>
                <w:szCs w:val="28"/>
                <w:lang w:val="nl-NL"/>
              </w:rPr>
              <w:lastRenderedPageBreak/>
              <w:t>sung một số điều của Nghị định số 06/2022/NĐ-CP.</w:t>
            </w:r>
          </w:p>
          <w:p w14:paraId="4593F051" w14:textId="46E3CD1F" w:rsidR="00DB7114" w:rsidRPr="009656D5" w:rsidRDefault="00DB7114" w:rsidP="00663AC8">
            <w:pPr>
              <w:spacing w:before="120" w:after="120"/>
              <w:ind w:firstLine="312"/>
              <w:jc w:val="both"/>
              <w:rPr>
                <w:sz w:val="28"/>
                <w:szCs w:val="28"/>
                <w:lang w:val="nl-NL"/>
              </w:rPr>
            </w:pPr>
            <w:r>
              <w:rPr>
                <w:sz w:val="28"/>
                <w:szCs w:val="28"/>
                <w:lang w:val="nl-NL"/>
              </w:rPr>
              <w:t xml:space="preserve">- </w:t>
            </w:r>
            <w:r w:rsidRPr="00663AC8">
              <w:rPr>
                <w:sz w:val="28"/>
                <w:szCs w:val="28"/>
                <w:lang w:val="nl-NL"/>
              </w:rPr>
              <w:t xml:space="preserve">Kế hoạch số </w:t>
            </w:r>
            <w:r w:rsidRPr="00663AC8">
              <w:rPr>
                <w:rStyle w:val="fontstyle01"/>
                <w:lang w:val="nl-NL"/>
              </w:rPr>
              <w:t>203/KH-UBND ngày 18/8/2025 của Ủy ban nhân dân thành phố</w:t>
            </w:r>
            <w:r>
              <w:rPr>
                <w:rStyle w:val="fontstyle01"/>
                <w:lang w:val="nl-NL"/>
              </w:rPr>
              <w:t xml:space="preserve"> về triển khai thực hiện Nghị quyết số 226/2025/QH15 của Quốc hội về thí điểm một số cơ chế, chính sách đặc thù phát triển thành phố Hải Phòng đã giao Sở Tài chính chủ trì xây dựng Nghị </w:t>
            </w:r>
            <w:r w:rsidRPr="009A6790">
              <w:rPr>
                <w:rStyle w:val="fontstyle01"/>
                <w:lang w:val="nl-NL"/>
              </w:rPr>
              <w:t xml:space="preserve">quyết quy định việc sử dụng </w:t>
            </w:r>
            <w:r w:rsidRPr="009A6790">
              <w:rPr>
                <w:sz w:val="28"/>
                <w:szCs w:val="28"/>
                <w:lang w:val="nl-NL"/>
              </w:rPr>
              <w:t>nguồn thu từ giao dịch tín chỉ các-bon cho các chương trình, dụ án ứng phó với biến đổi khí hậu, phát triển kinh tế xanh, kinh tế số, kinh tế tuần hoàn trên địa bàn Thành phố</w:t>
            </w:r>
            <w:r>
              <w:rPr>
                <w:sz w:val="28"/>
                <w:szCs w:val="28"/>
                <w:lang w:val="nl-NL"/>
              </w:rPr>
              <w:t>.</w:t>
            </w:r>
          </w:p>
        </w:tc>
      </w:tr>
      <w:tr w:rsidR="00DB7114" w:rsidRPr="009656D5" w14:paraId="6EF6B73E" w14:textId="77777777" w:rsidTr="00DB7114">
        <w:tc>
          <w:tcPr>
            <w:tcW w:w="846" w:type="dxa"/>
          </w:tcPr>
          <w:p w14:paraId="25D18572" w14:textId="013000BB" w:rsidR="00DB7114" w:rsidRDefault="00DB7114" w:rsidP="00DB7114">
            <w:pPr>
              <w:spacing w:before="120" w:after="120"/>
              <w:jc w:val="center"/>
              <w:rPr>
                <w:sz w:val="28"/>
                <w:szCs w:val="28"/>
                <w:lang w:val="nl-NL"/>
              </w:rPr>
            </w:pPr>
            <w:r>
              <w:rPr>
                <w:sz w:val="28"/>
                <w:szCs w:val="28"/>
                <w:lang w:val="nl-NL"/>
              </w:rPr>
              <w:lastRenderedPageBreak/>
              <w:t>2</w:t>
            </w:r>
          </w:p>
        </w:tc>
        <w:tc>
          <w:tcPr>
            <w:tcW w:w="7229" w:type="dxa"/>
          </w:tcPr>
          <w:p w14:paraId="350ECC96" w14:textId="47F7BD20"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1. Nguyên tắc sử dụng nguồn thu:</w:t>
            </w:r>
          </w:p>
          <w:p w14:paraId="10B21187" w14:textId="77777777" w:rsidR="00DB7114"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w:t>
            </w:r>
            <w:r w:rsidRPr="009262BF">
              <w:rPr>
                <w:rStyle w:val="apple-converted-space"/>
                <w:sz w:val="28"/>
                <w:szCs w:val="28"/>
              </w:rPr>
              <w:t xml:space="preserve"> Theo Nghị quyết số 226/2025/QH15 ngày 27/6/2025 của Quốc hội, </w:t>
            </w:r>
            <w:r>
              <w:rPr>
                <w:rStyle w:val="apple-converted-space"/>
                <w:sz w:val="28"/>
                <w:szCs w:val="28"/>
              </w:rPr>
              <w:t xml:space="preserve">đây </w:t>
            </w:r>
            <w:r w:rsidRPr="009262BF">
              <w:rPr>
                <w:rStyle w:val="apple-converted-space"/>
                <w:sz w:val="28"/>
                <w:szCs w:val="28"/>
              </w:rPr>
              <w:t xml:space="preserve">là nguồn thu ngân sách thành phố hưởng 100% và không tính vào số thu cân đối ngân sách địa phương. </w:t>
            </w:r>
          </w:p>
          <w:p w14:paraId="7EA6FE4A" w14:textId="00FC42D3" w:rsidR="00DB7114" w:rsidRPr="009262BF"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w:t>
            </w:r>
            <w:r w:rsidRPr="009262BF">
              <w:rPr>
                <w:rStyle w:val="apple-converted-space"/>
                <w:sz w:val="28"/>
                <w:szCs w:val="28"/>
              </w:rPr>
              <w:t xml:space="preserve"> Phải có tác dụng giúp tăng cường tác động tích cực đến môi trường, thúc đẩy tạo thêm tín chỉ các-bon trong thời gian tiếp theo.</w:t>
            </w:r>
          </w:p>
          <w:p w14:paraId="23D0D8E8" w14:textId="77777777" w:rsidR="00DB7114"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 xml:space="preserve">- </w:t>
            </w:r>
            <w:r w:rsidRPr="009262BF">
              <w:rPr>
                <w:rStyle w:val="apple-converted-space"/>
                <w:sz w:val="28"/>
                <w:szCs w:val="28"/>
              </w:rPr>
              <w:t xml:space="preserve">Nguồn thu từ giao dịch tín chỉ các-bon được thực hiện chi trả bằng tiền Đồng Việt Nam (hoặc áp dụng tỷ giá giao dịch thực tế tại thời điểm nghiệp vụ kinh tế phát sinh của Ngân hàng thương mại nơi mở tài khoản tiếp nhận nguồn thu ngoại tệ, nếu có); được theo dõi, hạch toán riêng với các nguồn thu khác; </w:t>
            </w:r>
          </w:p>
          <w:p w14:paraId="419075BE" w14:textId="50A95CD3" w:rsidR="00DB7114" w:rsidRPr="009262BF"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w:t>
            </w:r>
            <w:r w:rsidRPr="009262BF">
              <w:rPr>
                <w:rStyle w:val="apple-converted-space"/>
                <w:sz w:val="28"/>
                <w:szCs w:val="28"/>
              </w:rPr>
              <w:t xml:space="preserve"> Công khai và minh bạch theo các quy định hiện hành. Các nội dung chi đảm bảo không chồng chéo với các khoản chi khác của ngân sách nhà nước.</w:t>
            </w:r>
          </w:p>
          <w:p w14:paraId="5E01C5B3" w14:textId="48A00E3D" w:rsidR="00DB7114" w:rsidRPr="009262BF"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w:t>
            </w:r>
            <w:r w:rsidRPr="009262BF">
              <w:rPr>
                <w:rStyle w:val="apple-converted-space"/>
                <w:sz w:val="28"/>
                <w:szCs w:val="28"/>
              </w:rPr>
              <w:t xml:space="preserve"> Căn cứ vào nguồn thu của từng chương trình, dự án, Cơ quan được giao nhiệm vụ quản lý nguồn thu này cần lập kế hoạch tài chính tổng thể và kế hoạch tài chính hàng năm, trình cơ quan có thẩm quyền phê duyệt và thực hiện quyết toán theo quy định của từng ngành, lĩnh vực.</w:t>
            </w:r>
          </w:p>
          <w:p w14:paraId="7794E10E" w14:textId="342002BB"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2. Với các dự án thuộc lĩnh vực lâm nghiệp, nông nghiệp</w:t>
            </w:r>
            <w:r>
              <w:rPr>
                <w:rStyle w:val="apple-converted-space"/>
                <w:sz w:val="28"/>
                <w:szCs w:val="28"/>
              </w:rPr>
              <w:t xml:space="preserve">: </w:t>
            </w:r>
            <w:r w:rsidRPr="009262BF">
              <w:rPr>
                <w:rStyle w:val="apple-converted-space"/>
                <w:sz w:val="28"/>
                <w:szCs w:val="28"/>
              </w:rPr>
              <w:t xml:space="preserve">Nguồn thu từ giao dịch tín chỉ các-bon trong lĩnh vực lâm nghiệp, nông nghiệp sau khi trừ đi các chi phí (nếu có) theo quy định (kinh phí đấu giá theo quy định của pháp luật về giá có liên quan; thuế theo quy định của pháp luật về thuế có liên quan; </w:t>
            </w:r>
            <w:r w:rsidRPr="009262BF">
              <w:rPr>
                <w:rStyle w:val="apple-converted-space"/>
                <w:sz w:val="28"/>
                <w:szCs w:val="28"/>
              </w:rPr>
              <w:lastRenderedPageBreak/>
              <w:t>kinh phí hợp lý, hợp lệ khác) được sử dụng để:</w:t>
            </w:r>
          </w:p>
          <w:p w14:paraId="258AD098"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 xml:space="preserve">a) Chi trả cho tổ chức, cá nhân được giao trách nhiệm quản lý các chương trình, dự án và các tổ chức, các nhân khác có liên quan; </w:t>
            </w:r>
          </w:p>
          <w:p w14:paraId="59713075" w14:textId="6987047F"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b) Tái đầu tư vào các hoạt động quản lý, bảo vệ và phát triển nông nghiệp, phát triển rừng; hỗ trợ các chương trình, hoạt động phát triển sinh kế bền vững tại địa phương, đảm bảo cộng đồng được hưởng lợi trực tiếp từ các chương tr</w:t>
            </w:r>
            <w:r>
              <w:rPr>
                <w:rStyle w:val="apple-converted-space"/>
                <w:sz w:val="28"/>
                <w:szCs w:val="28"/>
              </w:rPr>
              <w:t>ình, dự án tín chỉ các-bon.</w:t>
            </w:r>
          </w:p>
          <w:p w14:paraId="2F2D4CA4" w14:textId="6DD0CBE9" w:rsidR="00DB7114"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c) Hỗ trợ các hoạt động lâm nghiệp, nông nghiệp khác để giảm phát thải khí nhà kính</w:t>
            </w:r>
            <w:r>
              <w:rPr>
                <w:rStyle w:val="apple-converted-space"/>
                <w:sz w:val="28"/>
                <w:szCs w:val="28"/>
              </w:rPr>
              <w:t>.</w:t>
            </w:r>
          </w:p>
          <w:p w14:paraId="345F6D41"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d) Hỗ trợ các hoạt động đóng góp trực tiếp cho giảm phát thải khí nhà kính, gồm bảo vệ rừng tự nhiên; các biện pháp lâm sinh theo quy định hiện hành, được cấp có thẩm quyền phê duyệt theo quy định của pháp luật.</w:t>
            </w:r>
          </w:p>
          <w:p w14:paraId="4BEF187A"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Với các dự án và tổng nguồn thu cụ thể, định mức khoán chi bảo vệ rừng, bảo vệ và phát triển ngành nông nghiệp, mức hỗ trợ hoạt động phát triển sinh kế được thực hiện trên cơ sở pháp luật hiện hành và các quy định khác của cấp có thẩm quyền.</w:t>
            </w:r>
          </w:p>
          <w:p w14:paraId="2E8ACD33" w14:textId="2A16F50A"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3. Với các chương trình, dự án thuộc lĩnh vực khác</w:t>
            </w:r>
          </w:p>
          <w:p w14:paraId="1DEEDEF1"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Nguồn thu từ giao dịch tín chỉ các-bon sau khi trừ đi các chi phí (nếu có) theo quy định (kinh phí đấu giá theo quy định của pháp luật về giá có liên quan; thuế theo quy định của pháp luật về thuế có liên quan; kinh phí hợp lý, hợp lệ khác) và chi trả các chi phí cần thiết cho các nhà đầu tư, nguồn thu từ giao dịch tín chỉ các-bon được đầu tư và tái đầu tư cho các nội dung:</w:t>
            </w:r>
          </w:p>
          <w:p w14:paraId="6FEB8CFA"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lastRenderedPageBreak/>
              <w:t>a) Chi trả cho tổ chức, cá nhân được giao trách nhiệm quản lý các chương trình, dự án và các tổ chức, các nhân khác có liên quan;</w:t>
            </w:r>
          </w:p>
          <w:p w14:paraId="3A8C5353"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b) Mở rộng, tiếp tục thực hiện các dự án đã tạo ra tín chỉ các-bon, duy tu, bảo dưỡng, cải tạo sửa chữa cơ sở vật chất và trang thiết bị phục vụ chương trình, dự án (nếu có);</w:t>
            </w:r>
          </w:p>
          <w:p w14:paraId="4D31356B" w14:textId="5E6C883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c) Hỗ trợ các chương trình, hoạt động phát triển sinh kế bền vững tại địa phương, đảm bảo cộng đồng được hưởng lợi trực tiếp từ các chương trình, dự án</w:t>
            </w:r>
            <w:r>
              <w:rPr>
                <w:rStyle w:val="apple-converted-space"/>
                <w:sz w:val="28"/>
                <w:szCs w:val="28"/>
              </w:rPr>
              <w:t>.</w:t>
            </w:r>
            <w:r w:rsidRPr="009262BF">
              <w:rPr>
                <w:rStyle w:val="apple-converted-space"/>
                <w:sz w:val="28"/>
                <w:szCs w:val="28"/>
              </w:rPr>
              <w:t xml:space="preserve"> </w:t>
            </w:r>
          </w:p>
          <w:p w14:paraId="73DB2E46" w14:textId="45D7ECBC" w:rsidR="00DB7114" w:rsidRPr="009262BF"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d</w:t>
            </w:r>
            <w:r w:rsidRPr="009262BF">
              <w:rPr>
                <w:rStyle w:val="apple-converted-space"/>
                <w:sz w:val="28"/>
                <w:szCs w:val="28"/>
              </w:rPr>
              <w:t>) Phát triển các nền tảng số để phục vụ quản lý, giám sát tài nguyên môi trường; theo dõi lượng khí thải và giao dịch tín chỉ các-bon một cách minh bạch; phát triển các phần mềm ứng dụng nhằm tối ưu hóa việc sử dụng năng lượng và nâng cao hiệu quả quản lý sản xuất.</w:t>
            </w:r>
          </w:p>
          <w:p w14:paraId="3A8B1C8E" w14:textId="1D3AE692" w:rsidR="00DB7114" w:rsidRPr="009262BF"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đ</w:t>
            </w:r>
            <w:r w:rsidRPr="009262BF">
              <w:rPr>
                <w:rStyle w:val="apple-converted-space"/>
                <w:sz w:val="28"/>
                <w:szCs w:val="28"/>
              </w:rPr>
              <w:t>) Triển khai các dự án phát triển bền vững, hỗ trợ các ngành công nghiệp chuyển đổi sang quy trình sản xuất sạch, tiết kiệm năng lượng và hiệu quả.</w:t>
            </w:r>
          </w:p>
          <w:p w14:paraId="05D3476F" w14:textId="4C90F6D0" w:rsidR="00DB7114" w:rsidRPr="009262BF" w:rsidRDefault="00DB7114" w:rsidP="00DB7114">
            <w:pPr>
              <w:widowControl w:val="0"/>
              <w:spacing w:before="120" w:after="120"/>
              <w:ind w:firstLine="174"/>
              <w:jc w:val="both"/>
              <w:outlineLvl w:val="0"/>
              <w:rPr>
                <w:rStyle w:val="apple-converted-space"/>
                <w:sz w:val="28"/>
                <w:szCs w:val="28"/>
              </w:rPr>
            </w:pPr>
            <w:r>
              <w:rPr>
                <w:rStyle w:val="apple-converted-space"/>
                <w:sz w:val="28"/>
                <w:szCs w:val="28"/>
              </w:rPr>
              <w:t>e</w:t>
            </w:r>
            <w:r w:rsidRPr="009262BF">
              <w:rPr>
                <w:rStyle w:val="apple-converted-space"/>
                <w:sz w:val="28"/>
                <w:szCs w:val="28"/>
              </w:rPr>
              <w:t>) Hỗ trợ rà soát, xây dựng, bổ sung hoàn thiện các hướng dẫn cơ chế, chính sách về giảm phát thải khí nhà kính trong ngành, lĩnh vực của chương trình, dự án; rà soát, theo dõi đánh giá biến động trữ lượng các-bon từ chương trình, dự án; tổ chức triển khai các giải pháp phù hợp.</w:t>
            </w:r>
          </w:p>
          <w:p w14:paraId="15682A9E"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Tùy thuộc vào từng lĩnh vực của dự án và tổng nguồn thu cụ thể, mức khoán và tỷ lệ chi các nội dung được thực hiện trên cơ sở pháp luật hiện hành và các quy định khác của cấp có thẩm quyền.</w:t>
            </w:r>
          </w:p>
          <w:p w14:paraId="5837B934" w14:textId="65C2BFBA"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 xml:space="preserve">4. Ngoài những nội dung trên, nguồn thu từ từ giao dịch tín </w:t>
            </w:r>
            <w:r w:rsidRPr="009262BF">
              <w:rPr>
                <w:rStyle w:val="apple-converted-space"/>
                <w:sz w:val="28"/>
                <w:szCs w:val="28"/>
              </w:rPr>
              <w:lastRenderedPageBreak/>
              <w:t>chỉ các-bon theo Nghị quyết này được sử dụng để chi một số nội dung:</w:t>
            </w:r>
          </w:p>
          <w:p w14:paraId="6CC8D681"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a) Chi các hoạt động quản lý, điều phối nguồn thu; kiểm tra, giám sát đánh giá; đo đạc, báo cáo, thẩm định kết quả giảm phát thải; truyền thông, tuyên truyền; giải đáp thắc mắc, khiếu nại và phản hồi.</w:t>
            </w:r>
          </w:p>
          <w:p w14:paraId="6FDA122A" w14:textId="77777777" w:rsidR="00DB7114" w:rsidRPr="009262BF"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b) Hỗ trợ các hoạt động tuyên truyền, tập huấn kĩ thuật, xây dựng các hương ước, quy chế, cam kết thực thi pháp luật.</w:t>
            </w:r>
          </w:p>
          <w:p w14:paraId="71F93EC0" w14:textId="1BF7C67A" w:rsidR="00DB7114" w:rsidRPr="00813E39" w:rsidRDefault="00DB7114" w:rsidP="00DB7114">
            <w:pPr>
              <w:widowControl w:val="0"/>
              <w:spacing w:before="120" w:after="120"/>
              <w:ind w:firstLine="174"/>
              <w:jc w:val="both"/>
              <w:outlineLvl w:val="0"/>
              <w:rPr>
                <w:rStyle w:val="apple-converted-space"/>
                <w:sz w:val="28"/>
                <w:szCs w:val="28"/>
              </w:rPr>
            </w:pPr>
            <w:r w:rsidRPr="009262BF">
              <w:rPr>
                <w:rStyle w:val="apple-converted-space"/>
                <w:sz w:val="28"/>
                <w:szCs w:val="28"/>
              </w:rPr>
              <w:t>c) Thực hiện các chương trình, dự án khác phục vụ ứng phó biến đổi khí hậu, giảm phát thải và hấp thụ các-bon, phát triển kinh tế xanh, kinh tế số, kinh tế tuần hoàn trên địa bàn thành phố.</w:t>
            </w:r>
          </w:p>
        </w:tc>
        <w:tc>
          <w:tcPr>
            <w:tcW w:w="5245" w:type="dxa"/>
            <w:vMerge/>
          </w:tcPr>
          <w:p w14:paraId="01E951E0" w14:textId="77777777" w:rsidR="00DB7114" w:rsidRPr="00663AC8" w:rsidRDefault="00DB7114" w:rsidP="00DB7114">
            <w:pPr>
              <w:spacing w:before="120" w:after="120"/>
              <w:ind w:firstLine="312"/>
              <w:jc w:val="both"/>
              <w:rPr>
                <w:sz w:val="28"/>
                <w:szCs w:val="28"/>
                <w:lang w:val="nl-NL"/>
              </w:rPr>
            </w:pPr>
          </w:p>
        </w:tc>
      </w:tr>
      <w:tr w:rsidR="00DB7114" w:rsidRPr="009656D5" w14:paraId="4A639460" w14:textId="77777777" w:rsidTr="00DB7114">
        <w:tc>
          <w:tcPr>
            <w:tcW w:w="846" w:type="dxa"/>
          </w:tcPr>
          <w:p w14:paraId="1B4C69CB" w14:textId="65EA2F43" w:rsidR="00DB7114" w:rsidRPr="009656D5" w:rsidRDefault="00DB7114" w:rsidP="00DB7114">
            <w:pPr>
              <w:spacing w:before="120" w:after="120"/>
              <w:jc w:val="center"/>
              <w:rPr>
                <w:sz w:val="28"/>
                <w:szCs w:val="28"/>
                <w:lang w:val="nl-NL"/>
              </w:rPr>
            </w:pPr>
            <w:r>
              <w:rPr>
                <w:sz w:val="28"/>
                <w:szCs w:val="28"/>
                <w:lang w:val="nl-NL"/>
              </w:rPr>
              <w:lastRenderedPageBreak/>
              <w:t>3</w:t>
            </w:r>
          </w:p>
        </w:tc>
        <w:tc>
          <w:tcPr>
            <w:tcW w:w="7229" w:type="dxa"/>
          </w:tcPr>
          <w:p w14:paraId="5D834306" w14:textId="0DC421AE" w:rsidR="00DB7114" w:rsidRPr="009656D5" w:rsidRDefault="00DB7114" w:rsidP="00DB7114">
            <w:pPr>
              <w:spacing w:before="120" w:after="120"/>
              <w:jc w:val="both"/>
              <w:rPr>
                <w:sz w:val="28"/>
                <w:szCs w:val="28"/>
                <w:lang w:val="nl-NL"/>
              </w:rPr>
            </w:pPr>
            <w:r>
              <w:rPr>
                <w:sz w:val="28"/>
                <w:szCs w:val="28"/>
                <w:lang w:val="nl-NL"/>
              </w:rPr>
              <w:t xml:space="preserve">Tổ </w:t>
            </w:r>
            <w:bookmarkStart w:id="0" w:name="_GoBack"/>
            <w:bookmarkEnd w:id="0"/>
            <w:r>
              <w:rPr>
                <w:sz w:val="28"/>
                <w:szCs w:val="28"/>
                <w:lang w:val="nl-NL"/>
              </w:rPr>
              <w:t>chức thực hiện</w:t>
            </w:r>
          </w:p>
        </w:tc>
        <w:tc>
          <w:tcPr>
            <w:tcW w:w="5245" w:type="dxa"/>
          </w:tcPr>
          <w:p w14:paraId="0FAF1274" w14:textId="630E9221" w:rsidR="00DB7114" w:rsidRPr="009656D5" w:rsidRDefault="00DB7114" w:rsidP="00DB7114">
            <w:pPr>
              <w:spacing w:before="120" w:after="120"/>
              <w:jc w:val="both"/>
              <w:rPr>
                <w:sz w:val="28"/>
                <w:szCs w:val="28"/>
                <w:lang w:val="nl-NL"/>
              </w:rPr>
            </w:pPr>
            <w:r>
              <w:rPr>
                <w:sz w:val="28"/>
                <w:szCs w:val="28"/>
                <w:lang w:val="nl-NL"/>
              </w:rPr>
              <w:t>Việc tổ chức thực hiện căn cứ vào quy định tại Luật Ban hành văn bản quy phạm pháp luật và chức năng, nhiệm vụ các cơ quan.</w:t>
            </w:r>
          </w:p>
        </w:tc>
      </w:tr>
    </w:tbl>
    <w:p w14:paraId="4BEDFAC7" w14:textId="60297E05" w:rsidR="001E2764" w:rsidRPr="00F97437" w:rsidRDefault="001E2764" w:rsidP="006313CD">
      <w:pPr>
        <w:spacing w:before="120" w:after="120"/>
        <w:ind w:firstLine="567"/>
        <w:jc w:val="both"/>
        <w:rPr>
          <w:lang w:val="nl-NL"/>
        </w:rPr>
      </w:pPr>
    </w:p>
    <w:sectPr w:rsidR="001E2764" w:rsidRPr="00F97437" w:rsidSect="00336640">
      <w:headerReference w:type="default" r:id="rId6"/>
      <w:footerReference w:type="even" r:id="rId7"/>
      <w:footerReference w:type="default" r:id="rId8"/>
      <w:pgSz w:w="16834" w:h="11909" w:orient="landscape"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79F81" w14:textId="77777777" w:rsidR="00775AF4" w:rsidRDefault="00775AF4">
      <w:r>
        <w:separator/>
      </w:r>
    </w:p>
  </w:endnote>
  <w:endnote w:type="continuationSeparator" w:id="0">
    <w:p w14:paraId="78FD3F2C" w14:textId="77777777" w:rsidR="00775AF4" w:rsidRDefault="0077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6C9B" w14:textId="77777777" w:rsidR="00604813" w:rsidRDefault="000E0C30" w:rsidP="0048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425C" w14:textId="77777777" w:rsidR="00604813" w:rsidRDefault="00775AF4" w:rsidP="00213D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F6CFA" w14:textId="4A861CCA" w:rsidR="00474C2F" w:rsidRDefault="00775AF4" w:rsidP="008D056E">
    <w:pPr>
      <w:pStyle w:val="Footer"/>
      <w:jc w:val="center"/>
    </w:pPr>
  </w:p>
  <w:p w14:paraId="688496C6" w14:textId="77777777" w:rsidR="00604813" w:rsidRDefault="00775AF4" w:rsidP="00213D6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F7D0A" w14:textId="77777777" w:rsidR="00775AF4" w:rsidRDefault="00775AF4">
      <w:r>
        <w:separator/>
      </w:r>
    </w:p>
  </w:footnote>
  <w:footnote w:type="continuationSeparator" w:id="0">
    <w:p w14:paraId="2A1D7C49" w14:textId="77777777" w:rsidR="00775AF4" w:rsidRDefault="00775A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685670"/>
      <w:docPartObj>
        <w:docPartGallery w:val="Page Numbers (Top of Page)"/>
        <w:docPartUnique/>
      </w:docPartObj>
    </w:sdtPr>
    <w:sdtEndPr>
      <w:rPr>
        <w:noProof/>
      </w:rPr>
    </w:sdtEndPr>
    <w:sdtContent>
      <w:p w14:paraId="465A594F" w14:textId="77777777" w:rsidR="004F6653" w:rsidRDefault="004F6653">
        <w:pPr>
          <w:pStyle w:val="Header"/>
          <w:jc w:val="center"/>
        </w:pPr>
      </w:p>
      <w:p w14:paraId="1D825FE5" w14:textId="77777777" w:rsidR="004F6653" w:rsidRDefault="004F6653">
        <w:pPr>
          <w:pStyle w:val="Header"/>
          <w:jc w:val="center"/>
        </w:pPr>
      </w:p>
      <w:p w14:paraId="7EDAED5F" w14:textId="391C8CE0" w:rsidR="004F6653" w:rsidRDefault="004F6653">
        <w:pPr>
          <w:pStyle w:val="Header"/>
          <w:jc w:val="center"/>
        </w:pPr>
        <w:r>
          <w:fldChar w:fldCharType="begin"/>
        </w:r>
        <w:r>
          <w:instrText xml:space="preserve"> PAGE   \* MERGEFORMAT </w:instrText>
        </w:r>
        <w:r>
          <w:fldChar w:fldCharType="separate"/>
        </w:r>
        <w:r w:rsidR="00A75572">
          <w:rPr>
            <w:noProof/>
          </w:rPr>
          <w:t>4</w:t>
        </w:r>
        <w:r>
          <w:rPr>
            <w:noProof/>
          </w:rPr>
          <w:fldChar w:fldCharType="end"/>
        </w:r>
      </w:p>
    </w:sdtContent>
  </w:sdt>
  <w:p w14:paraId="2B6446CB" w14:textId="77777777" w:rsidR="004F6653" w:rsidRDefault="004F6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36"/>
    <w:rsid w:val="00001C08"/>
    <w:rsid w:val="00004D4D"/>
    <w:rsid w:val="00013CB0"/>
    <w:rsid w:val="0003012F"/>
    <w:rsid w:val="00032F1A"/>
    <w:rsid w:val="00060E63"/>
    <w:rsid w:val="00070F8C"/>
    <w:rsid w:val="00090362"/>
    <w:rsid w:val="00095218"/>
    <w:rsid w:val="000A24CF"/>
    <w:rsid w:val="000A2EF7"/>
    <w:rsid w:val="000A48A6"/>
    <w:rsid w:val="000A5386"/>
    <w:rsid w:val="000A7919"/>
    <w:rsid w:val="000B58C8"/>
    <w:rsid w:val="000B77CF"/>
    <w:rsid w:val="000C01F9"/>
    <w:rsid w:val="000C578F"/>
    <w:rsid w:val="000C7EBA"/>
    <w:rsid w:val="000E0C30"/>
    <w:rsid w:val="000E4922"/>
    <w:rsid w:val="000E656D"/>
    <w:rsid w:val="000E7B68"/>
    <w:rsid w:val="000F7B9C"/>
    <w:rsid w:val="00104127"/>
    <w:rsid w:val="00107B6E"/>
    <w:rsid w:val="00110727"/>
    <w:rsid w:val="00111F17"/>
    <w:rsid w:val="0011313F"/>
    <w:rsid w:val="00114920"/>
    <w:rsid w:val="001208C3"/>
    <w:rsid w:val="00125641"/>
    <w:rsid w:val="001333E6"/>
    <w:rsid w:val="00136B51"/>
    <w:rsid w:val="00141554"/>
    <w:rsid w:val="00143D00"/>
    <w:rsid w:val="00143FC7"/>
    <w:rsid w:val="00150674"/>
    <w:rsid w:val="00161305"/>
    <w:rsid w:val="00163DE5"/>
    <w:rsid w:val="00171FA0"/>
    <w:rsid w:val="001734F9"/>
    <w:rsid w:val="00175E2F"/>
    <w:rsid w:val="00186CEF"/>
    <w:rsid w:val="00195F70"/>
    <w:rsid w:val="00196B21"/>
    <w:rsid w:val="001A680F"/>
    <w:rsid w:val="001C0D53"/>
    <w:rsid w:val="001C23D5"/>
    <w:rsid w:val="001D162F"/>
    <w:rsid w:val="001E2764"/>
    <w:rsid w:val="001E3FDF"/>
    <w:rsid w:val="001E534C"/>
    <w:rsid w:val="001F2622"/>
    <w:rsid w:val="001F5DAD"/>
    <w:rsid w:val="00202647"/>
    <w:rsid w:val="002043F0"/>
    <w:rsid w:val="00210D98"/>
    <w:rsid w:val="00212D14"/>
    <w:rsid w:val="00212F7E"/>
    <w:rsid w:val="00215D56"/>
    <w:rsid w:val="00215FC2"/>
    <w:rsid w:val="00224674"/>
    <w:rsid w:val="002302F9"/>
    <w:rsid w:val="0023181D"/>
    <w:rsid w:val="002538F8"/>
    <w:rsid w:val="002568C0"/>
    <w:rsid w:val="00272047"/>
    <w:rsid w:val="00275537"/>
    <w:rsid w:val="00294427"/>
    <w:rsid w:val="0029482C"/>
    <w:rsid w:val="002A61CE"/>
    <w:rsid w:val="002A7FC2"/>
    <w:rsid w:val="002C1A90"/>
    <w:rsid w:val="002C6419"/>
    <w:rsid w:val="002D70E5"/>
    <w:rsid w:val="002E3F69"/>
    <w:rsid w:val="002E4F1E"/>
    <w:rsid w:val="002F4173"/>
    <w:rsid w:val="00300645"/>
    <w:rsid w:val="00303ACE"/>
    <w:rsid w:val="0031485F"/>
    <w:rsid w:val="00315DE1"/>
    <w:rsid w:val="00322637"/>
    <w:rsid w:val="003228B2"/>
    <w:rsid w:val="00322E7A"/>
    <w:rsid w:val="00323FE5"/>
    <w:rsid w:val="00336640"/>
    <w:rsid w:val="003775AD"/>
    <w:rsid w:val="00382ADE"/>
    <w:rsid w:val="0038327A"/>
    <w:rsid w:val="0039531D"/>
    <w:rsid w:val="003A7F95"/>
    <w:rsid w:val="003B66F9"/>
    <w:rsid w:val="003C068F"/>
    <w:rsid w:val="003E344E"/>
    <w:rsid w:val="003E6C45"/>
    <w:rsid w:val="003F247B"/>
    <w:rsid w:val="003F3FBB"/>
    <w:rsid w:val="003F77D2"/>
    <w:rsid w:val="00400669"/>
    <w:rsid w:val="00405292"/>
    <w:rsid w:val="0040703B"/>
    <w:rsid w:val="00407B3F"/>
    <w:rsid w:val="00410EAE"/>
    <w:rsid w:val="0041292B"/>
    <w:rsid w:val="00413CBA"/>
    <w:rsid w:val="0041621E"/>
    <w:rsid w:val="00426730"/>
    <w:rsid w:val="00442010"/>
    <w:rsid w:val="00442434"/>
    <w:rsid w:val="00450ACF"/>
    <w:rsid w:val="0045266D"/>
    <w:rsid w:val="00463859"/>
    <w:rsid w:val="004638E4"/>
    <w:rsid w:val="00463DC1"/>
    <w:rsid w:val="00470E0E"/>
    <w:rsid w:val="0047301D"/>
    <w:rsid w:val="0047408D"/>
    <w:rsid w:val="00474583"/>
    <w:rsid w:val="0048252F"/>
    <w:rsid w:val="0049342D"/>
    <w:rsid w:val="004A3638"/>
    <w:rsid w:val="004A62E4"/>
    <w:rsid w:val="004B469B"/>
    <w:rsid w:val="004B486C"/>
    <w:rsid w:val="004E2616"/>
    <w:rsid w:val="004F3F2C"/>
    <w:rsid w:val="004F6653"/>
    <w:rsid w:val="00502437"/>
    <w:rsid w:val="00525BCB"/>
    <w:rsid w:val="00530902"/>
    <w:rsid w:val="00533162"/>
    <w:rsid w:val="005335A4"/>
    <w:rsid w:val="00543890"/>
    <w:rsid w:val="00553BD9"/>
    <w:rsid w:val="005613BC"/>
    <w:rsid w:val="005663DE"/>
    <w:rsid w:val="00567250"/>
    <w:rsid w:val="00573766"/>
    <w:rsid w:val="0059279E"/>
    <w:rsid w:val="00597860"/>
    <w:rsid w:val="005A24F6"/>
    <w:rsid w:val="005B2973"/>
    <w:rsid w:val="005B546D"/>
    <w:rsid w:val="005C62E6"/>
    <w:rsid w:val="005D07EE"/>
    <w:rsid w:val="005D420F"/>
    <w:rsid w:val="005E3164"/>
    <w:rsid w:val="005E3E60"/>
    <w:rsid w:val="005E66AB"/>
    <w:rsid w:val="005F1EEB"/>
    <w:rsid w:val="005F3A20"/>
    <w:rsid w:val="005F5571"/>
    <w:rsid w:val="005F659B"/>
    <w:rsid w:val="006016D1"/>
    <w:rsid w:val="006020F0"/>
    <w:rsid w:val="006047D0"/>
    <w:rsid w:val="006156A1"/>
    <w:rsid w:val="00615759"/>
    <w:rsid w:val="00621BB4"/>
    <w:rsid w:val="0063112E"/>
    <w:rsid w:val="006313CD"/>
    <w:rsid w:val="00652F21"/>
    <w:rsid w:val="0065653A"/>
    <w:rsid w:val="00660222"/>
    <w:rsid w:val="006635F5"/>
    <w:rsid w:val="00663AC8"/>
    <w:rsid w:val="006648D0"/>
    <w:rsid w:val="00687986"/>
    <w:rsid w:val="00692A0F"/>
    <w:rsid w:val="006A1283"/>
    <w:rsid w:val="006A3759"/>
    <w:rsid w:val="006A5AAC"/>
    <w:rsid w:val="006B0BFF"/>
    <w:rsid w:val="006B3569"/>
    <w:rsid w:val="006B5BAA"/>
    <w:rsid w:val="006C2F62"/>
    <w:rsid w:val="006C62AD"/>
    <w:rsid w:val="006D0253"/>
    <w:rsid w:val="006D270E"/>
    <w:rsid w:val="006D3A6C"/>
    <w:rsid w:val="006F0010"/>
    <w:rsid w:val="006F280B"/>
    <w:rsid w:val="006F2E4C"/>
    <w:rsid w:val="007121CD"/>
    <w:rsid w:val="00717483"/>
    <w:rsid w:val="00717601"/>
    <w:rsid w:val="007231AD"/>
    <w:rsid w:val="0072498A"/>
    <w:rsid w:val="0072507A"/>
    <w:rsid w:val="0072526C"/>
    <w:rsid w:val="007325AF"/>
    <w:rsid w:val="00737EA7"/>
    <w:rsid w:val="0074205C"/>
    <w:rsid w:val="0074263F"/>
    <w:rsid w:val="0074690E"/>
    <w:rsid w:val="007545A8"/>
    <w:rsid w:val="00763334"/>
    <w:rsid w:val="0076365D"/>
    <w:rsid w:val="00766E86"/>
    <w:rsid w:val="00773236"/>
    <w:rsid w:val="007751D7"/>
    <w:rsid w:val="00775AF4"/>
    <w:rsid w:val="0077714A"/>
    <w:rsid w:val="00780D62"/>
    <w:rsid w:val="007821D2"/>
    <w:rsid w:val="00786542"/>
    <w:rsid w:val="007A45E3"/>
    <w:rsid w:val="007B3921"/>
    <w:rsid w:val="007B3A14"/>
    <w:rsid w:val="007B3D26"/>
    <w:rsid w:val="007B76A8"/>
    <w:rsid w:val="007D43C9"/>
    <w:rsid w:val="007E43FE"/>
    <w:rsid w:val="007F61E3"/>
    <w:rsid w:val="007F666E"/>
    <w:rsid w:val="00800510"/>
    <w:rsid w:val="00801362"/>
    <w:rsid w:val="00821686"/>
    <w:rsid w:val="00825302"/>
    <w:rsid w:val="00825412"/>
    <w:rsid w:val="00825FED"/>
    <w:rsid w:val="00831214"/>
    <w:rsid w:val="0083254B"/>
    <w:rsid w:val="0083652D"/>
    <w:rsid w:val="00836962"/>
    <w:rsid w:val="00850178"/>
    <w:rsid w:val="0085185D"/>
    <w:rsid w:val="00853DCD"/>
    <w:rsid w:val="00862C06"/>
    <w:rsid w:val="00874E66"/>
    <w:rsid w:val="008816A2"/>
    <w:rsid w:val="008B1241"/>
    <w:rsid w:val="008B1518"/>
    <w:rsid w:val="008B72DB"/>
    <w:rsid w:val="008C6BCF"/>
    <w:rsid w:val="008D2BA5"/>
    <w:rsid w:val="008E1A78"/>
    <w:rsid w:val="008F5F0D"/>
    <w:rsid w:val="00901C26"/>
    <w:rsid w:val="00904C00"/>
    <w:rsid w:val="00917580"/>
    <w:rsid w:val="00923FE3"/>
    <w:rsid w:val="009262BF"/>
    <w:rsid w:val="00940D9F"/>
    <w:rsid w:val="009418DA"/>
    <w:rsid w:val="00941FF1"/>
    <w:rsid w:val="0094579E"/>
    <w:rsid w:val="009656D5"/>
    <w:rsid w:val="00967749"/>
    <w:rsid w:val="00976B40"/>
    <w:rsid w:val="00985CC7"/>
    <w:rsid w:val="009940AD"/>
    <w:rsid w:val="009A2CA2"/>
    <w:rsid w:val="009A4362"/>
    <w:rsid w:val="009A6790"/>
    <w:rsid w:val="009A6D0D"/>
    <w:rsid w:val="009B587A"/>
    <w:rsid w:val="009B5E47"/>
    <w:rsid w:val="009C1D92"/>
    <w:rsid w:val="009C3580"/>
    <w:rsid w:val="009C46D6"/>
    <w:rsid w:val="009D18E9"/>
    <w:rsid w:val="009D3186"/>
    <w:rsid w:val="009D3D6E"/>
    <w:rsid w:val="009E324C"/>
    <w:rsid w:val="009E5096"/>
    <w:rsid w:val="009F5D1C"/>
    <w:rsid w:val="009F6F2B"/>
    <w:rsid w:val="00A00216"/>
    <w:rsid w:val="00A10003"/>
    <w:rsid w:val="00A15100"/>
    <w:rsid w:val="00A33EE1"/>
    <w:rsid w:val="00A3515A"/>
    <w:rsid w:val="00A42643"/>
    <w:rsid w:val="00A5059A"/>
    <w:rsid w:val="00A52E39"/>
    <w:rsid w:val="00A53F9B"/>
    <w:rsid w:val="00A5494C"/>
    <w:rsid w:val="00A56083"/>
    <w:rsid w:val="00A70F04"/>
    <w:rsid w:val="00A719D2"/>
    <w:rsid w:val="00A72C82"/>
    <w:rsid w:val="00A73672"/>
    <w:rsid w:val="00A754CD"/>
    <w:rsid w:val="00A75572"/>
    <w:rsid w:val="00A776AB"/>
    <w:rsid w:val="00A83692"/>
    <w:rsid w:val="00A87BC1"/>
    <w:rsid w:val="00A9415D"/>
    <w:rsid w:val="00AA11F8"/>
    <w:rsid w:val="00AA467F"/>
    <w:rsid w:val="00AB2A49"/>
    <w:rsid w:val="00AB46AD"/>
    <w:rsid w:val="00AB4F0B"/>
    <w:rsid w:val="00AC7289"/>
    <w:rsid w:val="00AD2C0E"/>
    <w:rsid w:val="00AD5483"/>
    <w:rsid w:val="00AE44DC"/>
    <w:rsid w:val="00AF2396"/>
    <w:rsid w:val="00AF2EA1"/>
    <w:rsid w:val="00AF530E"/>
    <w:rsid w:val="00B074FD"/>
    <w:rsid w:val="00B13D3E"/>
    <w:rsid w:val="00B161FF"/>
    <w:rsid w:val="00B219A4"/>
    <w:rsid w:val="00B22158"/>
    <w:rsid w:val="00B36237"/>
    <w:rsid w:val="00B4442E"/>
    <w:rsid w:val="00B4736E"/>
    <w:rsid w:val="00B661B8"/>
    <w:rsid w:val="00B749E7"/>
    <w:rsid w:val="00B76CFA"/>
    <w:rsid w:val="00B8066F"/>
    <w:rsid w:val="00B8388B"/>
    <w:rsid w:val="00B847D4"/>
    <w:rsid w:val="00B85635"/>
    <w:rsid w:val="00B86DD7"/>
    <w:rsid w:val="00B96CBE"/>
    <w:rsid w:val="00B977BC"/>
    <w:rsid w:val="00BA0AC2"/>
    <w:rsid w:val="00BA4F52"/>
    <w:rsid w:val="00BB2B9E"/>
    <w:rsid w:val="00BB6BFA"/>
    <w:rsid w:val="00BC4385"/>
    <w:rsid w:val="00BC7515"/>
    <w:rsid w:val="00BD0ECF"/>
    <w:rsid w:val="00C104D9"/>
    <w:rsid w:val="00C31999"/>
    <w:rsid w:val="00C33E33"/>
    <w:rsid w:val="00C3749B"/>
    <w:rsid w:val="00C40173"/>
    <w:rsid w:val="00C41D74"/>
    <w:rsid w:val="00C47054"/>
    <w:rsid w:val="00C51705"/>
    <w:rsid w:val="00C57179"/>
    <w:rsid w:val="00C57E12"/>
    <w:rsid w:val="00C951FD"/>
    <w:rsid w:val="00CB065E"/>
    <w:rsid w:val="00CC212F"/>
    <w:rsid w:val="00CC416C"/>
    <w:rsid w:val="00CC513B"/>
    <w:rsid w:val="00CD344B"/>
    <w:rsid w:val="00CE142A"/>
    <w:rsid w:val="00CE1EBB"/>
    <w:rsid w:val="00CF01BA"/>
    <w:rsid w:val="00CF111C"/>
    <w:rsid w:val="00CF18C3"/>
    <w:rsid w:val="00CF1C03"/>
    <w:rsid w:val="00CF28A4"/>
    <w:rsid w:val="00CF2F75"/>
    <w:rsid w:val="00CF2FA3"/>
    <w:rsid w:val="00D01689"/>
    <w:rsid w:val="00D0519B"/>
    <w:rsid w:val="00D107C0"/>
    <w:rsid w:val="00D179DA"/>
    <w:rsid w:val="00D30A8E"/>
    <w:rsid w:val="00D36DBA"/>
    <w:rsid w:val="00D4747B"/>
    <w:rsid w:val="00D55676"/>
    <w:rsid w:val="00D608F8"/>
    <w:rsid w:val="00D65F7B"/>
    <w:rsid w:val="00D71DA5"/>
    <w:rsid w:val="00D857D9"/>
    <w:rsid w:val="00D93ABF"/>
    <w:rsid w:val="00DB0831"/>
    <w:rsid w:val="00DB4A1F"/>
    <w:rsid w:val="00DB5179"/>
    <w:rsid w:val="00DB7114"/>
    <w:rsid w:val="00DD43BA"/>
    <w:rsid w:val="00DD7F66"/>
    <w:rsid w:val="00DE1058"/>
    <w:rsid w:val="00DE1C97"/>
    <w:rsid w:val="00DE1E5D"/>
    <w:rsid w:val="00DE609A"/>
    <w:rsid w:val="00E028FD"/>
    <w:rsid w:val="00E06CD7"/>
    <w:rsid w:val="00E14F8B"/>
    <w:rsid w:val="00E25C80"/>
    <w:rsid w:val="00E265FF"/>
    <w:rsid w:val="00E3264A"/>
    <w:rsid w:val="00E3414A"/>
    <w:rsid w:val="00E41D18"/>
    <w:rsid w:val="00E46E5A"/>
    <w:rsid w:val="00E560AC"/>
    <w:rsid w:val="00E57C42"/>
    <w:rsid w:val="00E66DAF"/>
    <w:rsid w:val="00E70462"/>
    <w:rsid w:val="00E71D77"/>
    <w:rsid w:val="00E81F1E"/>
    <w:rsid w:val="00E854FD"/>
    <w:rsid w:val="00E90CF8"/>
    <w:rsid w:val="00EB1B90"/>
    <w:rsid w:val="00EB3827"/>
    <w:rsid w:val="00EC6583"/>
    <w:rsid w:val="00ED1A23"/>
    <w:rsid w:val="00ED24CE"/>
    <w:rsid w:val="00ED375E"/>
    <w:rsid w:val="00EE6508"/>
    <w:rsid w:val="00EF1097"/>
    <w:rsid w:val="00F02F6C"/>
    <w:rsid w:val="00F0415E"/>
    <w:rsid w:val="00F135AC"/>
    <w:rsid w:val="00F13A20"/>
    <w:rsid w:val="00F22563"/>
    <w:rsid w:val="00F2511E"/>
    <w:rsid w:val="00F47733"/>
    <w:rsid w:val="00F47D68"/>
    <w:rsid w:val="00F502A8"/>
    <w:rsid w:val="00F54B03"/>
    <w:rsid w:val="00F56F0A"/>
    <w:rsid w:val="00F7100C"/>
    <w:rsid w:val="00F75B67"/>
    <w:rsid w:val="00F864A8"/>
    <w:rsid w:val="00F97437"/>
    <w:rsid w:val="00FA3B05"/>
    <w:rsid w:val="00FC0A40"/>
    <w:rsid w:val="00FC4193"/>
    <w:rsid w:val="00FC4C8D"/>
    <w:rsid w:val="00FD01D3"/>
    <w:rsid w:val="00FD1B8C"/>
    <w:rsid w:val="00FD36E0"/>
    <w:rsid w:val="00FD5F5C"/>
    <w:rsid w:val="00FD6052"/>
    <w:rsid w:val="00FE2295"/>
    <w:rsid w:val="00FE29DD"/>
    <w:rsid w:val="00FF1BA6"/>
    <w:rsid w:val="00FF2E82"/>
    <w:rsid w:val="00FF395D"/>
    <w:rsid w:val="00FF58F6"/>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13B"/>
  <w15:docId w15:val="{3A428018-AABC-4DAF-AAB0-CF495D84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236"/>
    <w:pPr>
      <w:keepNext/>
      <w:outlineLvl w:val="0"/>
    </w:pPr>
    <w:rPr>
      <w:rFonts w:ascii=".VnTimeH" w:hAnsi=".VnTimeH"/>
      <w:b/>
      <w:bCs/>
    </w:rPr>
  </w:style>
  <w:style w:type="paragraph" w:styleId="Heading2">
    <w:name w:val="heading 2"/>
    <w:basedOn w:val="Normal"/>
    <w:next w:val="Normal"/>
    <w:link w:val="Heading2Char"/>
    <w:qFormat/>
    <w:rsid w:val="00773236"/>
    <w:pPr>
      <w:keepNext/>
      <w:jc w:val="center"/>
      <w:outlineLvl w:val="1"/>
    </w:pPr>
    <w:rPr>
      <w:rFonts w:ascii=".VnTimeH" w:hAnsi=".VnTimeH"/>
      <w:b/>
      <w:bCs/>
      <w:sz w:val="28"/>
    </w:rPr>
  </w:style>
  <w:style w:type="paragraph" w:styleId="Heading3">
    <w:name w:val="heading 3"/>
    <w:basedOn w:val="Normal"/>
    <w:next w:val="Normal"/>
    <w:link w:val="Heading3Char"/>
    <w:qFormat/>
    <w:rsid w:val="00773236"/>
    <w:pPr>
      <w:keepNext/>
      <w:jc w:val="right"/>
      <w:outlineLvl w:val="2"/>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36"/>
    <w:rPr>
      <w:rFonts w:ascii=".VnTimeH" w:eastAsia="Times New Roman" w:hAnsi=".VnTimeH" w:cs="Times New Roman"/>
      <w:b/>
      <w:bCs/>
      <w:sz w:val="24"/>
      <w:szCs w:val="24"/>
    </w:rPr>
  </w:style>
  <w:style w:type="character" w:customStyle="1" w:styleId="Heading2Char">
    <w:name w:val="Heading 2 Char"/>
    <w:basedOn w:val="DefaultParagraphFont"/>
    <w:link w:val="Heading2"/>
    <w:rsid w:val="00773236"/>
    <w:rPr>
      <w:rFonts w:ascii=".VnTimeH" w:eastAsia="Times New Roman" w:hAnsi=".VnTimeH" w:cs="Times New Roman"/>
      <w:b/>
      <w:bCs/>
      <w:sz w:val="28"/>
      <w:szCs w:val="24"/>
    </w:rPr>
  </w:style>
  <w:style w:type="character" w:customStyle="1" w:styleId="Heading3Char">
    <w:name w:val="Heading 3 Char"/>
    <w:basedOn w:val="DefaultParagraphFont"/>
    <w:link w:val="Heading3"/>
    <w:rsid w:val="00773236"/>
    <w:rPr>
      <w:rFonts w:ascii=".VnTimeH" w:eastAsia="Times New Roman" w:hAnsi=".VnTimeH" w:cs="Times New Roman"/>
      <w:b/>
      <w:bCs/>
      <w:szCs w:val="24"/>
    </w:rPr>
  </w:style>
  <w:style w:type="paragraph" w:styleId="BodyText">
    <w:name w:val="Body Text"/>
    <w:basedOn w:val="Normal"/>
    <w:link w:val="BodyTextChar"/>
    <w:uiPriority w:val="99"/>
    <w:rsid w:val="00773236"/>
    <w:pPr>
      <w:jc w:val="both"/>
    </w:pPr>
    <w:rPr>
      <w:rFonts w:ascii=".VnTime" w:hAnsi=".VnTime"/>
      <w:sz w:val="30"/>
    </w:rPr>
  </w:style>
  <w:style w:type="character" w:customStyle="1" w:styleId="BodyTextChar">
    <w:name w:val="Body Text Char"/>
    <w:basedOn w:val="DefaultParagraphFont"/>
    <w:link w:val="BodyText"/>
    <w:uiPriority w:val="99"/>
    <w:rsid w:val="00773236"/>
    <w:rPr>
      <w:rFonts w:ascii=".VnTime" w:eastAsia="Times New Roman" w:hAnsi=".VnTime" w:cs="Times New Roman"/>
      <w:sz w:val="30"/>
      <w:szCs w:val="24"/>
    </w:rPr>
  </w:style>
  <w:style w:type="paragraph" w:styleId="Footer">
    <w:name w:val="footer"/>
    <w:basedOn w:val="Normal"/>
    <w:link w:val="FooterChar"/>
    <w:uiPriority w:val="99"/>
    <w:rsid w:val="00773236"/>
    <w:pPr>
      <w:tabs>
        <w:tab w:val="center" w:pos="4320"/>
        <w:tab w:val="right" w:pos="8640"/>
      </w:tabs>
    </w:pPr>
  </w:style>
  <w:style w:type="character" w:customStyle="1" w:styleId="FooterChar">
    <w:name w:val="Footer Char"/>
    <w:basedOn w:val="DefaultParagraphFont"/>
    <w:link w:val="Footer"/>
    <w:uiPriority w:val="99"/>
    <w:rsid w:val="00773236"/>
    <w:rPr>
      <w:rFonts w:ascii="Times New Roman" w:eastAsia="Times New Roman" w:hAnsi="Times New Roman" w:cs="Times New Roman"/>
      <w:sz w:val="24"/>
      <w:szCs w:val="24"/>
    </w:rPr>
  </w:style>
  <w:style w:type="character" w:styleId="PageNumber">
    <w:name w:val="page number"/>
    <w:basedOn w:val="DefaultParagraphFont"/>
    <w:rsid w:val="00773236"/>
  </w:style>
  <w:style w:type="character" w:customStyle="1" w:styleId="apple-converted-space">
    <w:name w:val="apple-converted-space"/>
    <w:rsid w:val="00773236"/>
  </w:style>
  <w:style w:type="paragraph" w:styleId="Header">
    <w:name w:val="header"/>
    <w:basedOn w:val="Normal"/>
    <w:link w:val="HeaderChar"/>
    <w:uiPriority w:val="99"/>
    <w:unhideWhenUsed/>
    <w:rsid w:val="004F6653"/>
    <w:pPr>
      <w:tabs>
        <w:tab w:val="center" w:pos="4680"/>
        <w:tab w:val="right" w:pos="9360"/>
      </w:tabs>
    </w:pPr>
  </w:style>
  <w:style w:type="character" w:customStyle="1" w:styleId="HeaderChar">
    <w:name w:val="Header Char"/>
    <w:basedOn w:val="DefaultParagraphFont"/>
    <w:link w:val="Header"/>
    <w:uiPriority w:val="99"/>
    <w:rsid w:val="004F6653"/>
    <w:rPr>
      <w:rFonts w:ascii="Times New Roman" w:eastAsia="Times New Roman" w:hAnsi="Times New Roman" w:cs="Times New Roman"/>
      <w:sz w:val="24"/>
      <w:szCs w:val="24"/>
    </w:rPr>
  </w:style>
  <w:style w:type="paragraph" w:styleId="ListParagraph">
    <w:name w:val="List Paragraph"/>
    <w:basedOn w:val="Normal"/>
    <w:uiPriority w:val="34"/>
    <w:qFormat/>
    <w:rsid w:val="0047301D"/>
    <w:pPr>
      <w:ind w:left="720"/>
      <w:contextualSpacing/>
    </w:pPr>
  </w:style>
  <w:style w:type="paragraph" w:styleId="BalloonText">
    <w:name w:val="Balloon Text"/>
    <w:basedOn w:val="Normal"/>
    <w:link w:val="BalloonTextChar"/>
    <w:uiPriority w:val="99"/>
    <w:semiHidden/>
    <w:unhideWhenUsed/>
    <w:rsid w:val="00941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DA"/>
    <w:rPr>
      <w:rFonts w:ascii="Segoe UI" w:eastAsia="Times New Roman" w:hAnsi="Segoe UI" w:cs="Segoe UI"/>
      <w:sz w:val="18"/>
      <w:szCs w:val="18"/>
    </w:rPr>
  </w:style>
  <w:style w:type="table" w:styleId="TableGrid">
    <w:name w:val="Table Grid"/>
    <w:basedOn w:val="TableNormal"/>
    <w:uiPriority w:val="39"/>
    <w:rsid w:val="0096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63AC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1699</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Nhung-NS</dc:creator>
  <cp:keywords/>
  <dc:description/>
  <cp:lastModifiedBy>Thao</cp:lastModifiedBy>
  <cp:revision>367</cp:revision>
  <cp:lastPrinted>2025-05-23T10:10:00Z</cp:lastPrinted>
  <dcterms:created xsi:type="dcterms:W3CDTF">2023-03-08T22:43:00Z</dcterms:created>
  <dcterms:modified xsi:type="dcterms:W3CDTF">2025-10-24T15:36:00Z</dcterms:modified>
</cp:coreProperties>
</file>